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13-method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spanning classical, regularized-linear, parameter-free, correlation, deep-probabilistic, prototype-VAE and foundation-model families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 0.008 — while their inference cost differs by two orders of magnitude and their peak memory by 2.4×. No method leads everywhere: the ordering inverts with reference size,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w:t>
      </w:r>
      <w:r>
        <w:t xml:space="preserve"> </w:t>
      </w:r>
      <w:r>
        <w:rPr>
          <w:b/>
          <w:bCs/>
        </w:rPr>
        <w:t xml:space="preserve">Pan-human Azimuth</w:t>
      </w:r>
      <w:r>
        <w:t xml:space="preserve">, a concurrent purpose-built pan-human annotator, can be distilled into such a reference from raw counts alone — no GPU, no labeled input — reaching higher concordance than the teacher at 6–9× its throughput. We release the reimplementation (actinn-jax),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inference cost differs by ~130×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reaching higher concordance than either the teacher or a</w:t>
      </w:r>
      <w:r>
        <w:t xml:space="preserve"> </w:t>
      </w:r>
      <w:r>
        <w:t xml:space="preserve">census-built 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Several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is somebody else’s benchmark.</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toolchains.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 (Supplementary Note 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in Supplementary Notes S5–S9.</w:t>
      </w:r>
    </w:p>
    <w:bookmarkEnd w:id="15"/>
    <w:bookmarkStart w:id="28"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~130× in</w:t>
      </w:r>
      <w:r>
        <w:rPr>
          <w:b/>
          <w:bCs/>
        </w:rPr>
        <w:t xml:space="preserve"> </w:t>
      </w:r>
      <w:r>
        <w:rPr>
          <w:b/>
          <w:bCs/>
        </w:rPr>
        <w:t xml:space="preserve">inference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means over the benchmark panel; bold marks the best value in</w:t>
      </w:r>
      <w:r>
        <w:t xml:space="preserve"> </w:t>
      </w:r>
      <w:r>
        <w:t xml:space="preserve">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17"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(Supplementary Note S3). Conclusions from subsampled references do not</w:t>
      </w:r>
      <w:r>
        <w:t xml:space="preserve"> </w:t>
      </w:r>
      <w:r>
        <w:t xml:space="preserve">transfer to atlas scale in either direction.</w:t>
      </w:r>
    </w:p>
    <w:p>
      <w:pPr>
        <w:pStyle w:val="BodyText"/>
      </w:pPr>
      <w:r>
        <w:t xml:space="preserve">External validation inverts a different axis. On Open Problems — datasets, metrics and ranking</w:t>
      </w:r>
      <w:r>
        <w:t xml:space="preserve"> </w:t>
      </w:r>
      <w:r>
        <w:t xml:space="preserve">not ours — all eleven methods were run through one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RSS</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inside four</w:t>
      </w:r>
      <w:r>
        <w:t xml:space="preserve"> </w:t>
      </w:r>
      <w:r>
        <w:t xml:space="preserve">ordinary results, traced to the fixed feature budget (Supplementary Note S8).</w:t>
      </w:r>
    </w:p>
    <w:bookmarkEnd w:id="17"/>
    <w:bookmarkStart w:id="21" w:name="inference-cost-is-flat-in-reference-size"/>
    <w:p>
      <w:pPr>
        <w:pStyle w:val="Heading2"/>
      </w:pPr>
      <w:r>
        <w:t xml:space="preserve">Inference cost is flat in reference size</w:t>
      </w:r>
    </w:p>
    <w:p>
      <w:pPr>
        <w:pStyle w:val="FirstParagraph"/>
      </w:pPr>
      <w:r>
        <w:t xml:space="preserve">Training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1).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p>
    <w:p>
      <w:pPr>
        <w:pStyle w:val="BodyText"/>
      </w:pPr>
      <w:r>
        <w:drawing>
          <wp:inline>
            <wp:extent cx="5334000" cy="1970216"/>
            <wp:effectExtent b="0" l="0" r="0" t="0"/>
            <wp:docPr descr="scaling" title="" id="19" name="Picture"/>
            <a:graphic>
              <a:graphicData uri="http://schemas.openxmlformats.org/drawingml/2006/picture">
                <pic:pic>
                  <pic:nvPicPr>
                    <pic:cNvPr descr="/Users/iandriver/Downloads/actinn-jax-benchmark/docs/figures/fig_scaling.png" id="20" name="Picture"/>
                    <pic:cNvPicPr>
                      <a:picLocks noChangeArrowheads="1" noChangeAspect="1"/>
                    </pic:cNvPicPr>
                  </pic:nvPicPr>
                  <pic:blipFill>
                    <a:blip r:embed="rId18"/>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Fit and prediction time against reference size and label cardinality. Fit grows</w:t>
      </w:r>
      <w:r>
        <w:t xml:space="preserve"> </w:t>
      </w:r>
      <w:r>
        <w:t xml:space="preserve">for every trained method; prediction stays flat and sub-second across the whole range.</w:t>
      </w:r>
    </w:p>
    <w:bookmarkEnd w:id="21"/>
    <w:bookmarkStart w:id="25"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2).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2195377"/>
            <wp:effectExtent b="0" l="0" r="0" t="0"/>
            <wp:docPr descr="workflow" title="" id="23" name="Picture"/>
            <a:graphic>
              <a:graphicData uri="http://schemas.openxmlformats.org/drawingml/2006/picture">
                <pic:pic>
                  <pic:nvPicPr>
                    <pic:cNvPr descr="/Users/iandriver/Downloads/actinn-jax-benchmark/docs/figures/fig_workflow_umap.png" id="24" name="Picture"/>
                    <pic:cNvPicPr>
                      <a:picLocks noChangeArrowheads="1" noChangeAspect="1"/>
                    </pic:cNvPicPr>
                  </pic:nvPicPr>
                  <pic:blipFill>
                    <a:blip r:embed="rId22"/>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Broad and focused passes on a withheld liver study (3,396 cells), same</w:t>
      </w:r>
      <w:r>
        <w:t xml:space="preserve"> </w:t>
      </w:r>
      <w:r>
        <w:t xml:space="preserve">embedding throughout.</w:t>
      </w:r>
      <w:r>
        <w:t xml:space="preserve"> </w:t>
      </w:r>
      <w:r>
        <w:rPr>
          <w:i/>
          <w:iCs/>
        </w:rPr>
        <w:t xml:space="preserve">Left:</w:t>
      </w:r>
      <w:r>
        <w:t xml:space="preserve"> </w:t>
      </w:r>
      <w:r>
        <w:t xml:space="preserve">the census reference spreads 137 of its 798 labels over the</w:t>
      </w:r>
      <w:r>
        <w:t xml:space="preserve"> </w:t>
      </w:r>
      <w:r>
        <w:t xml:space="preserve">query (concordance 0.34) — its job is to establish tissue and route.</w:t>
      </w:r>
      <w:r>
        <w:t xml:space="preserve"> </w:t>
      </w:r>
      <w:r>
        <w:rPr>
          <w:i/>
          <w:iCs/>
        </w:rPr>
        <w:t xml:space="preserve">Middle:</w:t>
      </w:r>
      <w:r>
        <w:t xml:space="preserve"> </w:t>
      </w:r>
      <w:r>
        <w:t xml:space="preserve">a 36-type liver</w:t>
      </w:r>
      <w:r>
        <w:t xml:space="preserve"> </w:t>
      </w:r>
      <w:r>
        <w:t xml:space="preserve">reference re-annotates the same cells at 0.73.</w:t>
      </w:r>
      <w:r>
        <w:t xml:space="preserve"> </w:t>
      </w:r>
      <w:r>
        <w:rPr>
          <w:i/>
          <w:iCs/>
        </w:rPr>
        <w:t xml:space="preserve">Right:</w:t>
      </w:r>
      <w:r>
        <w:t xml:space="preserve"> </w:t>
      </w:r>
      <w:r>
        <w:t xml:space="preserve">the study’s own labels.</w:t>
      </w:r>
    </w:p>
    <w:bookmarkEnd w:id="25"/>
    <w:bookmarkStart w:id="26"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beats both the teacher and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(Supplementary Note S6). Replacing the embedding-derived hierarchy with one derived from Cell</w:t>
      </w:r>
      <w:r>
        <w:t xml:space="preserve"> </w:t>
      </w:r>
      <w:r>
        <w:t xml:space="preserve">Ontology lineage removes the GPU from the build entirely and outperforms it (0.616 vs 0.547</w:t>
      </w:r>
      <w:r>
        <w:t xml:space="preserve"> </w:t>
      </w:r>
      <w:r>
        <w:t xml:space="preserve">flat; a same-sized random grouping scores 0.539), which extends the route to a second organism</w:t>
      </w:r>
      <w:r>
        <w:t xml:space="preserve"> </w:t>
      </w:r>
      <w:r>
        <w:t xml:space="preserve">(Supplementary Note S10).</w:t>
      </w:r>
    </w:p>
    <w:bookmarkEnd w:id="26"/>
    <w:bookmarkStart w:id="27" w:name="Xc9c7bad4aecd06c09d0d5feaca47a6a3c3e0f37"/>
    <w:p>
      <w:pPr>
        <w:pStyle w:val="Heading2"/>
      </w:pPr>
      <w:r>
        <w:t xml:space="preserve">Abstention is tunable; zero-shot labels are not competitive</w:t>
      </w:r>
    </w:p>
    <w:p>
      <w:pPr>
        <w:pStyle w:val="FirstParagraph"/>
      </w:pPr>
      <w:r>
        <w:t xml:space="preserve">Withholding 9 of 36 cell types entirely, a confidence threshold trades coverage against</w:t>
      </w:r>
      <w:r>
        <w:t xml:space="preserve"> </w:t>
      </w:r>
      <w:r>
        <w:t xml:space="preserve">accuracy smoothly: accuracy on kept cells rises 0.885 → 0.969 as coverage falls 1.00 → 0.66</w:t>
      </w:r>
      <w:r>
        <w:t xml:space="preserve"> </w:t>
      </w:r>
      <w:r>
        <w:t xml:space="preserve">and out-of-distribution flagging climbs 0.00 → 0.73. A comparator with saturated probabilities</w:t>
      </w:r>
      <w:r>
        <w:t xml:space="preserve"> </w:t>
      </w:r>
      <w:r>
        <w:t xml:space="preserve">offers essentially one operating point instead of a curve (Supplementary Note S9). Separately,</w:t>
      </w:r>
      <w:r>
        <w:t xml:space="preserve"> </w:t>
      </w:r>
      <w:r>
        <w:t xml:space="preserve">a foundation model run zero-shot scored</w:t>
      </w:r>
      <w:r>
        <w:t xml:space="preserve"> </w:t>
      </w:r>
      <w:r>
        <w:rPr>
          <w:b/>
          <w:bCs/>
        </w:rPr>
        <w:t xml:space="preserve">0.201</w:t>
      </w:r>
      <w:r>
        <w:t xml:space="preserve"> </w:t>
      </w:r>
      <w:r>
        <w:t xml:space="preserve">ontology concordance against 0.894 for a</w:t>
      </w:r>
      <w:r>
        <w:t xml:space="preserve"> </w:t>
      </w:r>
      <w:r>
        <w:t xml:space="preserve">reference-trained model on the same data, taking ~280× longer — reproduced independently on</w:t>
      </w:r>
      <w:r>
        <w:t xml:space="preserve"> </w:t>
      </w:r>
      <w:r>
        <w:t xml:space="preserve">Open Problems, where zero-shot entries sit at the bottom of the leaderboard.</w:t>
      </w:r>
    </w:p>
    <w:bookmarkEnd w:id="27"/>
    <w:bookmarkEnd w:id="28"/>
    <w:bookmarkStart w:id="29"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A prototype VAE provides uncertainty, attribution and</w:t>
      </w:r>
      <w:r>
        <w:t xml:space="preserve"> </w:t>
      </w:r>
      <w:r>
        <w:t xml:space="preserve">a 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Supplementary Note S1.</w:t>
      </w:r>
    </w:p>
    <w:bookmarkEnd w:id="29"/>
    <w:bookmarkStart w:id="52"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0">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1">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2">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3">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4">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5">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6">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37">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38">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39">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0">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1">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2">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3">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4">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5">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6">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47">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48">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49">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0">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1">
        <w:r>
          <w:rPr>
            <w:rStyle w:val="Hyperlink"/>
          </w:rPr>
          <w:t xml:space="preserve">xkcd.com/927</w:t>
        </w:r>
      </w:hyperlink>
      <w:r>
        <w:t xml:space="preserv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13-method benchmark of cost, scaling and workflow</dc:title>
  <dc:creator>Ian Driver</dc:creator>
  <cp:keywords/>
  <dcterms:created xsi:type="dcterms:W3CDTF">2026-08-07T19:30:17Z</dcterms:created>
  <dcterms:modified xsi:type="dcterms:W3CDTF">2026-08-07T19:30:17Z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spanning classical, regularized-linear, parameter-free, correlation, deep-probabilistic, prototype-VAE and foundation-model families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the ordering inverts with reference size,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 Pan-human Azimuth, a concurrent purpose-built pan-human annotator, can be distilled into such a reference from raw counts alone — no GPU, no labeled input — reaching higher concordance than the teacher at 6–9× its throughput. We release the reimplementation (actinn-jax), the harness, and the pre-trained references.</vt:lpwstr>
  </property>
  <property fmtid="{D5CDD505-2E9C-101B-9397-08002B2CF9AE}" pid="3" name="date">
    <vt:lpwstr/>
  </property>
</Properties>
</file>