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benchmark of cell-type annotation methods for single-cell data: cost, not accuracy, distinguishes them</w:t>
      </w:r>
    </w:p>
    <w:p>
      <w:pPr>
        <w:pStyle w:val="Author"/>
      </w:pPr>
      <w:r>
        <w:t xml:space="preserve">Ian Driver</w:t>
      </w:r>
    </w:p>
    <w:p>
      <w:pPr>
        <w:pStyle w:val="AbstractTitle"/>
      </w:pPr>
      <w:r>
        <w:t xml:space="preserve">Abstract</w:t>
      </w:r>
    </w:p>
    <w:p>
      <w:pPr>
        <w:pStyle w:val="Abstract"/>
      </w:pPr>
      <w:r>
        <w:t xml:space="preserve">Cell-type annotation by reference mapping is one of the most repeated operations in single-cell analysis, yet comparisons report accuracy far more often than the time and memory that decide what a scientist can actually run. We benchmarked</w:t>
      </w:r>
      <w:r>
        <w:t xml:space="preserve"> </w:t>
      </w:r>
      <w:r>
        <w:rPr>
          <w:b/>
          <w:bCs/>
        </w:rPr>
        <w:t xml:space="preserve">thirteen methods</w:t>
      </w:r>
      <w:r>
        <w:t xml:space="preserve">, classical through foundation-model, across</w:t>
      </w:r>
      <w:r>
        <w:t xml:space="preserve"> </w:t>
      </w:r>
      <w:r>
        <w:rPr>
          <w:b/>
          <w:bCs/>
        </w:rPr>
        <w:t xml:space="preserve">eight splits of seven datasets</w:t>
      </w:r>
      <w:r>
        <w:t xml:space="preserve"> </w:t>
      </w:r>
      <w:r>
        <w:t xml:space="preserve">(8–151 cell types) on commodity hardware, and on Open Problems</w:t>
      </w:r>
      <w:r>
        <w:t xml:space="preserve"> </w:t>
      </w:r>
      <w:r>
        <w:rPr>
          <w:rStyle w:val="VerbatimChar"/>
        </w:rPr>
        <w:t xml:space="preserve">label_projection</w:t>
      </w:r>
      <w:r>
        <w:t xml:space="preserve">, whose datasets and metrics we did not choose. Accuracy among the leading methods is tightly clustered — the top four span</w:t>
      </w:r>
      <w:r>
        <w:t xml:space="preserve"> </w:t>
      </w:r>
      <w:r>
        <w:rPr>
          <w:b/>
          <w:bCs/>
        </w:rPr>
        <w:t xml:space="preserve">0.008</w:t>
      </w:r>
      <w:r>
        <w:t xml:space="preserve"> </w:t>
      </w:r>
      <w:r>
        <w:t xml:space="preserve">— while their inference cost differs by two orders of magnitude and their peak memory by 2.5×. No method leads everywhere, and no ordering is stable — it inverts with reference size, feature budget and label granularity. With several methods both accurate and cheap, the useful question is not which is best but what cheap annotation makes possible. Using</w:t>
      </w:r>
      <w:r>
        <w:t xml:space="preserve"> </w:t>
      </w:r>
      <w:r>
        <w:rPr>
          <w:b/>
          <w:bCs/>
        </w:rPr>
        <w:t xml:space="preserve">actinn-jax</w:t>
      </w:r>
      <w:r>
        <w:t xml:space="preserve">, a JAX reimplementation of ACTINN whose cached reference maps a query in under a second, we show annotation becoming a</w:t>
      </w:r>
      <w:r>
        <w:t xml:space="preserve"> </w:t>
      </w:r>
      <w:r>
        <w:rPr>
          <w:b/>
          <w:bCs/>
        </w:rPr>
        <w:t xml:space="preserve">multi-pass workflow</w:t>
      </w:r>
      <w:r>
        <w:t xml:space="preserve"> </w:t>
      </w:r>
      <w:r>
        <w:t xml:space="preserve">rather than a single decision: a shipped ~800-type reference routes a query to tissue and hands off to a focused one (cross-study liver 0.23/0.58 to 0.72/0.86, exact/ontology); a pan-human annotator distills into an interchangeable entry point from raw counts alone — no GPU, no labels — matching its teacher at six to nine times the throughput; and three broad references over the same cells partition it by agreement. In liver, lung and brain every reference is far more accurate where all three concur, though a consensus</w:t>
      </w:r>
      <w:r>
        <w:t xml:space="preserve"> </w:t>
      </w:r>
      <w:r>
        <w:rPr>
          <w:i/>
          <w:iCs/>
        </w:rPr>
        <w:t xml:space="preserve">label</w:t>
      </w:r>
      <w:r>
        <w:t xml:space="preserve"> </w:t>
      </w:r>
      <w:r>
        <w:t xml:space="preserve">beats none of them: the value is knowing which calls to trust. Code and pre-trained references are available at github.com/iandriver/actinn-jax, github.com/iandriver/actinn-jax-benchmark and doi:10.5281/zenodo.21688150.</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key-points"/>
    <w:p>
      <w:pPr>
        <w:pStyle w:val="Heading1"/>
      </w:pPr>
      <w:r>
        <w:t xml:space="preserve">Key Points</w:t>
      </w:r>
    </w:p>
    <w:p>
      <w:pPr>
        <w:pStyle w:val="Compact"/>
        <w:numPr>
          <w:ilvl w:val="0"/>
          <w:numId w:val="1001"/>
        </w:numPr>
      </w:pPr>
      <w:r>
        <w:t xml:space="preserve">Among leading annotation methods, accuracy differences are small (top four within 0.008)</w:t>
      </w:r>
      <w:r>
        <w:t xml:space="preserve"> </w:t>
      </w:r>
      <w:r>
        <w:t xml:space="preserve">while predict time differs by ~205× and peak memory by 2.5×; cost, not accuracy, is what</w:t>
      </w:r>
      <w:r>
        <w:t xml:space="preserve"> </w:t>
      </w:r>
      <w:r>
        <w:t xml:space="preserve">distinguishes them in practice.</w:t>
      </w:r>
    </w:p>
    <w:p>
      <w:pPr>
        <w:pStyle w:val="Compact"/>
        <w:numPr>
          <w:ilvl w:val="0"/>
          <w:numId w:val="1001"/>
        </w:numPr>
      </w:pPr>
      <w:r>
        <w:t xml:space="preserve">Rankings are not stable: a prototype VAE moves from worst to best as the reference grows</w:t>
      </w:r>
      <w:r>
        <w:t xml:space="preserve"> </w:t>
      </w:r>
      <w:r>
        <w:t xml:space="preserve">from 3k to 49k cells, and a tuned linear pipeline that fits faster than a gene-space MLP on</w:t>
      </w:r>
      <w:r>
        <w:t xml:space="preserve"> </w:t>
      </w:r>
      <w:r>
        <w:t xml:space="preserve">one panel costs 2.7× more on another with a narrower feature budget.</w:t>
      </w:r>
    </w:p>
    <w:p>
      <w:pPr>
        <w:pStyle w:val="Compact"/>
        <w:numPr>
          <w:ilvl w:val="0"/>
          <w:numId w:val="1001"/>
        </w:numPr>
      </w:pPr>
      <w:r>
        <w:t xml:space="preserve">Predict is sub-second for every CPU method tested and flat in reference size for all of</w:t>
      </w:r>
      <w:r>
        <w:t xml:space="preserve"> </w:t>
      </w:r>
      <w:r>
        <w:t xml:space="preserve">them; what makes chaining stages practical is the ratio, a sub-second call recurring against</w:t>
      </w:r>
      <w:r>
        <w:t xml:space="preserve"> </w:t>
      </w:r>
      <w:r>
        <w:t xml:space="preserve">a fit of 19–123 s paid once.</w:t>
      </w:r>
    </w:p>
    <w:p>
      <w:pPr>
        <w:pStyle w:val="Compact"/>
        <w:numPr>
          <w:ilvl w:val="0"/>
          <w:numId w:val="1001"/>
        </w:numPr>
      </w:pPr>
      <w:r>
        <w:t xml:space="preserve">A pretrained pan-human annotator can be distilled into a fast reference using only raw</w:t>
      </w:r>
      <w:r>
        <w:t xml:space="preserve"> </w:t>
      </w:r>
      <w:r>
        <w:t xml:space="preserve">counts — no GPU, no labels — matching the teacher’s concordance and beating a census-built</w:t>
      </w:r>
      <w:r>
        <w:t xml:space="preserve"> </w:t>
      </w:r>
      <w:r>
        <w:t xml:space="preserve">reference, at 6–9× the teacher’s throughput.</w:t>
      </w:r>
    </w:p>
    <w:p>
      <w:pPr>
        <w:pStyle w:val="Compact"/>
        <w:numPr>
          <w:ilvl w:val="0"/>
          <w:numId w:val="1001"/>
        </w:numPr>
      </w:pPr>
      <w:r>
        <w:t xml:space="preserve">Agreement between independent broad references is a label-free confidence signal,</w:t>
      </w:r>
      <w:r>
        <w:t xml:space="preserve"> </w:t>
      </w:r>
      <w:r>
        <w:t xml:space="preserve">replicated on three tissues: where three references concur, every one of them is far more</w:t>
      </w:r>
      <w:r>
        <w:t xml:space="preserve"> </w:t>
      </w:r>
      <w:r>
        <w:t xml:space="preserve">accurate than where they disagree. How much of a query that covers varies from 23% to 94%</w:t>
      </w:r>
      <w:r>
        <w:t xml:space="preserve"> </w:t>
      </w:r>
      <w:r>
        <w:t xml:space="preserve">and tracks the resolution of the query’s own annotation. A consensus</w:t>
      </w:r>
      <w:r>
        <w:t xml:space="preserve"> </w:t>
      </w:r>
      <w:r>
        <w:rPr>
          <w:i/>
          <w:iCs/>
        </w:rPr>
        <w:t xml:space="preserve">label</w:t>
      </w:r>
      <w:r>
        <w:t xml:space="preserve"> </w:t>
      </w:r>
      <w:r>
        <w:t xml:space="preserve">beats the best</w:t>
      </w:r>
      <w:r>
        <w:t xml:space="preserve"> </w:t>
      </w:r>
      <w:r>
        <w:t xml:space="preserve">single reference in none of the three.</w:t>
      </w:r>
    </w:p>
    <w:bookmarkEnd w:id="9"/>
    <w:bookmarkStart w:id="12" w:name="introduction"/>
    <w:p>
      <w:pPr>
        <w:pStyle w:val="Heading1"/>
      </w:pPr>
      <w:r>
        <w:t xml:space="preserve">Introduction</w:t>
      </w:r>
    </w:p>
    <w:p>
      <w:pPr>
        <w:pStyle w:val="FirstParagraph"/>
      </w:pPr>
      <w:r>
        <w:t xml:space="preserve">Annotating cells by mapping to a labeled reference is run constantly and rarely reported as a</w:t>
      </w:r>
      <w:r>
        <w:t xml:space="preserve"> </w:t>
      </w:r>
      <w:r>
        <w:t xml:space="preserve">cost. Existing comparisons [Abdelaal 2019, Fu 2024] emphasize accuracy; the axis that decides</w:t>
      </w:r>
      <w:r>
        <w:t xml:space="preserve"> </w:t>
      </w:r>
      <w:r>
        <w:t xml:space="preserve">what runs on a laptop — wall-clock and memory without a GPU — is usually absent. Foundation</w:t>
      </w:r>
      <w:r>
        <w:t xml:space="preserve"> </w:t>
      </w:r>
      <w:r>
        <w:t xml:space="preserve">models</w:t>
      </w:r>
      <w:r>
        <w:t xml:space="preserve"> </w:t>
      </w:r>
      <w:hyperlink r:id="rId10">
        <w:r>
          <w:rPr>
            <w:rStyle w:val="Hyperlink"/>
          </w:rPr>
          <w:t xml:space="preserve">[Kalfon 2025]</w:t>
        </w:r>
      </w:hyperlink>
      <w:r>
        <w:t xml:space="preserve"> </w:t>
      </w:r>
      <w:r>
        <w:t xml:space="preserve">raise accuracy in some settings but need accelerators, and their</w:t>
      </w:r>
      <w:r>
        <w:t xml:space="preserve"> </w:t>
      </w:r>
      <w:r>
        <w:t xml:space="preserve">zero-shot label predictions underperform small models trained on curated references.</w:t>
      </w:r>
    </w:p>
    <w:p>
      <w:pPr>
        <w:pStyle w:val="BodyText"/>
      </w:pPr>
      <w:r>
        <w:t xml:space="preserve">That reporting gap matters more than a missing column, because annotation in practice is not</w:t>
      </w:r>
      <w:r>
        <w:t xml:space="preserve"> </w:t>
      </w:r>
      <w:r>
        <w:t xml:space="preserve">one decision. A working analysis asks what broad compartments are present, which tissue the</w:t>
      </w:r>
      <w:r>
        <w:t xml:space="preserve"> </w:t>
      </w:r>
      <w:r>
        <w:t xml:space="preserve">query resembles, how the cells resolve against a reference matched to that tissue, whether</w:t>
      </w:r>
      <w:r>
        <w:t xml:space="preserve"> </w:t>
      </w:r>
      <w:r>
        <w:t xml:space="preserve">anything is present that no reference describes, and how much of the answer to believe. Each</w:t>
      </w:r>
      <w:r>
        <w:t xml:space="preserve"> </w:t>
      </w:r>
      <w:r>
        <w:t xml:space="preserve">of those is a reference call. When a call costs minutes, the workflow collapses to a single</w:t>
      </w:r>
      <w:r>
        <w:t xml:space="preserve"> </w:t>
      </w:r>
      <w:r>
        <w:t xml:space="preserve">pass against a single reference chosen in advance; when it costs a fraction of a second,</w:t>
      </w:r>
      <w:r>
        <w:t xml:space="preserve"> </w:t>
      </w:r>
      <w:r>
        <w:t xml:space="preserve">running several references and comparing them becomes ordinary. The benchmark below is</w:t>
      </w:r>
      <w:r>
        <w:t xml:space="preserve"> </w:t>
      </w:r>
      <w:r>
        <w:t xml:space="preserve">therefore a means rather than an end: it establishes that the accuracy differences among the</w:t>
      </w:r>
      <w:r>
        <w:t xml:space="preserve"> </w:t>
      </w:r>
      <w:r>
        <w:t xml:space="preserve">leading methods are small and the cost differences are not, which is what licenses spending</w:t>
      </w:r>
      <w:r>
        <w:t xml:space="preserve"> </w:t>
      </w:r>
      <w:r>
        <w:t xml:space="preserve">the budget on more passes instead of on a better single pass.</w:t>
      </w:r>
    </w:p>
    <w:p>
      <w:pPr>
        <w:pStyle w:val="BodyText"/>
      </w:pPr>
      <w:r>
        <w:t xml:space="preserve">Concurrent work sharpens the question rather than settling it.</w:t>
      </w:r>
      <w:r>
        <w:t xml:space="preserve"> </w:t>
      </w:r>
      <w:r>
        <w:rPr>
          <w:b/>
          <w:bCs/>
        </w:rPr>
        <w:t xml:space="preserve">Pan-human Azimuth</w:t>
      </w:r>
      <w:r>
        <w:t xml:space="preserve"> </w:t>
      </w:r>
      <w:hyperlink r:id="rId11">
        <w:r>
          <w:rPr>
            <w:rStyle w:val="Hyperlink"/>
          </w:rPr>
          <w:t xml:space="preserve">[Sarkar et al. 2026]</w:t>
        </w:r>
      </w:hyperlink>
      <w:r>
        <w:t xml:space="preserve"> </w:t>
      </w:r>
      <w:r>
        <w:t xml:space="preserve">ships a supervised hierarchical classifier over a harmonized</w:t>
      </w:r>
      <w:r>
        <w:t xml:space="preserve"> </w:t>
      </w:r>
      <w:r>
        <w:t xml:space="preserve">organism-wide typology — 8 levels, 382 leaf types, ~7M parameters over a fixed 5,055-gene</w:t>
      </w:r>
      <w:r>
        <w:t xml:space="preserve"> </w:t>
      </w:r>
      <w:r>
        <w:t xml:space="preserve">panel, trained on 9.7M curated cells, with abstention</w:t>
      </w:r>
      <w:r>
        <w:t xml:space="preserve"> </w:t>
      </w:r>
      <w:r>
        <w:rPr>
          <w:i/>
          <w:iCs/>
        </w:rPr>
        <w:t xml:space="preserve">learned</w:t>
      </w:r>
      <w:r>
        <w:t xml:space="preserve"> </w:t>
      </w:r>
      <w:r>
        <w:t xml:space="preserve">rather than thresholded</w:t>
      </w:r>
      <w:r>
        <w:t xml:space="preserve"> </w:t>
      </w:r>
      <w:r>
        <w:t xml:space="preserve">(expected calibration error 0.0044) — and runs on a laptop. It is better resourced than any</w:t>
      </w:r>
      <w:r>
        <w:t xml:space="preserve"> </w:t>
      </w:r>
      <w:r>
        <w:t xml:space="preserve">reference we could build, and its authors reach a conclusion parallel to ours: training-data</w:t>
      </w:r>
      <w:r>
        <w:t xml:space="preserve"> </w:t>
      </w:r>
      <w:r>
        <w:t xml:space="preserve">quality and organization matter as much as architecture or scale, with accuracy saturating</w:t>
      </w:r>
      <w:r>
        <w:t xml:space="preserve"> </w:t>
      </w:r>
      <w:r>
        <w:t xml:space="preserve">past ~5M training cells. A purpose-built pan-human model is therefore the right thing to</w:t>
      </w:r>
      <w:r>
        <w:t xml:space="preserve"> </w:t>
      </w:r>
      <w:r>
        <w:rPr>
          <w:i/>
          <w:iCs/>
        </w:rPr>
        <w:t xml:space="preserve">start</w:t>
      </w:r>
      <w:r>
        <w:t xml:space="preserve"> </w:t>
      </w:r>
      <w:r>
        <w:t xml:space="preserve">from; the open question is what to do next, since no fixed typology can re-annotate</w:t>
      </w:r>
      <w:r>
        <w:t xml:space="preserve"> </w:t>
      </w:r>
      <w:r>
        <w:t xml:space="preserve">into a user’s own label set or resolve states below its own leaves.</w:t>
      </w:r>
    </w:p>
    <w:p>
      <w:pPr>
        <w:pStyle w:val="BodyText"/>
      </w:pPr>
      <w:r>
        <w:t xml:space="preserve">Because a benchmark written by a method’s own author has a known failure mode, the comparison</w:t>
      </w:r>
      <w:r>
        <w:t xml:space="preserve"> </w:t>
      </w:r>
      <w:r>
        <w:t xml:space="preserve">was constrained by construction: every method runs on</w:t>
      </w:r>
      <w:r>
        <w:t xml:space="preserve"> </w:t>
      </w:r>
      <w:r>
        <w:rPr>
          <w:b/>
          <w:bCs/>
        </w:rPr>
        <w:t xml:space="preserve">every</w:t>
      </w:r>
      <w:r>
        <w:t xml:space="preserve"> </w:t>
      </w:r>
      <w:r>
        <w:t xml:space="preserve">dataset through one harness on</w:t>
      </w:r>
      <w:r>
        <w:t xml:space="preserve"> </w:t>
      </w:r>
      <w:r>
        <w:t xml:space="preserve">identical splits; the panel was chosen to include the baselines most likely to beat a small</w:t>
      </w:r>
      <w:r>
        <w:t xml:space="preserve"> </w:t>
      </w:r>
      <w:r>
        <w:t xml:space="preserve">MLP, and each of them does beat it somewhere; our own classical tier is left untuned while the</w:t>
      </w:r>
      <w:r>
        <w:t xml:space="preserve"> </w:t>
      </w:r>
      <w:r>
        <w:t xml:space="preserve">linear baseline is tuned; and the external validation uses a benchmark designed by others.</w:t>
      </w:r>
    </w:p>
    <w:bookmarkEnd w:id="12"/>
    <w:bookmarkStart w:id="15" w:name="materials-and-methods"/>
    <w:p>
      <w:pPr>
        <w:pStyle w:val="Heading1"/>
      </w:pPr>
      <w:r>
        <w:t xml:space="preserve">Materials and methods</w:t>
      </w:r>
    </w:p>
    <w:p>
      <w:pPr>
        <w:pStyle w:val="FirstParagraph"/>
      </w:pPr>
      <w:r>
        <w:rPr>
          <w:b/>
          <w:bCs/>
        </w:rPr>
        <w:t xml:space="preserve">actinn-jax.</w:t>
      </w:r>
      <w:r>
        <w:t xml:space="preserve"> </w:t>
      </w:r>
      <w:r>
        <w:t xml:space="preserve">A dependency-light JAX reimplementation of ACTINN</w:t>
      </w:r>
      <w:r>
        <w:t xml:space="preserve"> </w:t>
      </w:r>
      <w:hyperlink r:id="rId13">
        <w:r>
          <w:rPr>
            <w:rStyle w:val="Hyperlink"/>
          </w:rPr>
          <w:t xml:space="preserve">[Ma &amp; Pellegrini 2020]</w:t>
        </w:r>
      </w:hyperlink>
      <w:r>
        <w:t xml:space="preserve"> </w:t>
      </w:r>
      <w:r>
        <w:t xml:space="preserve">— a</w:t>
      </w:r>
      <w:r>
        <w:t xml:space="preserve"> </w:t>
      </w:r>
      <w:r>
        <w:t xml:space="preserve">4-layer network (100/50/25 hidden units, ReLU, softmax, Adam) — replacing TensorFlow-1.x</w:t>
      </w:r>
      <w:r>
        <w:t xml:space="preserve"> </w:t>
      </w:r>
      <w:r>
        <w:t xml:space="preserve">graph/session code that no longer installs on current Python and ML environments. Preprocessing is</w:t>
      </w:r>
      <w:r>
        <w:t xml:space="preserve"> </w:t>
      </w:r>
      <w:r>
        <w:t xml:space="preserve">sparse-aware; a fitted reference is cached and reused across queries; prediction is chunked</w:t>
      </w:r>
      <w:r>
        <w:t xml:space="preserve"> </w:t>
      </w:r>
      <w:r>
        <w:t xml:space="preserve">for atlas-scale inputs. Accuracy matches the original within repeat noise.</w:t>
      </w:r>
    </w:p>
    <w:p>
      <w:pPr>
        <w:pStyle w:val="BodyText"/>
      </w:pPr>
      <w:r>
        <w:rPr>
          <w:b/>
          <w:bCs/>
        </w:rPr>
        <w:t xml:space="preserve">Panel and datasets.</w:t>
      </w:r>
      <w:r>
        <w:t xml:space="preserve"> </w:t>
      </w:r>
      <w:r>
        <w:t xml:space="preserve">Thirteen methods (Supplementary Table S1) across eight splits of seven</w:t>
      </w:r>
      <w:r>
        <w:t xml:space="preserve"> </w:t>
      </w:r>
      <w:r>
        <w:t xml:space="preserve">datasets (Supplementary Table S2): lung within-dataset and cross-dataset, liver within-dataset</w:t>
      </w:r>
      <w:r>
        <w:t xml:space="preserve"> </w:t>
      </w:r>
      <w:r>
        <w:t xml:space="preserve">and cross-</w:t>
      </w:r>
      <w:r>
        <w:rPr>
          <w:b/>
          <w:bCs/>
        </w:rPr>
        <w:t xml:space="preserve">study</w:t>
      </w:r>
      <w:r>
        <w:t xml:space="preserve">, an 86-type blood+gut set, PBMC, and Allen middle temporal gyrus nuclei at</w:t>
      </w:r>
      <w:r>
        <w:t xml:space="preserve"> </w:t>
      </w:r>
      <w:r>
        <w:t xml:space="preserve">two levels of one taxonomy — 8 to 151 cell types, spanning three generalization regimes.</w:t>
      </w:r>
    </w:p>
    <w:p>
      <w:pPr>
        <w:pStyle w:val="BodyText"/>
      </w:pPr>
      <w:r>
        <w:rPr>
          <w:b/>
          <w:bCs/>
        </w:rPr>
        <w:t xml:space="preserve">Metrics.</w:t>
      </w:r>
      <w:r>
        <w:t xml:space="preserve"> </w:t>
      </w:r>
      <w:r>
        <w:t xml:space="preserve">Accuracy, macro-F1, and</w:t>
      </w:r>
      <w:r>
        <w:t xml:space="preserve"> </w:t>
      </w:r>
      <w:r>
        <w:rPr>
          <w:b/>
          <w:bCs/>
        </w:rPr>
        <w:t xml:space="preserve">ontology-aware concordance</w:t>
      </w:r>
      <w:r>
        <w:t xml:space="preserve">, which credits a call that</w:t>
      </w:r>
      <w:r>
        <w:t xml:space="preserve"> </w:t>
      </w:r>
      <w:r>
        <w:t xml:space="preserve">is the same node, an ancestor or a descendant of the truth in the Cell Ontology. The last is</w:t>
      </w:r>
      <w:r>
        <w:t xml:space="preserve"> </w:t>
      </w:r>
      <w:r>
        <w:t xml:space="preserve">required because vocabularies disagree about granularity: on our cross-dataset lung split</w:t>
      </w:r>
      <w:r>
        <w:t xml:space="preserve"> </w:t>
      </w:r>
      <w:r>
        <w:t xml:space="preserve">reference and query share only 20 of 46 type names, so exact-match accuracy (~0.35 for every method)</w:t>
      </w:r>
      <w:r>
        <w:t xml:space="preserve"> </w:t>
      </w:r>
      <w:r>
        <w:t xml:space="preserve">measures vocabulary mismatch rather than transfer. Concordance is reported only where both</w:t>
      </w:r>
      <w:r>
        <w:t xml:space="preserve"> </w:t>
      </w:r>
      <w:r>
        <w:t xml:space="preserve">sides carry ontology ids.</w:t>
      </w:r>
    </w:p>
    <w:p>
      <w:pPr>
        <w:pStyle w:val="BodyText"/>
      </w:pPr>
      <w:r>
        <w:rPr>
          <w:b/>
          <w:bCs/>
        </w:rPr>
        <w:t xml:space="preserve">Agreement between references.</w:t>
      </w:r>
      <w:r>
        <w:t xml:space="preserve"> </w:t>
      </w:r>
      <w:r>
        <w:t xml:space="preserve">Three broad annotators answer in three different</w:t>
      </w:r>
      <w:r>
        <w:t xml:space="preserve"> </w:t>
      </w:r>
      <w:r>
        <w:t xml:space="preserve">vocabularies, so agreement is defined in the Cell Ontology, where all three map: two calls</w:t>
      </w:r>
      <w:r>
        <w:t xml:space="preserve"> </w:t>
      </w:r>
      <w:r>
        <w:t xml:space="preserve">agree when they are the same term or one is an ancestor of the other — the same relation the</w:t>
      </w:r>
      <w:r>
        <w:t xml:space="preserve"> </w:t>
      </w:r>
      <w:r>
        <w:t xml:space="preserve">concordance metric uses. Cells are partitioned by how many of the three mutually agree.</w:t>
      </w:r>
    </w:p>
    <w:p>
      <w:pPr>
        <w:pStyle w:val="BodyText"/>
      </w:pPr>
      <w:r>
        <w:rPr>
          <w:b/>
          <w:bCs/>
        </w:rPr>
        <w:t xml:space="preserve">Execution.</w:t>
      </w:r>
      <w:r>
        <w:t xml:space="preserve"> </w:t>
      </w:r>
      <w:r>
        <w:t xml:space="preserve">Each method runs in its own environment as a separate process, because the</w:t>
      </w:r>
      <w:r>
        <w:t xml:space="preserve"> </w:t>
      </w:r>
      <w:r>
        <w:t xml:space="preserve">dependency sets are mutually unsatisfiable; one driver builds each split once from a fixed</w:t>
      </w:r>
      <w:r>
        <w:t xml:space="preserve"> </w:t>
      </w:r>
      <w:r>
        <w:t xml:space="preserve">seed and hands the identical pair to every method. Three repeats. Hardware: Apple Silicon,</w:t>
      </w:r>
      <w:r>
        <w:t xml:space="preserve"> </w:t>
      </w:r>
      <w:r>
        <w:t xml:space="preserve">CPU for classical/linear/correlation tiers, Apple MPS for deep and foundation tiers.</w:t>
      </w:r>
      <w:r>
        <w:t xml:space="preserve"> </w:t>
      </w:r>
      <w:r>
        <w:t xml:space="preserve">External validation runs on AWS</w:t>
      </w:r>
      <w:r>
        <w:t xml:space="preserve"> </w:t>
      </w:r>
      <w:r>
        <w:rPr>
          <w:rStyle w:val="VerbatimChar"/>
        </w:rPr>
        <w:t xml:space="preserve">r7i.8xlarge</w:t>
      </w:r>
      <w:r>
        <w:t xml:space="preserve"> </w:t>
      </w:r>
      <w:r>
        <w:t xml:space="preserve">through Open Problems’ own Nextflow pipeline.</w:t>
      </w:r>
      <w:r>
        <w:t xml:space="preserve"> </w:t>
      </w:r>
      <w:r>
        <w:t xml:space="preserve">Because wall-clock on a shared machine depends on co-scheduled load, cost is reported from the</w:t>
      </w:r>
      <w:r>
        <w:t xml:space="preserve"> </w:t>
      </w:r>
      <w:r>
        <w:t xml:space="preserve">fastest of three runs on an otherwise idle machine, and external cost as a ratio to a method</w:t>
      </w:r>
      <w:r>
        <w:t xml:space="preserve"> </w:t>
      </w:r>
      <w:r>
        <w:t xml:space="preserve">present in every run. Environments are pinned and the Cell Ontology release is recorded.</w:t>
      </w:r>
    </w:p>
    <w:p>
      <w:pPr>
        <w:pStyle w:val="BodyText"/>
      </w:pPr>
      <w:r>
        <w:rPr>
          <w:b/>
          <w:bCs/>
        </w:rPr>
        <w:t xml:space="preserve">Supplementary material</w:t>
      </w:r>
      <w:r>
        <w:t xml:space="preserve"> </w:t>
      </w:r>
      <w:r>
        <w:t xml:space="preserve">(separate document) carries the scaling studies (Figures S5–S7),</w:t>
      </w:r>
      <w:r>
        <w:t xml:space="preserve"> </w:t>
      </w:r>
      <w:r>
        <w:t xml:space="preserve">the abstention sweep (Figures S8–S9), confusion matrices and per-class recall (Figures S1–S4),</w:t>
      </w:r>
      <w:r>
        <w:t xml:space="preserve"> </w:t>
      </w:r>
      <w:r>
        <w:t xml:space="preserve">and Tables S1–S3.</w:t>
      </w:r>
    </w:p>
    <w:p>
      <w:pPr>
        <w:pStyle w:val="BodyText"/>
      </w:pPr>
      <w:r>
        <w:rPr>
          <w:b/>
          <w:bCs/>
        </w:rPr>
        <w:t xml:space="preserve">Workflow components.</w:t>
      </w:r>
      <w:r>
        <w:t xml:space="preserve"> </w:t>
      </w:r>
      <w:r>
        <w:t xml:space="preserve">A broad reference built from the CELLxGENE Census</w:t>
      </w:r>
      <w:r>
        <w:t xml:space="preserve"> </w:t>
      </w:r>
      <w:hyperlink r:id="rId14">
        <w:r>
          <w:rPr>
            <w:rStyle w:val="Hyperlink"/>
          </w:rPr>
          <w:t xml:space="preserve">[CZI Census 2025]</w:t>
        </w:r>
      </w:hyperlink>
      <w:r>
        <w:t xml:space="preserve">;</w:t>
      </w:r>
      <w:r>
        <w:t xml:space="preserve"> </w:t>
      </w:r>
      <w:r>
        <w:t xml:space="preserve">a coarse→fine hierarchy obtained either from foundation-model embeddings or from Cell Ontology</w:t>
      </w:r>
      <w:r>
        <w:t xml:space="preserve"> </w:t>
      </w:r>
      <w:r>
        <w:t xml:space="preserve">lineage; confidence-threshold abstention calibrated per reference by withholding 10% of cell</w:t>
      </w:r>
      <w:r>
        <w:t xml:space="preserve"> </w:t>
      </w:r>
      <w:r>
        <w:t xml:space="preserve">types; masking-based refinement to a query’s own supported classes or to a tissue; and a</w:t>
      </w:r>
      <w:r>
        <w:t xml:space="preserve"> </w:t>
      </w:r>
      <w:r>
        <w:t xml:space="preserve">cluster-level novelty screen. Protocols for each are documented in the benchmark</w:t>
      </w:r>
      <w:r>
        <w:t xml:space="preserve"> </w:t>
      </w:r>
      <w:r>
        <w:t xml:space="preserve">repository.</w:t>
      </w:r>
    </w:p>
    <w:bookmarkEnd w:id="15"/>
    <w:bookmarkStart w:id="31" w:name="results"/>
    <w:p>
      <w:pPr>
        <w:pStyle w:val="Heading1"/>
      </w:pPr>
      <w:r>
        <w:t xml:space="preserve">Results</w:t>
      </w:r>
    </w:p>
    <w:bookmarkStart w:id="19" w:name="accuracy-is-clustered-cost-is-not"/>
    <w:p>
      <w:pPr>
        <w:pStyle w:val="Heading2"/>
      </w:pPr>
      <w:r>
        <w:t xml:space="preserve">Accuracy is clustered; cost is not</w:t>
      </w:r>
    </w:p>
    <w:p>
      <w:pPr>
        <w:pStyle w:val="FirstParagraph"/>
      </w:pPr>
      <w:r>
        <w:t xml:space="preserve">The top of the accuracy table is a four-way cluster spanning</w:t>
      </w:r>
      <w:r>
        <w:t xml:space="preserve"> </w:t>
      </w:r>
      <w:r>
        <w:rPr>
          <w:b/>
          <w:bCs/>
        </w:rPr>
        <w:t xml:space="preserve">0.008</w:t>
      </w:r>
      <w:r>
        <w:t xml:space="preserve">, led by a tuned linear</w:t>
      </w:r>
      <w:r>
        <w:t xml:space="preserve"> </w:t>
      </w:r>
      <w:r>
        <w:t xml:space="preserve">pipeline rather than by a deep model (Table 1; Figure 1 draws the whole panel at once). Those same four differ by</w:t>
      </w:r>
      <w:r>
        <w:t xml:space="preserve"> </w:t>
      </w:r>
      <w:r>
        <w:rPr>
          <w:b/>
          <w:bCs/>
        </w:rPr>
        <w:t xml:space="preserve">~205× in predict</w:t>
      </w:r>
      <w:r>
        <w:rPr>
          <w:b/>
          <w:bCs/>
        </w:rPr>
        <w:t xml:space="preserve"> </w:t>
      </w:r>
      <w:r>
        <w:rPr>
          <w:b/>
          <w:bCs/>
        </w:rPr>
        <w:t xml:space="preserve">time</w:t>
      </w:r>
      <w:r>
        <w:t xml:space="preserve"> </w:t>
      </w:r>
      <w:r>
        <w:t xml:space="preserve">(0.33 s to 67 s) and</w:t>
      </w:r>
      <w:r>
        <w:t xml:space="preserve"> </w:t>
      </w:r>
      <w:r>
        <w:rPr>
          <w:b/>
          <w:bCs/>
        </w:rPr>
        <w:t xml:space="preserve">2.5× in peak memory</w:t>
      </w:r>
      <w:r>
        <w:t xml:space="preserve">. Order within the cluster is not a result:</w:t>
      </w:r>
      <w:r>
        <w:t xml:space="preserve"> </w:t>
      </w:r>
      <w:r>
        <w:t xml:space="preserve">the stochastic methods move by more than 0.008 between identical reruns, scANVI by up to</w:t>
      </w:r>
      <w:r>
        <w:t xml:space="preserve"> </w:t>
      </w:r>
      <w:r>
        <w:t xml:space="preserve">0.056, so the four are best read as tied on accuracy and separated by cost. actinn-jax holds</w:t>
      </w:r>
      <w:r>
        <w:t xml:space="preserve"> </w:t>
      </w:r>
      <w:r>
        <w:t xml:space="preserve">the best ontology-aware concordance (0.811), likewise a margin inside repeat noise.</w:t>
      </w:r>
    </w:p>
    <w:p>
      <w:pPr>
        <w:pStyle w:val="BodyText"/>
      </w:pPr>
      <w:r>
        <w:drawing>
          <wp:inline>
            <wp:extent cx="5334000" cy="2668748"/>
            <wp:effectExtent b="0" l="0" r="0" t="0"/>
            <wp:docPr descr="accuracy and cost across every split" title="" id="17" name="Picture"/>
            <a:graphic>
              <a:graphicData uri="http://schemas.openxmlformats.org/drawingml/2006/picture">
                <pic:pic>
                  <pic:nvPicPr>
                    <pic:cNvPr descr="/Users/iandriver/Downloads/actinn-jax-benchmark/docs/figures/fig_cost_accuracy_ranges.png" id="18" name="Picture"/>
                    <pic:cNvPicPr>
                      <a:picLocks noChangeArrowheads="1" noChangeAspect="1"/>
                    </pic:cNvPicPr>
                  </pic:nvPicPr>
                  <pic:blipFill>
                    <a:blip r:embed="rId16"/>
                    <a:stretch>
                      <a:fillRect/>
                    </a:stretch>
                  </pic:blipFill>
                  <pic:spPr bwMode="auto">
                    <a:xfrm>
                      <a:off x="0" y="0"/>
                      <a:ext cx="5334000" cy="2668748"/>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Eleven methods over seven splits.</w:t>
      </w:r>
      <w:r>
        <w:t xml:space="preserve"> </w:t>
      </w:r>
      <w:r>
        <w:rPr>
          <w:i/>
          <w:iCs/>
        </w:rPr>
        <w:t xml:space="preserve">A:</w:t>
      </w:r>
      <w:r>
        <w:t xml:space="preserve"> </w:t>
      </w:r>
      <w:r>
        <w:t xml:space="preserve">accuracy as the gap to whichever method</w:t>
      </w:r>
      <w:r>
        <w:t xml:space="preserve"> </w:t>
      </w:r>
      <w:r>
        <w:t xml:space="preserve">leads that split — raw accuracy is dominated by split difficulty (0.94 on pbmc against 0.36 on</w:t>
      </w:r>
      <w:r>
        <w:t xml:space="preserve"> </w:t>
      </w:r>
      <w:r>
        <w:t xml:space="preserve">cross-dataset lung), so a range over it would measure the datasets rather than the methods;</w:t>
      </w:r>
      <w:r>
        <w:t xml:space="preserve"> </w:t>
      </w:r>
      <w:r>
        <w:rPr>
          <w:rStyle w:val="VerbatimChar"/>
        </w:rPr>
        <w:t xml:space="preserve">leads N</w:t>
      </w:r>
      <w:r>
        <w:t xml:space="preserve"> </w:t>
      </w:r>
      <w:r>
        <w:t xml:space="preserve">counts splits won.</w:t>
      </w:r>
      <w:r>
        <w:t xml:space="preserve"> </w:t>
      </w:r>
      <w:r>
        <w:rPr>
          <w:i/>
          <w:iCs/>
        </w:rPr>
        <w:t xml:space="preserve">B:</w:t>
      </w:r>
      <w:r>
        <w:t xml:space="preserve"> </w:t>
      </w:r>
      <w:r>
        <w:t xml:space="preserve">fit + predict on the same splits. Diamonds are means, dots</w:t>
      </w:r>
      <w:r>
        <w:t xml:space="preserve"> </w:t>
      </w:r>
      <w:r>
        <w:t xml:space="preserve">the individual splits, lines run worst to best. Six methods sit within</w:t>
      </w:r>
      <w:r>
        <w:t xml:space="preserve"> </w:t>
      </w:r>
      <w:r>
        <w:rPr>
          <w:b/>
          <w:bCs/>
        </w:rPr>
        <w:t xml:space="preserve">0.035</w:t>
      </w:r>
      <w:r>
        <w:t xml:space="preserve"> </w:t>
      </w:r>
      <w:r>
        <w:t xml:space="preserve">of the</w:t>
      </w:r>
      <w:r>
        <w:t xml:space="preserve"> </w:t>
      </w:r>
      <w:r>
        <w:t xml:space="preserve">per-split leader while spanning 3.4 s to 57 s. Every method’s spread across splits is wider</w:t>
      </w:r>
      <w:r>
        <w:t xml:space="preserve"> </w:t>
      </w:r>
      <w:r>
        <w:t xml:space="preserve">than the distance between the leading methods, which is the caution that belongs with any</w:t>
      </w:r>
      <w:r>
        <w:t xml:space="preserve"> </w:t>
      </w:r>
      <w:r>
        <w:t xml:space="preserve">panel-mean ranking. Repeat-to-repeat variation is far smaller — five methods are exactly</w:t>
      </w:r>
      <w:r>
        <w:t xml:space="preserve"> </w:t>
      </w:r>
      <w:r>
        <w:t xml:space="preserve">deterministic, and only scANVI (0.056) and scArches (0.020) move more than 0.009 — so the</w:t>
      </w:r>
      <w:r>
        <w:t xml:space="preserve"> </w:t>
      </w:r>
      <w:r>
        <w:t xml:space="preserve">range drawn here is across datasets. Per-split detail: Supplementary Figure S11.</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ontology</w:t>
            </w:r>
          </w:p>
        </w:tc>
        <w:tc>
          <w:tcPr/>
          <w:p>
            <w:pPr>
              <w:pStyle w:val="Compact"/>
              <w:jc w:val="right"/>
            </w:pPr>
            <w:r>
              <w:t xml:space="preserve">fit (s)</w:t>
            </w:r>
          </w:p>
        </w:tc>
        <w:tc>
          <w:tcPr/>
          <w:p>
            <w:pPr>
              <w:pStyle w:val="Compact"/>
              <w:jc w:val="right"/>
            </w:pPr>
            <w: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3.4</w:t>
            </w:r>
          </w:p>
        </w:tc>
        <w:tc>
          <w:tcPr/>
          <w:p>
            <w:pPr>
              <w:pStyle w:val="Compact"/>
              <w:jc w:val="right"/>
            </w:pPr>
            <w:r>
              <w:rPr>
                <w:b/>
                <w:bCs/>
              </w:rPr>
              <w:t xml:space="preserve">0.33</w:t>
            </w:r>
          </w:p>
        </w:tc>
        <w:tc>
          <w:tcPr/>
          <w:p>
            <w:pPr>
              <w:pStyle w:val="Compact"/>
              <w:jc w:val="right"/>
            </w:pPr>
            <w:r>
              <w:t xml:space="preserve">4386</w:t>
            </w:r>
          </w:p>
        </w:tc>
      </w:tr>
      <w:tr>
        <w:tc>
          <w:tcPr/>
          <w:p>
            <w:pPr>
              <w:pStyle w:val="Compact"/>
            </w:pPr>
            <w:r>
              <w:t xml:space="preserve">scArches</w:t>
            </w:r>
          </w:p>
        </w:tc>
        <w:tc>
          <w:tcPr/>
          <w:p>
            <w:pPr>
              <w:pStyle w:val="Compact"/>
              <w:jc w:val="right"/>
            </w:pPr>
            <w:r>
              <w:t xml:space="preserve">0.833</w:t>
            </w:r>
          </w:p>
        </w:tc>
        <w:tc>
          <w:tcPr/>
          <w:p>
            <w:pPr>
              <w:pStyle w:val="Compact"/>
              <w:jc w:val="right"/>
            </w:pPr>
            <w:r>
              <w:rPr>
                <w:b/>
                <w:bCs/>
              </w:rPr>
              <w:t xml:space="preserve">0.701</w:t>
            </w:r>
          </w:p>
        </w:tc>
        <w:tc>
          <w:tcPr/>
          <w:p>
            <w:pPr>
              <w:pStyle w:val="Compact"/>
              <w:jc w:val="right"/>
            </w:pPr>
            <w:r>
              <w:t xml:space="preserve">0.804</w:t>
            </w:r>
          </w:p>
        </w:tc>
        <w:tc>
          <w:tcPr/>
          <w:p>
            <w:pPr>
              <w:pStyle w:val="Compact"/>
              <w:jc w:val="right"/>
            </w:pPr>
            <w:r>
              <w:t xml:space="preserve">48.7</w:t>
            </w:r>
          </w:p>
        </w:tc>
        <w:tc>
          <w:tcPr/>
          <w:p>
            <w:pPr>
              <w:pStyle w:val="Compact"/>
              <w:jc w:val="right"/>
            </w:pPr>
            <w:r>
              <w:t xml:space="preserve">17.2</w:t>
            </w:r>
          </w:p>
        </w:tc>
        <w:tc>
          <w:tcPr/>
          <w:p>
            <w:pPr>
              <w:pStyle w:val="Compact"/>
              <w:jc w:val="right"/>
            </w:pPr>
            <w:r>
              <w:t xml:space="preserve">1773</w:t>
            </w:r>
          </w:p>
        </w:tc>
      </w:tr>
      <w:tr>
        <w:tc>
          <w:tcPr/>
          <w:p>
            <w:pPr>
              <w:pStyle w:val="Compact"/>
            </w:pPr>
            <w:r>
              <w:t xml:space="preserve">scANVI</w:t>
            </w:r>
          </w:p>
        </w:tc>
        <w:tc>
          <w:tcPr/>
          <w:p>
            <w:pPr>
              <w:pStyle w:val="Compact"/>
              <w:jc w:val="right"/>
            </w:pPr>
            <w:r>
              <w:t xml:space="preserve">0.832</w:t>
            </w:r>
          </w:p>
        </w:tc>
        <w:tc>
          <w:tcPr/>
          <w:p>
            <w:pPr>
              <w:pStyle w:val="Compact"/>
              <w:jc w:val="right"/>
            </w:pPr>
            <w:r>
              <w:t xml:space="preserve">0.698</w:t>
            </w:r>
          </w:p>
        </w:tc>
        <w:tc>
          <w:tcPr/>
          <w:p>
            <w:pPr>
              <w:pStyle w:val="Compact"/>
              <w:jc w:val="right"/>
            </w:pPr>
            <w:r>
              <w:t xml:space="preserve">0.808</w:t>
            </w:r>
          </w:p>
        </w:tc>
        <w:tc>
          <w:tcPr/>
          <w:p>
            <w:pPr>
              <w:pStyle w:val="Compact"/>
              <w:jc w:val="right"/>
            </w:pPr>
            <w:r>
              <w:t xml:space="preserve">0.0*</w:t>
            </w:r>
          </w:p>
        </w:tc>
        <w:tc>
          <w:tcPr/>
          <w:p>
            <w:pPr>
              <w:pStyle w:val="Compact"/>
              <w:jc w:val="right"/>
            </w:pPr>
            <w:r>
              <w:t xml:space="preserve">66.7</w:t>
            </w:r>
          </w:p>
        </w:tc>
        <w:tc>
          <w:tcPr/>
          <w:p>
            <w:pPr>
              <w:pStyle w:val="Compact"/>
              <w:jc w:val="right"/>
            </w:pPr>
            <w:r>
              <w:t xml:space="preserve">2087</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24.2</w:t>
            </w:r>
          </w:p>
        </w:tc>
        <w:tc>
          <w:tcPr/>
          <w:p>
            <w:pPr>
              <w:pStyle w:val="Compact"/>
              <w:jc w:val="right"/>
            </w:pPr>
            <w:r>
              <w:rPr>
                <w:b/>
                <w:bCs/>
              </w:rPr>
              <w:t xml:space="preserve">0.54</w:t>
            </w:r>
          </w:p>
        </w:tc>
        <w:tc>
          <w:tcPr/>
          <w:p>
            <w:pPr>
              <w:pStyle w:val="Compact"/>
              <w:jc w:val="right"/>
            </w:pPr>
            <w:r>
              <w:t xml:space="preserve">2391</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0.690</w:t>
            </w:r>
          </w:p>
        </w:tc>
        <w:tc>
          <w:tcPr/>
          <w:p>
            <w:pPr>
              <w:pStyle w:val="Compact"/>
              <w:jc w:val="right"/>
            </w:pPr>
            <w:r>
              <w:t xml:space="preserve">0.805</w:t>
            </w:r>
          </w:p>
        </w:tc>
        <w:tc>
          <w:tcPr/>
          <w:p>
            <w:pPr>
              <w:pStyle w:val="Compact"/>
              <w:jc w:val="right"/>
            </w:pPr>
            <w:r>
              <w:t xml:space="preserve">54.4</w:t>
            </w:r>
          </w:p>
        </w:tc>
        <w:tc>
          <w:tcPr/>
          <w:p>
            <w:pPr>
              <w:pStyle w:val="Compact"/>
              <w:jc w:val="right"/>
            </w:pPr>
            <w:r>
              <w:rPr>
                <w:b/>
                <w:bCs/>
              </w:rPr>
              <w:t xml:space="preserve">0.61</w:t>
            </w:r>
          </w:p>
        </w:tc>
        <w:tc>
          <w:tcPr/>
          <w:p>
            <w:pPr>
              <w:pStyle w:val="Compact"/>
              <w:jc w:val="right"/>
            </w:pPr>
            <w:r>
              <w:t xml:space="preserve">1569</w:t>
            </w:r>
          </w:p>
        </w:tc>
      </w:tr>
      <w:tr>
        <w:tc>
          <w:tcPr/>
          <w:p>
            <w:pPr>
              <w:pStyle w:val="Compact"/>
            </w:pPr>
            <w:r>
              <w:t xml:space="preserve">SVM</w:t>
            </w:r>
          </w:p>
        </w:tc>
        <w:tc>
          <w:tcPr/>
          <w:p>
            <w:pPr>
              <w:pStyle w:val="Compact"/>
              <w:jc w:val="right"/>
            </w:pPr>
            <w:r>
              <w:t xml:space="preserve">0.808</w:t>
            </w:r>
          </w:p>
        </w:tc>
        <w:tc>
          <w:tcPr/>
          <w:p>
            <w:pPr>
              <w:pStyle w:val="Compact"/>
              <w:jc w:val="right"/>
            </w:pPr>
            <w:r>
              <w:t xml:space="preserve">0.675</w:t>
            </w:r>
          </w:p>
        </w:tc>
        <w:tc>
          <w:tcPr/>
          <w:p>
            <w:pPr>
              <w:pStyle w:val="Compact"/>
              <w:jc w:val="right"/>
            </w:pPr>
            <w:r>
              <w:t xml:space="preserve">0.796</w:t>
            </w:r>
          </w:p>
        </w:tc>
        <w:tc>
          <w:tcPr/>
          <w:p>
            <w:pPr>
              <w:pStyle w:val="Compact"/>
              <w:jc w:val="right"/>
            </w:pPr>
            <w:r>
              <w:t xml:space="preserve">55.2</w:t>
            </w:r>
          </w:p>
        </w:tc>
        <w:tc>
          <w:tcPr/>
          <w:p>
            <w:pPr>
              <w:pStyle w:val="Compact"/>
              <w:jc w:val="right"/>
            </w:pPr>
            <w:r>
              <w:rPr>
                <w:b/>
                <w:bCs/>
              </w:rPr>
              <w:t xml:space="preserve">0.07</w:t>
            </w:r>
          </w:p>
        </w:tc>
        <w:tc>
          <w:tcPr/>
          <w:p>
            <w:pPr>
              <w:pStyle w:val="Compact"/>
              <w:jc w:val="right"/>
            </w:pPr>
            <w:r>
              <w:t xml:space="preserve">1419</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221.5</w:t>
            </w:r>
          </w:p>
        </w:tc>
        <w:tc>
          <w:tcPr/>
          <w:p>
            <w:pPr>
              <w:pStyle w:val="Compact"/>
              <w:jc w:val="right"/>
            </w:pPr>
            <w:r>
              <w:t xml:space="preserve">2.07</w:t>
            </w:r>
          </w:p>
        </w:tc>
        <w:tc>
          <w:tcPr/>
          <w:p>
            <w:pPr>
              <w:pStyle w:val="Compact"/>
              <w:jc w:val="right"/>
            </w:pPr>
            <w:r>
              <w:t xml:space="preserve">1907</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48.2</w:t>
            </w:r>
          </w:p>
        </w:tc>
        <w:tc>
          <w:tcPr/>
          <w:p>
            <w:pPr>
              <w:pStyle w:val="Compact"/>
              <w:jc w:val="right"/>
            </w:pPr>
            <w:r>
              <w:t xml:space="preserve">3612</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0.623</w:t>
            </w:r>
          </w:p>
        </w:tc>
        <w:tc>
          <w:tcPr/>
          <w:p>
            <w:pPr>
              <w:pStyle w:val="Compact"/>
              <w:jc w:val="right"/>
            </w:pPr>
            <w:r>
              <w:t xml:space="preserve">0.768</w:t>
            </w:r>
          </w:p>
        </w:tc>
        <w:tc>
          <w:tcPr/>
          <w:p>
            <w:pPr>
              <w:pStyle w:val="Compact"/>
              <w:jc w:val="right"/>
            </w:pPr>
            <w:r>
              <w:t xml:space="preserve">0.4</w:t>
            </w:r>
          </w:p>
        </w:tc>
        <w:tc>
          <w:tcPr/>
          <w:p>
            <w:pPr>
              <w:pStyle w:val="Compact"/>
              <w:jc w:val="right"/>
            </w:pPr>
            <w:r>
              <w:rPr>
                <w:b/>
                <w:bCs/>
              </w:rPr>
              <w:t xml:space="preserve">0.19</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1.21</w:t>
            </w:r>
          </w:p>
        </w:tc>
        <w:tc>
          <w:tcPr/>
          <w:p>
            <w:pPr>
              <w:pStyle w:val="Compact"/>
              <w:jc w:val="right"/>
            </w:pPr>
            <w:r>
              <w:t xml:space="preserve">1926</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0.3</w:t>
            </w:r>
          </w:p>
        </w:tc>
        <w:tc>
          <w:tcPr/>
          <w:p>
            <w:pPr>
              <w:pStyle w:val="Compact"/>
              <w:jc w:val="right"/>
            </w:pPr>
            <w:r>
              <w:t xml:space="preserve">9.30</w:t>
            </w:r>
          </w:p>
        </w:tc>
        <w:tc>
          <w:tcPr/>
          <w:p>
            <w:pPr>
              <w:pStyle w:val="Compact"/>
              <w:jc w:val="right"/>
            </w:pPr>
            <w:r>
              <w:t xml:space="preserve">8609</w:t>
            </w:r>
          </w:p>
        </w:tc>
      </w:tr>
    </w:tbl>
    <w:p>
      <w:pPr>
        <w:pStyle w:val="BodyText"/>
      </w:pPr>
      <w:r>
        <w:rPr>
          <w:b/>
          <w:bCs/>
        </w:rPr>
        <w:t xml:space="preserve">Table 1.</w:t>
      </w:r>
      <w:r>
        <w:t xml:space="preserve"> </w:t>
      </w:r>
      <w:r>
        <w:t xml:space="preserve">Accuracy and cost. Accuracy is the mean over the five shared-vocabulary</w:t>
      </w:r>
      <w:r>
        <w:t xml:space="preserve"> </w:t>
      </w:r>
      <w:r>
        <w:t xml:space="preserve">datasets, macro-F1 over all six, and ontology concordance over the four that carry Cell</w:t>
      </w:r>
      <w:r>
        <w:t xml:space="preserve"> </w:t>
      </w:r>
      <w:r>
        <w:t xml:space="preserve">Ontology ids; bold marks the best value in a column. The two brain splits are held out of</w:t>
      </w:r>
      <w:r>
        <w:t xml:space="preserve"> </w:t>
      </w:r>
      <w:r>
        <w:t xml:space="preserve">these means — they were measured after this pass — and reported per dataset instead;</w:t>
      </w:r>
      <w:r>
        <w:t xml:space="preserve"> </w:t>
      </w:r>
      <w:r>
        <w:t xml:space="preserve">including both would move actinn-jax from fourth to fifth, behind CellTypist. *scANVI does most of its work in one train+predict pass, attributed to predict.</w:t>
      </w:r>
      <w:r>
        <w:t xml:space="preserve"> </w:t>
      </w:r>
      <w:r>
        <w:t xml:space="preserve">Per-dataset scores: Supplementary Table S3.</w:t>
      </w:r>
    </w:p>
    <w:p>
      <w:pPr>
        <w:pStyle w:val="BodyText"/>
      </w:pPr>
      <w:r>
        <w:t xml:space="preserve">Neither ordering is stable. Carrying four methods from a 3k-cell reference to a full atlas</w:t>
      </w:r>
      <w:r>
        <w:t xml:space="preserve"> </w:t>
      </w:r>
      <w:r>
        <w:t xml:space="preserve">reverses the accuracy ranking — a prototype VAE moves from worst to best — and the external</w:t>
      </w:r>
      <w:r>
        <w:t xml:space="preserve"> </w:t>
      </w:r>
      <w:r>
        <w:t xml:space="preserve">Open Problems panel, whose 1,000-gene budget is narrower than ours, reverses the cost ranking,</w:t>
      </w:r>
      <w:r>
        <w:t xml:space="preserve"> </w:t>
      </w:r>
      <w:r>
        <w:t xml:space="preserve">with the tuned linear pipeline costing 2.7× more than it does here (Supplementary Figure S6,</w:t>
      </w:r>
      <w:r>
        <w:t xml:space="preserve"> </w:t>
      </w:r>
      <w:r>
        <w:t xml:space="preserve">and the extended report).</w:t>
      </w:r>
    </w:p>
    <w:p>
      <w:pPr>
        <w:pStyle w:val="BodyText"/>
      </w:pPr>
      <w:r>
        <w:t xml:space="preserve">Granularity moves it too, and against us. The same Allen middle temporal gyrus nuclei scored at</w:t>
      </w:r>
      <w:r>
        <w:t xml:space="preserve"> </w:t>
      </w:r>
      <w:r>
        <w:t xml:space="preserve">two levels of one taxonomy behave like two different benchmarks: at Allen’s 24 subclasses ten</w:t>
      </w:r>
      <w:r>
        <w:t xml:space="preserve"> </w:t>
      </w:r>
      <w:r>
        <w:t xml:space="preserve">of the eleven methods land within 0.017 of each other, and at the 151 cell sets the taxonomy</w:t>
      </w:r>
      <w:r>
        <w:t xml:space="preserve"> </w:t>
      </w:r>
      <w:r>
        <w:t xml:space="preserve">enumerates the ranking inverts — SingleR, eighth overall, leads at</w:t>
      </w:r>
      <w:r>
        <w:t xml:space="preserve"> </w:t>
      </w:r>
      <w:r>
        <w:rPr>
          <w:b/>
          <w:bCs/>
        </w:rPr>
        <w:t xml:space="preserve">0.845</w:t>
      </w:r>
      <w:r>
        <w:t xml:space="preserve">, while actinn-jax</w:t>
      </w:r>
      <w:r>
        <w:t xml:space="preserve"> </w:t>
      </w:r>
      <w:r>
        <w:t xml:space="preserve">falls to tenth at</w:t>
      </w:r>
      <w:r>
        <w:t xml:space="preserve"> </w:t>
      </w:r>
      <w:r>
        <w:rPr>
          <w:b/>
          <w:bCs/>
        </w:rPr>
        <w:t xml:space="preserve">0.741</w:t>
      </w:r>
      <w:r>
        <w:t xml:space="preserve">. Correlation-to-centroid methods gain exactly where the trained</w:t>
      </w:r>
      <w:r>
        <w:t xml:space="preserve"> </w:t>
      </w:r>
      <w:r>
        <w:t xml:space="preserve">classifiers lose, helped by the fact that cluster-level labels are themselves the output of</w:t>
      </w:r>
      <w:r>
        <w:t xml:space="preserve"> </w:t>
      </w:r>
      <w:r>
        <w:t xml:space="preserve">clustering the same expression space. One split is a signal, not a characterization, but it is</w:t>
      </w:r>
      <w:r>
        <w:t xml:space="preserve"> </w:t>
      </w:r>
      <w:r>
        <w:t xml:space="preserve">the one split in this panel at the resolution a cortical taxonomy actually works at.</w:t>
      </w:r>
    </w:p>
    <w:p>
      <w:pPr>
        <w:pStyle w:val="BodyText"/>
      </w:pPr>
      <w:r>
        <w:t xml:space="preserve">Prediction is where the annotation budget is actually spent, and it is small: sub-second for</w:t>
      </w:r>
      <w:r>
        <w:t xml:space="preserve"> </w:t>
      </w:r>
      <w:r>
        <w:t xml:space="preserve">every CPU method tested, and flat in reference size for all of them, since a cached model’s</w:t>
      </w:r>
      <w:r>
        <w:t xml:space="preserve"> </w:t>
      </w:r>
      <w:r>
        <w:t xml:space="preserve">inference does not depend on how many cells trained it. What makes chaining stages practical</w:t>
      </w:r>
      <w:r>
        <w:t xml:space="preserve"> </w:t>
      </w:r>
      <w:r>
        <w:t xml:space="preserve">is therefore not a uniquely flat predict but the ratio — a sub-second call recurring against a</w:t>
      </w:r>
      <w:r>
        <w:t xml:space="preserve"> </w:t>
      </w:r>
      <w:r>
        <w:t xml:space="preserve">fit of 19–123 s that is paid once (Supplementary Figure S7). With the reference held fixed,</w:t>
      </w:r>
      <w:r>
        <w:t xml:space="preserve"> </w:t>
      </w:r>
      <w:r>
        <w:t xml:space="preserve">annotating a whole 525,000-cell atlas takes</w:t>
      </w:r>
      <w:r>
        <w:t xml:space="preserve"> </w:t>
      </w:r>
      <w:r>
        <w:rPr>
          <w:b/>
          <w:bCs/>
        </w:rPr>
        <w:t xml:space="preserve">41 s</w:t>
      </w:r>
      <w:r>
        <w:t xml:space="preserve"> </w:t>
      </w:r>
      <w:r>
        <w:t xml:space="preserve">(Supplementary Figure S8).</w:t>
      </w:r>
    </w:p>
    <w:bookmarkEnd w:id="19"/>
    <w:bookmarkStart w:id="23" w:name="X80fed2e78f71a1f8f859e9647ae1a67fdba3c16"/>
    <w:p>
      <w:pPr>
        <w:pStyle w:val="Heading2"/>
      </w:pPr>
      <w:r>
        <w:t xml:space="preserve">One query, two passes: routing and then resolution</w:t>
      </w:r>
    </w:p>
    <w:p>
      <w:pPr>
        <w:pStyle w:val="FirstParagraph"/>
      </w:pPr>
      <w:r>
        <w:t xml:space="preserve">That budget buys a workflow rather than a call (Figure 2). A shipped ~800-type census</w:t>
      </w:r>
      <w:r>
        <w:t xml:space="preserve"> </w:t>
      </w:r>
      <w:r>
        <w:t xml:space="preserve">reference annotates any query without being told what tissue it is; resolving those calls</w:t>
      </w:r>
      <w:r>
        <w:t xml:space="preserve"> </w:t>
      </w:r>
      <w:r>
        <w:t xml:space="preserve">through the reference’s per-class tissue map identifies the tissue; a small focused reference</w:t>
      </w:r>
      <w:r>
        <w:t xml:space="preserve"> </w:t>
      </w:r>
      <w:r>
        <w:t xml:space="preserve">for that tissue then re-annotates the same cells at full resolution. On withheld cross-study</w:t>
      </w:r>
      <w:r>
        <w:t xml:space="preserve"> </w:t>
      </w:r>
      <w:r>
        <w:t xml:space="preserve">liver cells the broad pass scores</w:t>
      </w:r>
      <w:r>
        <w:t xml:space="preserve"> </w:t>
      </w:r>
      <w:r>
        <w:rPr>
          <w:b/>
          <w:bCs/>
        </w:rPr>
        <w:t xml:space="preserve">0.23 exact / 0.58 ontology</w:t>
      </w:r>
      <w:r>
        <w:t xml:space="preserve"> </w:t>
      </w:r>
      <w:r>
        <w:t xml:space="preserve">and the focused reference</w:t>
      </w:r>
      <w:r>
        <w:t xml:space="preserve"> </w:t>
      </w:r>
      <w:r>
        <w:t xml:space="preserve">reaches</w:t>
      </w:r>
      <w:r>
        <w:t xml:space="preserve"> </w:t>
      </w:r>
      <w:r>
        <w:rPr>
          <w:b/>
          <w:bCs/>
        </w:rPr>
        <w:t xml:space="preserve">0.72 / 0.86</w:t>
      </w:r>
      <w:r>
        <w:t xml:space="preserve">.</w:t>
      </w:r>
    </w:p>
    <w:p>
      <w:pPr>
        <w:pStyle w:val="BodyText"/>
      </w:pPr>
      <w:r>
        <w:t xml:space="preserve">The two passes hand off; they do not combine. Substituting a stronger broad model lifts the</w:t>
      </w:r>
      <w:r>
        <w:t xml:space="preserve"> </w:t>
      </w:r>
      <w:r>
        <w:t xml:space="preserve">broad call but changes nothing downstream, and using it to narrow the focused pass’s classes</w:t>
      </w:r>
      <w:r>
        <w:t xml:space="preserve"> </w:t>
      </w:r>
      <w:r>
        <w:t xml:space="preserve">makes the result</w:t>
      </w:r>
      <w:r>
        <w:t xml:space="preserve"> </w:t>
      </w:r>
      <w:r>
        <w:rPr>
          <w:b/>
          <w:bCs/>
        </w:rPr>
        <w:t xml:space="preserve">worse</w:t>
      </w:r>
      <w:r>
        <w:t xml:space="preserve"> </w:t>
      </w:r>
      <w:r>
        <w:t xml:space="preserve">(0.731 → 0.708), because a wrong mask discards the correct class</w:t>
      </w:r>
      <w:r>
        <w:t xml:space="preserve"> </w:t>
      </w:r>
      <w:r>
        <w:t xml:space="preserve">outright. Once the focused reference covers the tissue, the broad model’s value is routing,</w:t>
      </w:r>
      <w:r>
        <w:t xml:space="preserve"> </w:t>
      </w:r>
      <w:r>
        <w:t xml:space="preserve">not resolution.</w:t>
      </w:r>
    </w:p>
    <w:p>
      <w:pPr>
        <w:pStyle w:val="BodyText"/>
      </w:pPr>
      <w:r>
        <w:drawing>
          <wp:inline>
            <wp:extent cx="5334000" cy="1965681"/>
            <wp:effectExtent b="0" l="0" r="0" t="0"/>
            <wp:docPr descr="workflow" title="" id="21" name="Picture"/>
            <a:graphic>
              <a:graphicData uri="http://schemas.openxmlformats.org/drawingml/2006/picture">
                <pic:pic>
                  <pic:nvPicPr>
                    <pic:cNvPr descr="/Users/iandriver/Downloads/actinn-jax-benchmark/docs/figures/fig_workflow_umap_ondata.png" id="22" name="Picture"/>
                    <pic:cNvPicPr>
                      <a:picLocks noChangeArrowheads="1" noChangeAspect="1"/>
                    </pic:cNvPicPr>
                  </pic:nvPicPr>
                  <pic:blipFill>
                    <a:blip r:embed="rId20"/>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The workflow on a withheld liver study (3,396 cells), same embedding</w:t>
      </w:r>
      <w:r>
        <w:t xml:space="preserve"> </w:t>
      </w:r>
      <w:r>
        <w:t xml:space="preserve">throughout. The census reference spreads 144 of its 798 labels over the query (concordance</w:t>
      </w:r>
      <w:r>
        <w:t xml:space="preserve"> </w:t>
      </w:r>
      <w:r>
        <w:t xml:space="preserve">0.34); resolving those calls to tissue gives</w:t>
      </w:r>
      <w:r>
        <w:t xml:space="preserve"> </w:t>
      </w:r>
      <w:r>
        <w:rPr>
          <w:b/>
          <w:bCs/>
        </w:rPr>
        <w:t xml:space="preserve">76% liver</w:t>
      </w:r>
      <w:r>
        <w:t xml:space="preserve"> </w:t>
      </w:r>
      <w:r>
        <w:t xml:space="preserve">against 4% for the next candidate,</w:t>
      </w:r>
      <w:r>
        <w:t xml:space="preserve"> </w:t>
      </w:r>
      <w:r>
        <w:t xml:space="preserve">which selects the reference to load; the 36-type liver reference then re-annotates the same</w:t>
      </w:r>
      <w:r>
        <w:t xml:space="preserve"> </w:t>
      </w:r>
      <w:r>
        <w:t xml:space="preserve">cells at</w:t>
      </w:r>
      <w:r>
        <w:t xml:space="preserve"> </w:t>
      </w:r>
      <w:r>
        <w:rPr>
          <w:b/>
          <w:bCs/>
        </w:rPr>
        <w:t xml:space="preserve">0.73</w:t>
      </w:r>
      <w:r>
        <w:t xml:space="preserve">, tracking the clusters. Rightmost panel is the study’s own labels.</w:t>
      </w:r>
    </w:p>
    <w:bookmarkEnd w:id="23"/>
    <w:bookmarkStart w:id="24" w:name="X4b2d42acec3b76f689a683a66890b5330678ad6"/>
    <w:p>
      <w:pPr>
        <w:pStyle w:val="Heading2"/>
      </w:pPr>
      <w:r>
        <w:t xml:space="preserve">The broad entry point is interchangeable, and one can be distilled without a GPU</w:t>
      </w:r>
    </w:p>
    <w:p>
      <w:pPr>
        <w:pStyle w:val="FirstParagraph"/>
      </w:pPr>
      <w:r>
        <w:t xml:space="preserve">Building a broad reference from the census requires a foundation model on a GPU to discover</w:t>
      </w:r>
      <w:r>
        <w:t xml:space="preserve"> </w:t>
      </w:r>
      <w:r>
        <w:t xml:space="preserve">its hierarchy. A pretrained pan-human annotator</w:t>
      </w:r>
      <w:r>
        <w:t xml:space="preserve"> </w:t>
      </w:r>
      <w:hyperlink r:id="rId11">
        <w:r>
          <w:rPr>
            <w:rStyle w:val="Hyperlink"/>
          </w:rPr>
          <w:t xml:space="preserve">[Sarkar et al. 2026]</w:t>
        </w:r>
      </w:hyperlink>
      <w:r>
        <w:t xml:space="preserve"> </w:t>
      </w:r>
      <w:r>
        <w:t xml:space="preserve">already publishes one, so</w:t>
      </w:r>
      <w:r>
        <w:t xml:space="preserve"> </w:t>
      </w:r>
      <w:r>
        <w:t xml:space="preserve">labeling a corpus with it and training on those labels transfers both vocabulary and</w:t>
      </w:r>
      <w:r>
        <w:t xml:space="preserve"> </w:t>
      </w:r>
      <w:r>
        <w:t xml:space="preserve">structure — using</w:t>
      </w:r>
      <w:r>
        <w:t xml:space="preserve"> </w:t>
      </w:r>
      <w:r>
        <w:rPr>
          <w:b/>
          <w:bCs/>
        </w:rPr>
        <w:t xml:space="preserve">only raw counts</w:t>
      </w:r>
      <w:r>
        <w:t xml:space="preserve">, no GPU and no labeled input, in under ten minutes of</w:t>
      </w:r>
      <w:r>
        <w:t xml:space="preserve"> </w:t>
      </w:r>
      <w:r>
        <w:t xml:space="preserve">CPU. The result matches its teacher and beats our census-built reference, at six to nine times</w:t>
      </w:r>
      <w:r>
        <w:t xml:space="preserve"> </w:t>
      </w:r>
      <w:r>
        <w:t xml:space="preserve">the teacher’s throughput (Table 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ours</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 (teacher)</w:t>
            </w:r>
          </w:p>
        </w:tc>
        <w:tc>
          <w:tcPr/>
          <w:p>
            <w:pPr>
              <w:pStyle w:val="Compact"/>
              <w:jc w:val="right"/>
            </w:pPr>
            <w:r>
              <w:t xml:space="preserve">382</w:t>
            </w:r>
          </w:p>
        </w:tc>
        <w:tc>
          <w:tcPr/>
          <w:p>
            <w:pPr>
              <w:pStyle w:val="Compact"/>
              <w:jc w:val="right"/>
            </w:pPr>
            <w:r>
              <w:rPr>
                <w:b/>
                <w:bCs/>
              </w:rPr>
              <w:t xml:space="preserve">0.408</w:t>
            </w:r>
          </w:p>
        </w:tc>
        <w:tc>
          <w:tcPr/>
          <w:p>
            <w:pPr>
              <w:pStyle w:val="Compact"/>
              <w:jc w:val="right"/>
            </w:pPr>
            <w:r>
              <w:t xml:space="preserve">1,076–1,563</w:t>
            </w:r>
          </w:p>
        </w:tc>
      </w:tr>
      <w:tr>
        <w:tc>
          <w:tcPr/>
          <w:p>
            <w:pPr>
              <w:pStyle w:val="Compact"/>
            </w:pPr>
            <w:r>
              <w:rPr>
                <w:b/>
                <w:bCs/>
              </w:rPr>
              <w:t xml:space="preserve">distilled from Azimuth, ours</w:t>
            </w:r>
          </w:p>
        </w:tc>
        <w:tc>
          <w:tcPr/>
          <w:p>
            <w:pPr>
              <w:pStyle w:val="Compact"/>
              <w:jc w:val="right"/>
            </w:pPr>
            <w:r>
              <w:t xml:space="preserve">324</w:t>
            </w:r>
          </w:p>
        </w:tc>
        <w:tc>
          <w:tcPr/>
          <w:p>
            <w:pPr>
              <w:pStyle w:val="Compact"/>
              <w:jc w:val="right"/>
            </w:pPr>
            <w:r>
              <w:t xml:space="preserve">0.406</w:t>
            </w:r>
          </w:p>
        </w:tc>
        <w:tc>
          <w:tcPr/>
          <w:p>
            <w:pPr>
              <w:pStyle w:val="Compact"/>
              <w:jc w:val="right"/>
            </w:pPr>
            <w:r>
              <w:rPr>
                <w:b/>
                <w:bCs/>
              </w:rPr>
              <w:t xml:space="preserve">8,937–10,021</w:t>
            </w:r>
          </w:p>
        </w:tc>
      </w:tr>
    </w:tbl>
    <w:p>
      <w:pPr>
        <w:pStyle w:val="BodyText"/>
      </w:pPr>
      <w:r>
        <w:rPr>
          <w:b/>
          <w:bCs/>
        </w:rPr>
        <w:t xml:space="preserve">Table 2.</w:t>
      </w:r>
      <w:r>
        <w:t xml:space="preserve"> </w:t>
      </w:r>
      <w:r>
        <w:t xml:space="preserve">Broad-pass entry points on 3,396 withheld cross-study liver cells, all three</w:t>
      </w:r>
      <w:r>
        <w:t xml:space="preserve"> </w:t>
      </w:r>
      <w:r>
        <w:t xml:space="preserve">scored on identical cells through one script. The distilled student needs only raw human</w:t>
      </w:r>
      <w:r>
        <w:t xml:space="preserve"> </w:t>
      </w:r>
      <w:r>
        <w:t xml:space="preserve">counts to build and inherits the teacher’s vocabulary and hierarchy. It does not inherit the</w:t>
      </w:r>
      <w:r>
        <w:t xml:space="preserve"> </w:t>
      </w:r>
      <w:r>
        <w:t xml:space="preserve">teacher’s calibrated abstention, which remains a limitation. Student and teacher are level</w:t>
      </w:r>
      <w:r>
        <w:t xml:space="preserve"> </w:t>
      </w:r>
      <w:r>
        <w:t xml:space="preserve">here rather than separated: read the distillation as preserving the teacher’s annotations at a</w:t>
      </w:r>
      <w:r>
        <w:t xml:space="preserve"> </w:t>
      </w:r>
      <w:r>
        <w:t xml:space="preserve">fraction of its cost, not as improving on them.</w:t>
      </w:r>
    </w:p>
    <w:p>
      <w:pPr>
        <w:pStyle w:val="BodyText"/>
      </w:pPr>
      <w:r>
        <w:t xml:space="preserve">The GPU can be removed from the census route as well. Deriving the coarse hierarchy from Cell</w:t>
      </w:r>
      <w:r>
        <w:t xml:space="preserve"> </w:t>
      </w:r>
      <w:r>
        <w:t xml:space="preserve">Ontology lineage rather than from a foundation-model embedding beats both no hierarchy at all</w:t>
      </w:r>
      <w:r>
        <w:t xml:space="preserve"> </w:t>
      </w:r>
      <w:r>
        <w:t xml:space="preserve">(0.616 vs 0.547) and a same-sized random grouping (0.539), so it is the lineage structure and</w:t>
      </w:r>
      <w:r>
        <w:t xml:space="preserve"> </w:t>
      </w:r>
      <w:r>
        <w:t xml:space="preserve">not the mere act of splitting that helps. Being species-independent, that route also reaches a</w:t>
      </w:r>
      <w:r>
        <w:t xml:space="preserve"> </w:t>
      </w:r>
      <w:r>
        <w:t xml:space="preserve">second organism: a pan-mouse reference of 453 types across 85 tissues reaches 0.638 ontology</w:t>
      </w:r>
      <w:r>
        <w:t xml:space="preserve"> </w:t>
      </w:r>
      <w:r>
        <w:t xml:space="preserve">concordance on two withheld datasets after 17 s of CPU.</w:t>
      </w:r>
    </w:p>
    <w:bookmarkEnd w:id="24"/>
    <w:bookmarkStart w:id="29" w:name="X5d5a48a3482289717abb7130a8b6298d60e6610"/>
    <w:p>
      <w:pPr>
        <w:pStyle w:val="Heading2"/>
      </w:pPr>
      <w:r>
        <w:t xml:space="preserve">Where independent references agree, all of them are right more often</w:t>
      </w:r>
    </w:p>
    <w:p>
      <w:pPr>
        <w:pStyle w:val="FirstParagraph"/>
      </w:pPr>
      <w:r>
        <w:t xml:space="preserve">Three interchangeable entry points invite a question that is only affordable when calls are</w:t>
      </w:r>
      <w:r>
        <w:t xml:space="preserve"> </w:t>
      </w:r>
      <w:r>
        <w:t xml:space="preserve">cheap: what if a user runs all of them? Scored on identical cells and compared in the Cell</w:t>
      </w:r>
      <w:r>
        <w:t xml:space="preserve"> </w:t>
      </w:r>
      <w:r>
        <w:t xml:space="preserve">Ontology, they partition each query by agreement (Figure 3). We ran this on three tissues:</w:t>
      </w:r>
      <w:r>
        <w:t xml:space="preserve"> </w:t>
      </w:r>
      <w:r>
        <w:t xml:space="preserve">withheld cross-study</w:t>
      </w:r>
      <w:r>
        <w:t xml:space="preserve"> </w:t>
      </w:r>
      <w:r>
        <w:rPr>
          <w:b/>
          <w:bCs/>
        </w:rPr>
        <w:t xml:space="preserve">liver</w:t>
      </w:r>
      <w:r>
        <w:t xml:space="preserve"> </w:t>
      </w:r>
      <w:r>
        <w:t xml:space="preserve">(3,396 cells, 34 truth types), the Krasnow</w:t>
      </w:r>
      <w:r>
        <w:t xml:space="preserve"> </w:t>
      </w:r>
      <w:r>
        <w:rPr>
          <w:b/>
          <w:bCs/>
        </w:rPr>
        <w:t xml:space="preserve">lung</w:t>
      </w:r>
      <w:r>
        <w:t xml:space="preserve"> </w:t>
      </w:r>
      <w:r>
        <w:t xml:space="preserve">atlas</w:t>
      </w:r>
      <w:r>
        <w:t xml:space="preserve"> </w:t>
      </w:r>
      <w:r>
        <w:t xml:space="preserve">(65,662 cells, 46 types), and the Allen human</w:t>
      </w:r>
      <w:r>
        <w:t xml:space="preserve"> </w:t>
      </w:r>
      <w:r>
        <w:rPr>
          <w:b/>
          <w:bCs/>
        </w:rPr>
        <w:t xml:space="preserve">middle temporal gyrus</w:t>
      </w:r>
      <w:r>
        <w:t xml:space="preserve"> </w:t>
      </w:r>
      <w:r>
        <w:t xml:space="preserve">(156,285 cells, 18</w:t>
      </w:r>
      <w:r>
        <w:t xml:space="preserve"> </w:t>
      </w:r>
      <w:r>
        <w:t xml:space="preserve">types).</w:t>
      </w:r>
    </w:p>
    <w:p>
      <w:pPr>
        <w:pStyle w:val="BodyText"/>
      </w:pPr>
      <w:r>
        <w:t xml:space="preserve">One result holds everywhere. Cells on which the references disagree are annotated far less</w:t>
      </w:r>
      <w:r>
        <w:t xml:space="preserve"> </w:t>
      </w:r>
      <w:r>
        <w:t xml:space="preserve">reliably than cells on which they concur, for every reference and in every tissue: the census</w:t>
      </w:r>
      <w:r>
        <w:t xml:space="preserve"> </w:t>
      </w:r>
      <w:r>
        <w:t xml:space="preserve">model falls from 0.690 to 0.212 across the liver partition, 0.934 to 0.059 across lung, and</w:t>
      </w:r>
      <w:r>
        <w:t xml:space="preserve"> </w:t>
      </w:r>
      <w:r>
        <w:t xml:space="preserve">0.839 to 0.117 across brain, with the same direction for the other two. Because all three</w:t>
      </w:r>
      <w:r>
        <w:t xml:space="preserve"> </w:t>
      </w:r>
      <w:r>
        <w:t xml:space="preserve">improve together, agreement is selecting cells that are unambiguous rather than cells that one</w:t>
      </w:r>
      <w:r>
        <w:t xml:space="preserve"> </w:t>
      </w:r>
      <w:r>
        <w:t xml:space="preserve">model happens to get right — and unlike accuracy it is computable on a query whose answers are</w:t>
      </w:r>
      <w:r>
        <w:t xml:space="preserve"> </w:t>
      </w:r>
      <w:r>
        <w:t xml:space="preserve">unknown, for three sub-second calls and no labels.</w:t>
      </w:r>
    </w:p>
    <w:p>
      <w:pPr>
        <w:pStyle w:val="BodyText"/>
      </w:pPr>
      <w:r>
        <w:t xml:space="preserve">What varies, and varies enormously, is how much of a query the agreeing set covers:</w:t>
      </w:r>
      <w:r>
        <w:t xml:space="preserve"> </w:t>
      </w:r>
      <w:r>
        <w:rPr>
          <w:b/>
          <w:bCs/>
        </w:rPr>
        <w:t xml:space="preserve">23% on</w:t>
      </w:r>
      <w:r>
        <w:rPr>
          <w:b/>
          <w:bCs/>
        </w:rPr>
        <w:t xml:space="preserve"> </w:t>
      </w:r>
      <w:r>
        <w:rPr>
          <w:b/>
          <w:bCs/>
        </w:rPr>
        <w:t xml:space="preserve">liver, 48% on lung, 94% on brain</w:t>
      </w:r>
      <w:r>
        <w:t xml:space="preserve">. The brain figure is the instructive one. That query’s Cell</w:t>
      </w:r>
      <w:r>
        <w:t xml:space="preserve"> </w:t>
      </w:r>
      <w:r>
        <w:t xml:space="preserve">Ontology annotation uses 18 terms for a region whose own working taxonomy,</w:t>
      </w:r>
      <w:r>
        <w:t xml:space="preserve"> </w:t>
      </w:r>
      <w:r>
        <w:rPr>
          <w:rStyle w:val="VerbatimChar"/>
        </w:rPr>
        <w:t xml:space="preserve">CCN201908210</w:t>
      </w:r>
      <w:r>
        <w:t xml:space="preserve">,</w:t>
      </w:r>
      <w:r>
        <w:t xml:space="preserve"> </w:t>
      </w:r>
      <w:r>
        <w:t xml:space="preserve">defines 154 cell sets, and 55% of its cells fall in a single class. High agreement there</w:t>
      </w:r>
      <w:r>
        <w:t xml:space="preserve"> </w:t>
      </w:r>
      <w:r>
        <w:t xml:space="preserve">reflects a coarse truth vocabulary rather than an easy tissue, and it shows the partition</w:t>
      </w:r>
      <w:r>
        <w:t xml:space="preserve"> </w:t>
      </w:r>
      <w:r>
        <w:t xml:space="preserve">reporting the resolution of the annotation it is scored against — which is a property of the</w:t>
      </w:r>
      <w:r>
        <w:t xml:space="preserve"> </w:t>
      </w:r>
      <w:r>
        <w:t xml:space="preserve">query, not of the method.</w:t>
      </w:r>
    </w:p>
    <w:p>
      <w:pPr>
        <w:pStyle w:val="BodyText"/>
      </w:pPr>
      <w:r>
        <w:t xml:space="preserve">A consensus</w:t>
      </w:r>
      <w:r>
        <w:t xml:space="preserve"> </w:t>
      </w:r>
      <w:r>
        <w:rPr>
          <w:i/>
          <w:iCs/>
        </w:rPr>
        <w:t xml:space="preserve">label</w:t>
      </w:r>
      <w:r>
        <w:t xml:space="preserve"> </w:t>
      </w:r>
      <w:r>
        <w:t xml:space="preserve">is not the prize in any of the three. Taking the most specific call the</w:t>
      </w:r>
      <w:r>
        <w:t xml:space="preserve"> </w:t>
      </w:r>
      <w:r>
        <w:t xml:space="preserve">agreeing references support scores 0.365 on liver against the best single reference’s 0.408,</w:t>
      </w:r>
      <w:r>
        <w:t xml:space="preserve"> </w:t>
      </w:r>
      <w:r>
        <w:t xml:space="preserve">0.828 on lung against 0.831, and 0.837 on brain against 0.987 — the last badly worse, because</w:t>
      </w:r>
      <w:r>
        <w:t xml:space="preserve"> </w:t>
      </w:r>
      <w:r>
        <w:t xml:space="preserve">choosing the deepest agreeing call lets one reference’s confident, lineage-compatible but</w:t>
      </w:r>
      <w:r>
        <w:t xml:space="preserve"> </w:t>
      </w:r>
      <w:r>
        <w:t xml:space="preserve">wrong specificity override two correct coarser calls. Running several references does not</w:t>
      </w:r>
      <w:r>
        <w:t xml:space="preserve"> </w:t>
      </w:r>
      <w:r>
        <w:t xml:space="preserve">produce a better annotation; it tells you which annotations to trust.</w:t>
      </w:r>
    </w:p>
    <w:p>
      <w:pPr>
        <w:pStyle w:val="BodyText"/>
      </w:pPr>
      <w:r>
        <w:t xml:space="preserve">What counts as agreement is the ontology’s judgment rather than ours, and the comparison was</w:t>
      </w:r>
      <w:r>
        <w:t xml:space="preserve"> </w:t>
      </w:r>
      <w:r>
        <w:t xml:space="preserve">possible only because all three references carry Cell Ontology terms. The Common Cell type</w:t>
      </w:r>
      <w:r>
        <w:t xml:space="preserve"> </w:t>
      </w:r>
      <w:r>
        <w:t xml:space="preserve">Nomenclature</w:t>
      </w:r>
      <w:r>
        <w:t xml:space="preserve"> </w:t>
      </w:r>
      <w:hyperlink r:id="rId25">
        <w:r>
          <w:rPr>
            <w:rStyle w:val="Hyperlink"/>
          </w:rPr>
          <w:t xml:space="preserve">[Miller 2020]</w:t>
        </w:r>
      </w:hyperlink>
      <w:r>
        <w:t xml:space="preserve"> </w:t>
      </w:r>
      <w:r>
        <w:t xml:space="preserve">answers the same problem differently, giving each taxonomy’s cell</w:t>
      </w:r>
      <w:r>
        <w:t xml:space="preserve"> </w:t>
      </w:r>
      <w:r>
        <w:t xml:space="preserve">sets stable accessions and a curated alias layer rather than a shared coordinate system. The</w:t>
      </w:r>
      <w:r>
        <w:t xml:space="preserve"> </w:t>
      </w:r>
      <w:r>
        <w:t xml:space="preserve">two are complements, not substitutes: in the published human MTG taxonomy</w:t>
      </w:r>
      <w:r>
        <w:t xml:space="preserve"> </w:t>
      </w:r>
      <w:r>
        <w:rPr>
          <w:rStyle w:val="VerbatimChar"/>
        </w:rPr>
        <w:t xml:space="preserve">CCN201908210</w:t>
      </w:r>
      <w:r>
        <w:t xml:space="preserve"> </w:t>
      </w:r>
      <w:r>
        <w:t xml:space="preserve">the</w:t>
      </w:r>
      <w:r>
        <w:t xml:space="preserve"> </w:t>
      </w:r>
      <w:r>
        <w:t xml:space="preserve">154 cell sets carry an anatomical tag but no cell-type ontology id, and the field that matches</w:t>
      </w:r>
      <w:r>
        <w:t xml:space="preserve"> </w:t>
      </w:r>
      <w:r>
        <w:t xml:space="preserve">cell sets across taxonomies is filled for 23 of them. CL supplies the</w:t>
      </w:r>
      <w:r>
        <w:t xml:space="preserve"> </w:t>
      </w:r>
      <w:r>
        <w:rPr>
          <w:i/>
          <w:iCs/>
        </w:rPr>
        <w:t xml:space="preserve">total</w:t>
      </w:r>
      <w:r>
        <w:t xml:space="preserve"> </w:t>
      </w:r>
      <w:r>
        <w:t xml:space="preserve">subsumption</w:t>
      </w:r>
      <w:r>
        <w:t xml:space="preserve"> </w:t>
      </w:r>
      <w:r>
        <w:t xml:space="preserve">relation that makes an agreement partition computable; CCN supplies the provenance CL cannot,</w:t>
      </w:r>
      <w:r>
        <w:t xml:space="preserve"> </w:t>
      </w:r>
      <w:r>
        <w:t xml:space="preserve">recording which taxonomy and publication each label came from. A workflow that compares</w:t>
      </w:r>
      <w:r>
        <w:t xml:space="preserve"> </w:t>
      </w:r>
      <w:r>
        <w:t xml:space="preserve">annotations across references wants both.</w:t>
      </w:r>
    </w:p>
    <w:p>
      <w:pPr>
        <w:pStyle w:val="BodyText"/>
      </w:pPr>
      <w:r>
        <w:drawing>
          <wp:inline>
            <wp:extent cx="5334000" cy="1663557"/>
            <wp:effectExtent b="0" l="0" r="0" t="0"/>
            <wp:docPr descr="reference agreement" title="" id="27" name="Picture"/>
            <a:graphic>
              <a:graphicData uri="http://schemas.openxmlformats.org/drawingml/2006/picture">
                <pic:pic>
                  <pic:nvPicPr>
                    <pic:cNvPr descr="/Users/iandriver/Downloads/actinn-jax-benchmark/docs/figures/fig_consensus.png" id="28" name="Picture"/>
                    <pic:cNvPicPr>
                      <a:picLocks noChangeArrowheads="1" noChangeAspect="1"/>
                    </pic:cNvPicPr>
                  </pic:nvPicPr>
                  <pic:blipFill>
                    <a:blip r:embed="rId26"/>
                    <a:stretch>
                      <a:fillRect/>
                    </a:stretch>
                  </pic:blipFill>
                  <pic:spPr bwMode="auto">
                    <a:xfrm>
                      <a:off x="0" y="0"/>
                      <a:ext cx="5334000" cy="1663557"/>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Ontology concordance within each agreement tier for three broad references, on</w:t>
      </w:r>
      <w:r>
        <w:t xml:space="preserve"> </w:t>
      </w:r>
      <w:r>
        <w:t xml:space="preserve">withheld cross-study liver (</w:t>
      </w:r>
      <w:r>
        <w:rPr>
          <w:i/>
          <w:iCs/>
        </w:rPr>
        <w:t xml:space="preserve">A</w:t>
      </w:r>
      <w:r>
        <w:t xml:space="preserve">), the Krasnow lung atlas (</w:t>
      </w:r>
      <w:r>
        <w:rPr>
          <w:i/>
          <w:iCs/>
        </w:rPr>
        <w:t xml:space="preserve">B</w:t>
      </w:r>
      <w:r>
        <w:t xml:space="preserve">) and the Allen human middle</w:t>
      </w:r>
      <w:r>
        <w:t xml:space="preserve"> </w:t>
      </w:r>
      <w:r>
        <w:t xml:space="preserve">temporal gyrus (</w:t>
      </w:r>
      <w:r>
        <w:rPr>
          <w:i/>
          <w:iCs/>
        </w:rPr>
        <w:t xml:space="preserve">C</w:t>
      </w:r>
      <w:r>
        <w:t xml:space="preserve">); dashed lines are the same models over the whole query. Agreement is</w:t>
      </w:r>
      <w:r>
        <w:t xml:space="preserve"> </w:t>
      </w:r>
      <w:r>
        <w:t xml:space="preserve">evaluated in the Cell Ontology because the three references answer in different vocabularies</w:t>
      </w:r>
      <w:r>
        <w:t xml:space="preserve"> </w:t>
      </w:r>
      <w:r>
        <w:t xml:space="preserve">(798, 382 and 324 classes). The ordering is the same in all three tissues; the fraction of</w:t>
      </w:r>
      <w:r>
        <w:t xml:space="preserve"> </w:t>
      </w:r>
      <w:r>
        <w:t xml:space="preserve">cells on which the references agree is not, and tracks how finely the query’s own annotation</w:t>
      </w:r>
      <w:r>
        <w:t xml:space="preserve"> </w:t>
      </w:r>
      <w:r>
        <w:t xml:space="preserve">is resolved.</w:t>
      </w:r>
    </w:p>
    <w:bookmarkEnd w:id="29"/>
    <w:bookmarkStart w:id="30" w:name="Xc9c7bad4aecd06c09d0d5feaca47a6a3c3e0f37"/>
    <w:p>
      <w:pPr>
        <w:pStyle w:val="Heading2"/>
      </w:pPr>
      <w:r>
        <w:t xml:space="preserve">Abstention is tunable; zero-shot labels are not competitive</w:t>
      </w:r>
    </w:p>
    <w:p>
      <w:pPr>
        <w:pStyle w:val="FirstParagraph"/>
      </w:pPr>
      <w:r>
        <w:t xml:space="preserve">Withholding 9 of 36 cell types entirely and sweeping a confidence threshold over the eight</w:t>
      </w:r>
      <w:r>
        <w:t xml:space="preserve"> </w:t>
      </w:r>
      <w:r>
        <w:t xml:space="preserve">methods that return a per-cell confidence, five trade coverage for accuracy across the range</w:t>
      </w:r>
      <w:r>
        <w:t xml:space="preserve"> </w:t>
      </w:r>
      <w:r>
        <w:t xml:space="preserve">and three do not: CellTypist’s probabilities are saturated and give one operating point</w:t>
      </w:r>
      <w:r>
        <w:t xml:space="preserve"> </w:t>
      </w:r>
      <w:r>
        <w:t xml:space="preserve">instead of a curve, scTOP’s projection score keeps only 6% of the query at p ≥ 0.5, and</w:t>
      </w:r>
      <w:r>
        <w:t xml:space="preserve"> </w:t>
      </w:r>
      <w:r>
        <w:t xml:space="preserve">ProtoCloud’s ambiguity flag is flat until 0.9 (Supplementary Figures S8–S9). Among the five</w:t>
      </w:r>
      <w:r>
        <w:t xml:space="preserve"> </w:t>
      </w:r>
      <w:r>
        <w:t xml:space="preserve">that work, abstain quality does not separate them — actinn-jax and scArches are effectively</w:t>
      </w:r>
      <w:r>
        <w:t xml:space="preserve"> </w:t>
      </w:r>
      <w:r>
        <w:t xml:space="preserve">tied (0.969 accuracy on 66% of cells with 73% of novel cells flagged, against 0.983 on 61%</w:t>
      </w:r>
      <w:r>
        <w:t xml:space="preserve"> </w:t>
      </w:r>
      <w:r>
        <w:t xml:space="preserve">with 71%) — but cost does, at 0.54 s of predict time against 17.2 s. This is a second and</w:t>
      </w:r>
      <w:r>
        <w:t xml:space="preserve"> </w:t>
      </w:r>
      <w:r>
        <w:t xml:space="preserve">complementary route to the same end as reference agreement: a calibrated threshold within one</w:t>
      </w:r>
      <w:r>
        <w:t xml:space="preserve"> </w:t>
      </w:r>
      <w:r>
        <w:t xml:space="preserve">reference, or concurrence across several with no calibration at all.</w:t>
      </w:r>
    </w:p>
    <w:p>
      <w:pPr>
        <w:pStyle w:val="BodyText"/>
      </w:pPr>
      <w:r>
        <w:t xml:space="preserve">Separately, a foundation model run zero-shot scored</w:t>
      </w:r>
      <w:r>
        <w:t xml:space="preserve"> </w:t>
      </w:r>
      <w:r>
        <w:rPr>
          <w:b/>
          <w:bCs/>
        </w:rPr>
        <w:t xml:space="preserve">0.201</w:t>
      </w:r>
      <w:r>
        <w:t xml:space="preserve"> </w:t>
      </w:r>
      <w:r>
        <w:t xml:space="preserve">ontology concordance against</w:t>
      </w:r>
      <w:r>
        <w:t xml:space="preserve"> </w:t>
      </w:r>
      <w:r>
        <w:t xml:space="preserve">0.917 for a reference-trained model on the same cells, taking ~280× longer — reproduced</w:t>
      </w:r>
      <w:r>
        <w:t xml:space="preserve"> </w:t>
      </w:r>
      <w:r>
        <w:t xml:space="preserve">independently on Open Problems, where zero-shot entries sit at the bottom of the leaderboard.</w:t>
      </w:r>
    </w:p>
    <w:bookmarkEnd w:id="30"/>
    <w:bookmarkEnd w:id="31"/>
    <w:bookmarkStart w:id="32" w:name="discussion"/>
    <w:p>
      <w:pPr>
        <w:pStyle w:val="Heading1"/>
      </w:pPr>
      <w:r>
        <w:t xml:space="preserve">Discussion</w:t>
      </w:r>
    </w:p>
    <w:p>
      <w:pPr>
        <w:pStyle w:val="FirstParagraph"/>
      </w:pPr>
      <w:r>
        <w:t xml:space="preserve">Across two independent benchmarks the same pattern holds: methods separated by less than a</w:t>
      </w:r>
      <w:r>
        <w:t xml:space="preserve"> </w:t>
      </w:r>
      <w:r>
        <w:t xml:space="preserve">percentage point of accuracy are separated by two orders of magnitude in cost, and neither</w:t>
      </w:r>
      <w:r>
        <w:t xml:space="preserve"> </w:t>
      </w:r>
      <w:r>
        <w:t xml:space="preserve">ordering is stable across reference size or feature budget. Reporting accuracy alone therefore</w:t>
      </w:r>
      <w:r>
        <w:t xml:space="preserve"> </w:t>
      </w:r>
      <w:r>
        <w:t xml:space="preserve">under-determines the choice of method, and reporting it from a single reference size can</w:t>
      </w:r>
      <w:r>
        <w:t xml:space="preserve"> </w:t>
      </w:r>
      <w:r>
        <w:t xml:space="preserve">invert the recommendation.</w:t>
      </w:r>
    </w:p>
    <w:p>
      <w:pPr>
        <w:pStyle w:val="BodyText"/>
      </w:pPr>
      <w:r>
        <w:t xml:space="preserve">The consequence we think matters most is not a ranking but a change in what an annotation</w:t>
      </w:r>
      <w:r>
        <w:t xml:space="preserve"> </w:t>
      </w:r>
      <w:r>
        <w:t xml:space="preserve">pipeline can afford to do. When a reference call costs a fraction of a second, the pipeline</w:t>
      </w:r>
      <w:r>
        <w:t xml:space="preserve"> </w:t>
      </w:r>
      <w:r>
        <w:t xml:space="preserve">stops being one classification and becomes a sequence of cheap ones: route the query to a</w:t>
      </w:r>
      <w:r>
        <w:t xml:space="preserve"> </w:t>
      </w:r>
      <w:r>
        <w:t xml:space="preserve">tissue, re-annotate against a reference matched to it, resolve states below the label, and ask</w:t>
      </w:r>
      <w:r>
        <w:t xml:space="preserve"> </w:t>
      </w:r>
      <w:r>
        <w:t xml:space="preserve">several independent references where they agree. Each step is unremarkable alone; together</w:t>
      </w:r>
      <w:r>
        <w:t xml:space="preserve"> </w:t>
      </w:r>
      <w:r>
        <w:t xml:space="preserve">they are what a user actually wants, and their feasibility is a cost property rather than an</w:t>
      </w:r>
      <w:r>
        <w:t xml:space="preserve"> </w:t>
      </w:r>
      <w:r>
        <w:t xml:space="preserve">accuracy property.</w:t>
      </w:r>
    </w:p>
    <w:p>
      <w:pPr>
        <w:pStyle w:val="BodyText"/>
      </w:pPr>
      <w:r>
        <w:t xml:space="preserve">The agreement result is the clearest case, and also the most honest about its limits. It buys</w:t>
      </w:r>
      <w:r>
        <w:t xml:space="preserve"> </w:t>
      </w:r>
      <w:r>
        <w:t xml:space="preserve">no better label — the consensus call loses to the best single reference — but it identifies,</w:t>
      </w:r>
      <w:r>
        <w:t xml:space="preserve"> </w:t>
      </w:r>
      <w:r>
        <w:t xml:space="preserve">with no ground truth at all, the fraction of a query on which independent references concur</w:t>
      </w:r>
      <w:r>
        <w:t xml:space="preserve"> </w:t>
      </w:r>
      <w:r>
        <w:t xml:space="preserve">and on which every one of them is markedly more often right. That is available to anyone</w:t>
      </w:r>
      <w:r>
        <w:t xml:space="preserve"> </w:t>
      </w:r>
      <w:r>
        <w:t xml:space="preserve">willing to run three annotators instead of one, which is only a reasonable thing to ask when</w:t>
      </w:r>
      <w:r>
        <w:t xml:space="preserve"> </w:t>
      </w:r>
      <w:r>
        <w:t xml:space="preserve">each takes under a second.</w:t>
      </w:r>
    </w:p>
    <w:p>
      <w:pPr>
        <w:pStyle w:val="BodyText"/>
      </w:pPr>
      <w:r>
        <w:t xml:space="preserve">We are explicit about what is not ours. ProtoCloud provides uncertainty, attribution and a</w:t>
      </w:r>
      <w:r>
        <w:t xml:space="preserve"> </w:t>
      </w:r>
      <w:r>
        <w:t xml:space="preserve">retraining-based refinement path, and becomes the most accurate method at atlas scale. A</w:t>
      </w:r>
      <w:r>
        <w:t xml:space="preserve"> </w:t>
      </w:r>
      <w:r>
        <w:t xml:space="preserve">purpose-built pan-human annotator is better resourced than our census-built reference, and our</w:t>
      </w:r>
      <w:r>
        <w:t xml:space="preserve"> </w:t>
      </w:r>
      <w:r>
        <w:t xml:space="preserve">distilled model matches rather than improves on it; we claim not better annotations but</w:t>
      </w:r>
      <w:r>
        <w:t xml:space="preserve"> </w:t>
      </w:r>
      <w:r>
        <w:t xml:space="preserve">cheaper ones that preserve its vocabulary and structure. What remains distinct is the hand-off</w:t>
      </w:r>
      <w:r>
        <w:t xml:space="preserve"> </w:t>
      </w:r>
      <w:r>
        <w:t xml:space="preserve">no fixed typology performs — re-annotation into a user’s own label set, resolution below a</w:t>
      </w:r>
      <w:r>
        <w:t xml:space="preserve"> </w:t>
      </w:r>
      <w:r>
        <w:t xml:space="preserve">typology’s leaves, and screening for what none of them claims — at a cost that keeps every</w:t>
      </w:r>
      <w:r>
        <w:t xml:space="preserve"> </w:t>
      </w:r>
      <w:r>
        <w:t xml:space="preserve">stage on the machine already on the desk.</w:t>
      </w:r>
    </w:p>
    <w:p>
      <w:pPr>
        <w:pStyle w:val="BodyText"/>
      </w:pPr>
      <w:r>
        <w:t xml:space="preserve">The main limitations are that the cross-method comparison is human-only and single</w:t>
      </w:r>
      <w:r>
        <w:t xml:space="preserve"> </w:t>
      </w:r>
      <w:r>
        <w:t xml:space="preserve">hardware-family; that our classical tier is untuned while the linear baseline is tuned, which</w:t>
      </w:r>
      <w:r>
        <w:t xml:space="preserve"> </w:t>
      </w:r>
      <w:r>
        <w:t xml:space="preserve">biases against our own method; that the distilled reference inherits a vocabulary but not its</w:t>
      </w:r>
      <w:r>
        <w:t xml:space="preserve"> </w:t>
      </w:r>
      <w:r>
        <w:t xml:space="preserve">teacher’s calibrated abstention; that the agreement result covers three tissues with three</w:t>
      </w:r>
      <w:r>
        <w:t xml:space="preserve"> </w:t>
      </w:r>
      <w:r>
        <w:t xml:space="preserve">references, so its direction is replicated but the size of the agreeing fraction is strongly</w:t>
      </w:r>
      <w:r>
        <w:t xml:space="preserve"> </w:t>
      </w:r>
      <w:r>
        <w:t xml:space="preserve">dependent on how finely the query is annotated; and that agreement is defined in the Cell</w:t>
      </w:r>
      <w:r>
        <w:t xml:space="preserve"> </w:t>
      </w:r>
      <w:r>
        <w:t xml:space="preserve">Ontology, whose subsumption judgments decide what counts as agreeing and whose resolution in</w:t>
      </w:r>
      <w:r>
        <w:t xml:space="preserve"> </w:t>
      </w:r>
      <w:r>
        <w:t xml:space="preserve">cortex is roughly a tenth of the working taxonomy’s. Full limitations are in the extended</w:t>
      </w:r>
      <w:r>
        <w:t xml:space="preserve"> </w:t>
      </w:r>
      <w:r>
        <w:t xml:space="preserve">report.</w:t>
      </w:r>
    </w:p>
    <w:bookmarkEnd w:id="32"/>
    <w:bookmarkStart w:id="55" w:name="references"/>
    <w:p>
      <w:pPr>
        <w:pStyle w:val="Heading1"/>
      </w:pPr>
      <w:r>
        <w:t xml:space="preserve">References</w:t>
      </w:r>
    </w:p>
    <w:p>
      <w:pPr>
        <w:pStyle w:val="Compact"/>
        <w:numPr>
          <w:ilvl w:val="0"/>
          <w:numId w:val="1002"/>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3">
        <w:r>
          <w:rPr>
            <w:rStyle w:val="Hyperlink"/>
          </w:rPr>
          <w:t xml:space="preserve">10xgenomics.com/datasets/3-k-pbm-cs-from-a-healthy-donor-1-standard-1-1-0</w:t>
        </w:r>
      </w:hyperlink>
      <w:r>
        <w:t xml:space="preserve">.</w:t>
      </w:r>
    </w:p>
    <w:p>
      <w:pPr>
        <w:pStyle w:val="Compact"/>
        <w:numPr>
          <w:ilvl w:val="0"/>
          <w:numId w:val="1002"/>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34">
        <w:r>
          <w:rPr>
            <w:rStyle w:val="Hyperlink"/>
          </w:rPr>
          <w:t xml:space="preserve">doi:10.1186/s13059-019-1795-z</w:t>
        </w:r>
      </w:hyperlink>
      <w:r>
        <w:t xml:space="preserve">.</w:t>
      </w:r>
    </w:p>
    <w:p>
      <w:pPr>
        <w:pStyle w:val="Compact"/>
        <w:numPr>
          <w:ilvl w:val="0"/>
          <w:numId w:val="1002"/>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5">
        <w:r>
          <w:rPr>
            <w:rStyle w:val="Hyperlink"/>
          </w:rPr>
          <w:t xml:space="preserve">doi:10.1038/s41586-026-10627-z</w:t>
        </w:r>
      </w:hyperlink>
      <w:r>
        <w:t xml:space="preserve">.</w:t>
      </w:r>
    </w:p>
    <w:p>
      <w:pPr>
        <w:pStyle w:val="Compact"/>
        <w:numPr>
          <w:ilvl w:val="0"/>
          <w:numId w:val="1002"/>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36">
        <w:r>
          <w:rPr>
            <w:rStyle w:val="Hyperlink"/>
          </w:rPr>
          <w:t xml:space="preserve">doi:10.1038/s41590-018-0276-y</w:t>
        </w:r>
      </w:hyperlink>
      <w:r>
        <w:t xml:space="preserve">.</w:t>
      </w:r>
    </w:p>
    <w:p>
      <w:pPr>
        <w:pStyle w:val="Compact"/>
        <w:numPr>
          <w:ilvl w:val="0"/>
          <w:numId w:val="1002"/>
        </w:numPr>
      </w:pPr>
      <w:r>
        <w:t xml:space="preserve">Bradbury J, et al. JAX: composable transformations of Python+NumPy programs (2018).</w:t>
      </w:r>
      <w:r>
        <w:t xml:space="preserve"> </w:t>
      </w:r>
      <w:hyperlink r:id="rId37">
        <w:r>
          <w:rPr>
            <w:rStyle w:val="Hyperlink"/>
          </w:rPr>
          <w:t xml:space="preserve">github.com/jax-ml/jax</w:t>
        </w:r>
      </w:hyperlink>
      <w:r>
        <w:t xml:space="preserve">.</w:t>
      </w:r>
    </w:p>
    <w:p>
      <w:pPr>
        <w:pStyle w:val="Compact"/>
        <w:numPr>
          <w:ilvl w:val="0"/>
          <w:numId w:val="1002"/>
        </w:numPr>
      </w:pPr>
      <w:r>
        <w:t xml:space="preserve">CZI Cell Science Program. CZ CELLxGENE Discover Census, LTS release 2025-11-08.</w:t>
      </w:r>
      <w:r>
        <w:t xml:space="preserve"> </w:t>
      </w:r>
      <w:hyperlink r:id="rId14">
        <w:r>
          <w:rPr>
            <w:rStyle w:val="Hyperlink"/>
          </w:rPr>
          <w:t xml:space="preserve">chanzuckerberg.github.io/cellxgene-census</w:t>
        </w:r>
      </w:hyperlink>
      <w:r>
        <w:t xml:space="preserve">.</w:t>
      </w:r>
    </w:p>
    <w:p>
      <w:pPr>
        <w:pStyle w:val="Compact"/>
        <w:numPr>
          <w:ilvl w:val="0"/>
          <w:numId w:val="1002"/>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38">
        <w:r>
          <w:rPr>
            <w:rStyle w:val="Hyperlink"/>
          </w:rPr>
          <w:t xml:space="preserve">doi:10.1145/2939672.2939785</w:t>
        </w:r>
      </w:hyperlink>
      <w:r>
        <w:t xml:space="preserve">.</w:t>
      </w:r>
    </w:p>
    <w:p>
      <w:pPr>
        <w:pStyle w:val="Compact"/>
        <w:numPr>
          <w:ilvl w:val="0"/>
          <w:numId w:val="1002"/>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39">
        <w:r>
          <w:rPr>
            <w:rStyle w:val="Hyperlink"/>
          </w:rPr>
          <w:t xml:space="preserve">doi:10.1126/science.abl5197</w:t>
        </w:r>
      </w:hyperlink>
      <w:r>
        <w:t xml:space="preserve">.</w:t>
      </w:r>
    </w:p>
    <w:p>
      <w:pPr>
        <w:pStyle w:val="Compact"/>
        <w:numPr>
          <w:ilvl w:val="0"/>
          <w:numId w:val="1002"/>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40">
        <w:r>
          <w:rPr>
            <w:rStyle w:val="Hyperlink"/>
          </w:rPr>
          <w:t xml:space="preserve">doi:10.64898/2026.06.30.735539</w:t>
        </w:r>
      </w:hyperlink>
      <w:r>
        <w:t xml:space="preserve">.</w:t>
      </w:r>
    </w:p>
    <w:p>
      <w:pPr>
        <w:pStyle w:val="Compact"/>
        <w:numPr>
          <w:ilvl w:val="0"/>
          <w:numId w:val="1002"/>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41">
        <w:r>
          <w:rPr>
            <w:rStyle w:val="Hyperlink"/>
          </w:rPr>
          <w:t xml:space="preserve">doi:10.1093/bib/bbae392</w:t>
        </w:r>
      </w:hyperlink>
      <w:r>
        <w:t xml:space="preserve">.</w:t>
      </w:r>
    </w:p>
    <w:p>
      <w:pPr>
        <w:pStyle w:val="Compact"/>
        <w:numPr>
          <w:ilvl w:val="0"/>
          <w:numId w:val="1002"/>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42">
        <w:r>
          <w:rPr>
            <w:rStyle w:val="Hyperlink"/>
          </w:rPr>
          <w:t xml:space="preserve">doi:10.1016/j.xgen.2026.101217</w:t>
        </w:r>
      </w:hyperlink>
      <w:r>
        <w:t xml:space="preserve">.</w:t>
      </w:r>
    </w:p>
    <w:p>
      <w:pPr>
        <w:pStyle w:val="Compact"/>
        <w:numPr>
          <w:ilvl w:val="0"/>
          <w:numId w:val="1002"/>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10">
        <w:r>
          <w:rPr>
            <w:rStyle w:val="Hyperlink"/>
          </w:rPr>
          <w:t xml:space="preserve">doi:10.1038/s41467-025-58699-1</w:t>
        </w:r>
      </w:hyperlink>
      <w:r>
        <w:t xml:space="preserve">.</w:t>
      </w:r>
    </w:p>
    <w:p>
      <w:pPr>
        <w:pStyle w:val="Compact"/>
        <w:numPr>
          <w:ilvl w:val="0"/>
          <w:numId w:val="1002"/>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43">
        <w:r>
          <w:rPr>
            <w:rStyle w:val="Hyperlink"/>
          </w:rPr>
          <w:t xml:space="preserve">doi:10.1038/nmeth.4644</w:t>
        </w:r>
      </w:hyperlink>
      <w:r>
        <w:t xml:space="preserve">.</w:t>
      </w:r>
    </w:p>
    <w:p>
      <w:pPr>
        <w:pStyle w:val="Compact"/>
        <w:numPr>
          <w:ilvl w:val="0"/>
          <w:numId w:val="1002"/>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2"/>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45">
        <w:r>
          <w:rPr>
            <w:rStyle w:val="Hyperlink"/>
          </w:rPr>
          <w:t xml:space="preserve">doi:10.1038/s41587-021-01001-7</w:t>
        </w:r>
      </w:hyperlink>
      <w:r>
        <w:t xml:space="preserve">.</w:t>
      </w:r>
    </w:p>
    <w:p>
      <w:pPr>
        <w:pStyle w:val="Compact"/>
        <w:numPr>
          <w:ilvl w:val="0"/>
          <w:numId w:val="1002"/>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2"/>
        </w:numPr>
      </w:pPr>
      <w:r>
        <w:t xml:space="preserve">Miller JA, Gouwens NW, Tasic B, et al. Common cell type nomenclature for the mammalian brain.</w:t>
      </w:r>
      <w:r>
        <w:t xml:space="preserve"> </w:t>
      </w:r>
      <w:r>
        <w:rPr>
          <w:i/>
          <w:iCs/>
        </w:rPr>
        <w:t xml:space="preserve">eLife</w:t>
      </w:r>
      <w:r>
        <w:t xml:space="preserve"> </w:t>
      </w:r>
      <w:r>
        <w:t xml:space="preserve">9:e59928 (2020).</w:t>
      </w:r>
      <w:r>
        <w:t xml:space="preserve"> </w:t>
      </w:r>
      <w:hyperlink r:id="rId25">
        <w:r>
          <w:rPr>
            <w:rStyle w:val="Hyperlink"/>
          </w:rPr>
          <w:t xml:space="preserve">doi:10.7554/eLife.59928</w:t>
        </w:r>
      </w:hyperlink>
      <w:r>
        <w:t xml:space="preserve">.</w:t>
      </w:r>
    </w:p>
    <w:p>
      <w:pPr>
        <w:pStyle w:val="Compact"/>
        <w:numPr>
          <w:ilvl w:val="0"/>
          <w:numId w:val="1002"/>
        </w:numPr>
      </w:pPr>
      <w:r>
        <w:t xml:space="preserve">Open Problems for Single-Cell Analysis Consortium. Open Problems: a living benchmark for single-cell analysis (2024).</w:t>
      </w:r>
      <w:r>
        <w:t xml:space="preserve"> </w:t>
      </w:r>
      <w:hyperlink r:id="rId46">
        <w:r>
          <w:rPr>
            <w:rStyle w:val="Hyperlink"/>
          </w:rPr>
          <w:t xml:space="preserve">openproblems.bio</w:t>
        </w:r>
      </w:hyperlink>
      <w:r>
        <w:t xml:space="preserve">.</w:t>
      </w:r>
    </w:p>
    <w:p>
      <w:pPr>
        <w:pStyle w:val="Compact"/>
        <w:numPr>
          <w:ilvl w:val="0"/>
          <w:numId w:val="1002"/>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47">
        <w:r>
          <w:rPr>
            <w:rStyle w:val="Hyperlink"/>
          </w:rPr>
          <w:t xml:space="preserve">jmlr.org/papers/v12/pedregosa11a.html</w:t>
        </w:r>
      </w:hyperlink>
      <w:r>
        <w:t xml:space="preserve">.</w:t>
      </w:r>
    </w:p>
    <w:p>
      <w:pPr>
        <w:pStyle w:val="Compact"/>
        <w:numPr>
          <w:ilvl w:val="0"/>
          <w:numId w:val="1002"/>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8">
        <w:r>
          <w:rPr>
            <w:rStyle w:val="Hyperlink"/>
          </w:rPr>
          <w:t xml:space="preserve">doi:10.1038/s41586-026-10689-z</w:t>
        </w:r>
      </w:hyperlink>
      <w:r>
        <w:t xml:space="preserve">.</w:t>
      </w:r>
    </w:p>
    <w:p>
      <w:pPr>
        <w:pStyle w:val="Compact"/>
        <w:numPr>
          <w:ilvl w:val="0"/>
          <w:numId w:val="1002"/>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11">
        <w:r>
          <w:rPr>
            <w:rStyle w:val="Hyperlink"/>
          </w:rPr>
          <w:t xml:space="preserve">doi:10.64898/2026.07.16.738997</w:t>
        </w:r>
      </w:hyperlink>
      <w:r>
        <w:t xml:space="preserve">.</w:t>
      </w:r>
    </w:p>
    <w:p>
      <w:pPr>
        <w:pStyle w:val="Compact"/>
        <w:numPr>
          <w:ilvl w:val="0"/>
          <w:numId w:val="1002"/>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49">
        <w:r>
          <w:rPr>
            <w:rStyle w:val="Hyperlink"/>
          </w:rPr>
          <w:t xml:space="preserve">doi:10.1038/s41591-023-02327-2</w:t>
        </w:r>
      </w:hyperlink>
      <w:r>
        <w:t xml:space="preserve">.</w:t>
      </w:r>
    </w:p>
    <w:p>
      <w:pPr>
        <w:pStyle w:val="Compact"/>
        <w:numPr>
          <w:ilvl w:val="0"/>
          <w:numId w:val="1002"/>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50">
        <w:r>
          <w:rPr>
            <w:rStyle w:val="Hyperlink"/>
          </w:rPr>
          <w:t xml:space="preserve">doi:10.64898/2026.02.11.705358</w:t>
        </w:r>
      </w:hyperlink>
      <w:r>
        <w:t xml:space="preserve">.</w:t>
      </w:r>
    </w:p>
    <w:p>
      <w:pPr>
        <w:pStyle w:val="Compact"/>
        <w:numPr>
          <w:ilvl w:val="0"/>
          <w:numId w:val="1002"/>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51">
        <w:r>
          <w:rPr>
            <w:rStyle w:val="Hyperlink"/>
          </w:rPr>
          <w:t xml:space="preserve">doi:10.1038/s41586-020-2922-4</w:t>
        </w:r>
      </w:hyperlink>
      <w:r>
        <w:t xml:space="preserve">.</w:t>
      </w:r>
    </w:p>
    <w:p>
      <w:pPr>
        <w:pStyle w:val="Compact"/>
        <w:numPr>
          <w:ilvl w:val="0"/>
          <w:numId w:val="1002"/>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52">
        <w:r>
          <w:rPr>
            <w:rStyle w:val="Hyperlink"/>
          </w:rPr>
          <w:t xml:space="preserve">doi:10.15252/msb.20209620</w:t>
        </w:r>
      </w:hyperlink>
      <w:r>
        <w:t xml:space="preserve">.</w:t>
      </w:r>
    </w:p>
    <w:p>
      <w:pPr>
        <w:pStyle w:val="Compact"/>
        <w:numPr>
          <w:ilvl w:val="0"/>
          <w:numId w:val="1002"/>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53">
        <w:r>
          <w:rPr>
            <w:rStyle w:val="Hyperlink"/>
          </w:rPr>
          <w:t xml:space="preserve">doi:10.1242/dev.201873</w:t>
        </w:r>
      </w:hyperlink>
      <w:r>
        <w:t xml:space="preserve">.</w:t>
      </w:r>
    </w:p>
    <w:p>
      <w:pPr>
        <w:pStyle w:val="Compact"/>
        <w:numPr>
          <w:ilvl w:val="0"/>
          <w:numId w:val="1002"/>
        </w:numPr>
      </w:pPr>
      <w:r>
        <w:t xml:space="preserve">Munroe R. Standards.</w:t>
      </w:r>
      <w:r>
        <w:t xml:space="preserve"> </w:t>
      </w:r>
      <w:r>
        <w:rPr>
          <w:i/>
          <w:iCs/>
        </w:rPr>
        <w:t xml:space="preserve">xkcd</w:t>
      </w:r>
      <w:r>
        <w:t xml:space="preserve"> </w:t>
      </w:r>
      <w:r>
        <w:t xml:space="preserve">927.</w:t>
      </w:r>
      <w:r>
        <w:t xml:space="preserve"> </w:t>
      </w:r>
      <w:hyperlink r:id="rId54">
        <w:r>
          <w:rPr>
            <w:rStyle w:val="Hyperlink"/>
          </w:rPr>
          <w:t xml:space="preserve">xkcd.com/927</w:t>
        </w:r>
      </w:hyperlink>
      <w: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hyperlink" Id="rId14" Target="https://chanzuckerberg.github.io/cellxgene-census/" TargetMode="External" /><Relationship Type="http://schemas.openxmlformats.org/officeDocument/2006/relationships/hyperlink" Id="rId42" Target="https://doi.org/10.1016/j.xgen.2026.101217" TargetMode="External" /><Relationship Type="http://schemas.openxmlformats.org/officeDocument/2006/relationships/hyperlink" Id="rId43"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51" Target="https://doi.org/10.1038/s41586-020-2922-4" TargetMode="External" /><Relationship Type="http://schemas.openxmlformats.org/officeDocument/2006/relationships/hyperlink" Id="rId35" Target="https://doi.org/10.1038/s41586-026-10627-z" TargetMode="External" /><Relationship Type="http://schemas.openxmlformats.org/officeDocument/2006/relationships/hyperlink" Id="rId48" Target="https://doi.org/10.1038/s41586-026-10689-z" TargetMode="External" /><Relationship Type="http://schemas.openxmlformats.org/officeDocument/2006/relationships/hyperlink" Id="rId45" Target="https://doi.org/10.1038/s41587-021-01001-7" TargetMode="External" /><Relationship Type="http://schemas.openxmlformats.org/officeDocument/2006/relationships/hyperlink" Id="rId36" Target="https://doi.org/10.1038/s41590-018-0276-y" TargetMode="External" /><Relationship Type="http://schemas.openxmlformats.org/officeDocument/2006/relationships/hyperlink" Id="rId49" Target="https://doi.org/10.1038/s41591-023-02327-2" TargetMode="External" /><Relationship Type="http://schemas.openxmlformats.org/officeDocument/2006/relationships/hyperlink" Id="rId41"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9"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38" Target="https://doi.org/10.1145/2939672.2939785" TargetMode="External" /><Relationship Type="http://schemas.openxmlformats.org/officeDocument/2006/relationships/hyperlink" Id="rId34" Target="https://doi.org/10.1186/s13059-019-1795-z" TargetMode="External" /><Relationship Type="http://schemas.openxmlformats.org/officeDocument/2006/relationships/hyperlink" Id="rId53" Target="https://doi.org/10.1242/dev.201873" TargetMode="External" /><Relationship Type="http://schemas.openxmlformats.org/officeDocument/2006/relationships/hyperlink" Id="rId52" Target="https://doi.org/10.15252/msb.20209620" TargetMode="External" /><Relationship Type="http://schemas.openxmlformats.org/officeDocument/2006/relationships/hyperlink" Id="rId50" Target="https://doi.org/10.64898/2026.02.11.705358" TargetMode="External" /><Relationship Type="http://schemas.openxmlformats.org/officeDocument/2006/relationships/hyperlink" Id="rId40"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25" Target="https://doi.org/10.7554/eLife.59928" TargetMode="External" /><Relationship Type="http://schemas.openxmlformats.org/officeDocument/2006/relationships/hyperlink" Id="rId37" Target="https://github.com/jax-ml/jax" TargetMode="External" /><Relationship Type="http://schemas.openxmlformats.org/officeDocument/2006/relationships/hyperlink" Id="rId46" Target="https://openproblems.bio" TargetMode="External" /><Relationship Type="http://schemas.openxmlformats.org/officeDocument/2006/relationships/hyperlink" Id="rId33" Target="https://www.10xgenomics.com/datasets/3-k-pbm-cs-from-a-healthy-donor-1-standard-1-1-0" TargetMode="External" /><Relationship Type="http://schemas.openxmlformats.org/officeDocument/2006/relationships/hyperlink" Id="rId47" Target="https://www.jmlr.org/papers/v12/pedregosa11a.html" TargetMode="External" /><Relationship Type="http://schemas.openxmlformats.org/officeDocument/2006/relationships/hyperlink" Id="rId54"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14" Target="https://chanzuckerberg.github.io/cellxgene-census/" TargetMode="External" /><Relationship Type="http://schemas.openxmlformats.org/officeDocument/2006/relationships/hyperlink" Id="rId42" Target="https://doi.org/10.1016/j.xgen.2026.101217" TargetMode="External" /><Relationship Type="http://schemas.openxmlformats.org/officeDocument/2006/relationships/hyperlink" Id="rId43"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51" Target="https://doi.org/10.1038/s41586-020-2922-4" TargetMode="External" /><Relationship Type="http://schemas.openxmlformats.org/officeDocument/2006/relationships/hyperlink" Id="rId35" Target="https://doi.org/10.1038/s41586-026-10627-z" TargetMode="External" /><Relationship Type="http://schemas.openxmlformats.org/officeDocument/2006/relationships/hyperlink" Id="rId48" Target="https://doi.org/10.1038/s41586-026-10689-z" TargetMode="External" /><Relationship Type="http://schemas.openxmlformats.org/officeDocument/2006/relationships/hyperlink" Id="rId45" Target="https://doi.org/10.1038/s41587-021-01001-7" TargetMode="External" /><Relationship Type="http://schemas.openxmlformats.org/officeDocument/2006/relationships/hyperlink" Id="rId36" Target="https://doi.org/10.1038/s41590-018-0276-y" TargetMode="External" /><Relationship Type="http://schemas.openxmlformats.org/officeDocument/2006/relationships/hyperlink" Id="rId49" Target="https://doi.org/10.1038/s41591-023-02327-2" TargetMode="External" /><Relationship Type="http://schemas.openxmlformats.org/officeDocument/2006/relationships/hyperlink" Id="rId41"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9"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38" Target="https://doi.org/10.1145/2939672.2939785" TargetMode="External" /><Relationship Type="http://schemas.openxmlformats.org/officeDocument/2006/relationships/hyperlink" Id="rId34" Target="https://doi.org/10.1186/s13059-019-1795-z" TargetMode="External" /><Relationship Type="http://schemas.openxmlformats.org/officeDocument/2006/relationships/hyperlink" Id="rId53" Target="https://doi.org/10.1242/dev.201873" TargetMode="External" /><Relationship Type="http://schemas.openxmlformats.org/officeDocument/2006/relationships/hyperlink" Id="rId52" Target="https://doi.org/10.15252/msb.20209620" TargetMode="External" /><Relationship Type="http://schemas.openxmlformats.org/officeDocument/2006/relationships/hyperlink" Id="rId50" Target="https://doi.org/10.64898/2026.02.11.705358" TargetMode="External" /><Relationship Type="http://schemas.openxmlformats.org/officeDocument/2006/relationships/hyperlink" Id="rId40"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25" Target="https://doi.org/10.7554/eLife.59928" TargetMode="External" /><Relationship Type="http://schemas.openxmlformats.org/officeDocument/2006/relationships/hyperlink" Id="rId37" Target="https://github.com/jax-ml/jax" TargetMode="External" /><Relationship Type="http://schemas.openxmlformats.org/officeDocument/2006/relationships/hyperlink" Id="rId46" Target="https://openproblems.bio" TargetMode="External" /><Relationship Type="http://schemas.openxmlformats.org/officeDocument/2006/relationships/hyperlink" Id="rId33" Target="https://www.10xgenomics.com/datasets/3-k-pbm-cs-from-a-healthy-donor-1-standard-1-1-0" TargetMode="External" /><Relationship Type="http://schemas.openxmlformats.org/officeDocument/2006/relationships/hyperlink" Id="rId47" Target="https://www.jmlr.org/papers/v12/pedregosa11a.html" TargetMode="External" /><Relationship Type="http://schemas.openxmlformats.org/officeDocument/2006/relationships/hyperlink" Id="rId54"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benchmark of cell-type annotation methods for single-cell data: cost, not accuracy, distinguishes them</dc:title>
  <dc:creator>Ian Driver</dc:creator>
  <cp:keywords/>
  <dcterms:created xsi:type="dcterms:W3CDTF">2026-08-18T14:26:06Z</dcterms:created>
  <dcterms:modified xsi:type="dcterms:W3CDTF">2026-08-18T14:26:06Z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one of the most repeated operations in single-cell analysis, yet comparisons report accuracy far more often than the time and memory that decide what a scientist can actually run. We benchmarked thirteen methods, classical through foundation-model, across eight splits of seven datasets (8–151 cell types) on commodity hardware, and on Open Problems label_projection, whose datasets and metrics we did not choose. Accuracy among the leading methods is tightly clustered — the top four span 0.008 — while their inference cost differs by two orders of magnitude and their peak memory by 2.5×. No method leads everywhere, and no ordering is stable — it inverts with reference size, feature budget and label granularity. With several methods both accurate and cheap, the useful question is not which is best but what cheap annotation makes possible. Using actinn-jax, a JAX reimplementation of ACTINN whose cached reference maps a query in under a second, we show annotation becoming a multi-pass workflow rather than a single decision: a shipped ~800-type reference routes a query to tissue and hands off to a focused one (cross-study liver 0.23/0.58 to 0.72/0.86, exact/ontology); a pan-human annotator distills into an interchangeable entry point from raw counts alone — no GPU, no labels — matching its teacher at six to nine times the throughput; and three broad references over the same cells partition it by agreement. In liver, lung and brain every reference is far more accurate where all three concur, though a consensus label beats none of them: the value is knowing which calls to trust. Code and pre-trained references are available at github.com/iandriver/actinn-jax, github.com/iandriver/actinn-jax-benchmark and doi:10.5281/zenodo.21688150.</vt:lpwstr>
  </property>
  <property fmtid="{D5CDD505-2E9C-101B-9397-08002B2CF9AE}" pid="3" name="date">
    <vt:lpwstr/>
  </property>
</Properties>
</file>