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Override PartName="/word/media/rId58.png" ContentType="image/png"/>
  <Override PartName="/word/media/rId50.png" ContentType="image/png"/>
  <Override PartName="/word/media/rId62.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p>
    <w:p>
      <w:pPr>
        <w:pStyle w:val="Compact"/>
        <w:numPr>
          <w:ilvl w:val="0"/>
          <w:numId w:val="1002"/>
        </w:numPr>
      </w:pP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p>
    <w:p>
      <w:pPr>
        <w:pStyle w:val="Compact"/>
        <w:numPr>
          <w:ilvl w:val="0"/>
          <w:numId w:val="1002"/>
        </w:numPr>
      </w:pP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p>
    <w:p>
      <w:pPr>
        <w:pStyle w:val="Compact"/>
        <w:numPr>
          <w:ilvl w:val="0"/>
          <w:numId w:val="1002"/>
        </w:numPr>
      </w:pP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7"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292"/>
        <w:gridCol w:w="1042"/>
        <w:gridCol w:w="1042"/>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protocloud</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 (MPS)</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 (MPS)</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protocloud</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scprint (MPS)</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panhuman</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pinned environment it was run in</w:t>
      </w:r>
      <w:r>
        <w:t xml:space="preserve"> </w:t>
      </w:r>
      <w:r>
        <w:t xml:space="preserve">(§2.7).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26">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7"/>
    <w:bookmarkStart w:id="33"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8">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9">
              <w:r>
                <w:rPr>
                  <w:rStyle w:val="Hyperlink"/>
                </w:rPr>
                <w:t xml:space="preserve">Sikkema 2023</w:t>
              </w:r>
            </w:hyperlink>
            <w:r>
              <w:t xml:space="preserve"> </w:t>
            </w:r>
            <w:r>
              <w:t xml:space="preserve">→</w:t>
            </w:r>
            <w:r>
              <w:t xml:space="preserve"> </w:t>
            </w:r>
            <w:hyperlink r:id="rId28">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30">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30">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1">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2">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3"/>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The runner,</w:t>
      </w:r>
      <w:r>
        <w:t xml:space="preserve"> </w:t>
      </w:r>
      <w:r>
        <w:rPr>
          <w:rStyle w:val="VerbatimChar"/>
        </w:rPr>
        <w:t xml:space="preserve">benchmark/runner.py</w:t>
      </w:r>
      <w:r>
        <w:t xml:space="preserve">, executes each method in</w:t>
      </w:r>
      <w:r>
        <w:t xml:space="preserve"> </w:t>
      </w:r>
      <w:r>
        <w:rPr>
          <w:b/>
          <w:bCs/>
        </w:rPr>
        <w:t xml:space="preserve">its own virtual environment</w:t>
      </w:r>
      <w:r>
        <w:rPr>
          <w:b/>
          <w:bCs/>
        </w:rPr>
        <w:t xml:space="preserve"> </w:t>
      </w:r>
      <w:r>
        <w:rPr>
          <w:b/>
          <w:bCs/>
        </w:rPr>
        <w:t xml:space="preserve">under subprocess isolation</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w:t>
      </w:r>
      <w:r>
        <w:t xml:space="preserve">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w:t>
      </w:r>
      <w:r>
        <w:t xml:space="preserve">from a fixed seed and hands the identical pair to every method, so</w:t>
      </w:r>
      <w:r>
        <w:t xml:space="preserve"> </w:t>
      </w:r>
      <w:r>
        <w:t xml:space="preserve">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w:t>
      </w:r>
      <w:r>
        <w:t xml:space="preserve"> </w:t>
      </w:r>
      <w:hyperlink r:id="rId36">
        <w:r>
          <w:rPr>
            <w:rStyle w:val="Hyperlink"/>
          </w:rPr>
          <w:t xml:space="preserve">CZI Census 2025</w:t>
        </w:r>
      </w:hyperlink>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5"/>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5"/>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Cost is therefore reported only</w:t>
      </w:r>
      <w:r>
        <w:t xml:space="preserve"> </w:t>
      </w:r>
      <w:r>
        <w:t xml:space="preserve">from the matched-concurrency run (Table 10); the four components we added to the harness are</w:t>
      </w:r>
      <w:r>
        <w:t xml:space="preserve"> </w:t>
      </w:r>
      <w:r>
        <w:t xml:space="preserve">compared on accuracy alone (Table 11), which does not depend on the machine.</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9" w:name="results"/>
    <w:p>
      <w:pPr>
        <w:pStyle w:val="Heading1"/>
      </w:pPr>
      <w:r>
        <w:t xml:space="preserve">Results</w:t>
      </w:r>
    </w:p>
    <w:bookmarkStart w:id="53" w:name="accuracy-and-cost"/>
    <w:p>
      <w:pPr>
        <w:pStyle w:val="Heading2"/>
      </w:pPr>
      <w:r>
        <w:t xml:space="preserve">Accuracy and cost</w:t>
      </w:r>
    </w:p>
    <w:p>
      <w:pPr>
        <w:pStyle w:val="FirstParagraph"/>
      </w:pPr>
      <w:r>
        <w:drawing>
          <wp:inline>
            <wp:extent cx="5334000" cy="4154905"/>
            <wp:effectExtent b="0" l="0" r="0" t="0"/>
            <wp:docPr descr="accuracy heatmap" title="" id="48" name="Picture"/>
            <a:graphic>
              <a:graphicData uri="http://schemas.openxmlformats.org/drawingml/2006/picture">
                <pic:pic>
                  <pic:nvPicPr>
                    <pic:cNvPr descr="/Users/iandriver/Downloads/actinn-jax-benchmark/docs/figures/fig_accuracy_heatmap.png" id="49" name="Picture"/>
                    <pic:cNvPicPr>
                      <a:picLocks noChangeArrowheads="1" noChangeAspect="1"/>
                    </pic:cNvPicPr>
                  </pic:nvPicPr>
                  <pic:blipFill>
                    <a:blip r:embed="rId47"/>
                    <a:stretch>
                      <a:fillRect/>
                    </a:stretch>
                  </pic:blipFill>
                  <pic:spPr bwMode="auto">
                    <a:xfrm>
                      <a:off x="0" y="0"/>
                      <a:ext cx="5334000" cy="4154905"/>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by method (rows) and dataset (columns) across the in-house panel.</w:t>
      </w:r>
    </w:p>
    <w:p>
      <w:pPr>
        <w:pStyle w:val="BodyText"/>
      </w:pPr>
      <w:r>
        <w:drawing>
          <wp:inline>
            <wp:extent cx="5334000" cy="1639186"/>
            <wp:effectExtent b="0" l="0" r="0" t="0"/>
            <wp:docPr descr="speed and memory" title="" id="51" name="Picture"/>
            <a:graphic>
              <a:graphicData uri="http://schemas.openxmlformats.org/drawingml/2006/picture">
                <pic:pic>
                  <pic:nvPicPr>
                    <pic:cNvPr descr="/Users/iandriver/Downloads/actinn-jax-benchmark/docs/figures/fig_speed_memory.png" id="52" name="Picture"/>
                    <pic:cNvPicPr>
                      <a:picLocks noChangeArrowheads="1" noChangeAspect="1"/>
                    </pic:cNvPicPr>
                  </pic:nvPicPr>
                  <pic:blipFill>
                    <a:blip r:embed="rId50"/>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time, per-query predict time, and peak memory by method, averaged across the</w:t>
      </w:r>
      <w:r>
        <w:t xml:space="preserve"> </w:t>
      </w:r>
      <w:r>
        <w:t xml:space="preserve">in-house panel. The methods sit within a few points of each other on accuracy (Table 3) and</w:t>
      </w:r>
      <w:r>
        <w:t xml:space="preserve"> </w:t>
      </w:r>
      <w:r>
        <w:t xml:space="preserve">orders of magnitude apart on cost.</w:t>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53"/>
    <w:bookmarkStart w:id="57" w:name="the-accuracy-speed-frontier"/>
    <w:p>
      <w:pPr>
        <w:pStyle w:val="Heading2"/>
      </w:pPr>
      <w:r>
        <w:t xml:space="preserve">The accuracy × speed frontier</w:t>
      </w:r>
    </w:p>
    <w:p>
      <w:pPr>
        <w:pStyle w:val="FirstParagraph"/>
      </w:pPr>
      <w:r>
        <w:drawing>
          <wp:inline>
            <wp:extent cx="5334000" cy="3671222"/>
            <wp:effectExtent b="0" l="0" r="0" t="0"/>
            <wp:docPr descr="Pareto" title="" id="55" name="Picture"/>
            <a:graphic>
              <a:graphicData uri="http://schemas.openxmlformats.org/drawingml/2006/picture">
                <pic:pic>
                  <pic:nvPicPr>
                    <pic:cNvPr descr="/Users/iandriver/Downloads/actinn-jax-benchmark/docs/figures/fig_pareto_liver_intra.png" id="56" name="Picture"/>
                    <pic:cNvPicPr>
                      <a:picLocks noChangeArrowheads="1" noChangeAspect="1"/>
                    </pic:cNvPicPr>
                  </pic:nvPicPr>
                  <pic:blipFill>
                    <a:blip r:embed="rId54"/>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4.</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7"/>
    <w:bookmarkStart w:id="61" w:name="scaling"/>
    <w:p>
      <w:pPr>
        <w:pStyle w:val="Heading2"/>
      </w:pPr>
      <w:r>
        <w:t xml:space="preserve">Scaling</w:t>
      </w:r>
    </w:p>
    <w:p>
      <w:pPr>
        <w:pStyle w:val="FirstParagraph"/>
      </w:pPr>
      <w:r>
        <w:drawing>
          <wp:inline>
            <wp:extent cx="5334000" cy="1970216"/>
            <wp:effectExtent b="0" l="0" r="0" t="0"/>
            <wp:docPr descr="scaling" title="" id="59" name="Picture"/>
            <a:graphic>
              <a:graphicData uri="http://schemas.openxmlformats.org/drawingml/2006/picture">
                <pic:pic>
                  <pic:nvPicPr>
                    <pic:cNvPr descr="/Users/iandriver/Downloads/actinn-jax-benchmark/docs/figures/fig_scaling.png" id="60" name="Picture"/>
                    <pic:cNvPicPr>
                      <a:picLocks noChangeArrowheads="1" noChangeAspect="1"/>
                    </pic:cNvPicPr>
                  </pic:nvPicPr>
                  <pic:blipFill>
                    <a:blip r:embed="rId5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61"/>
    <w:bookmarkStart w:id="66"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63" name="Picture"/>
            <a:graphic>
              <a:graphicData uri="http://schemas.openxmlformats.org/drawingml/2006/picture">
                <pic:pic>
                  <pic:nvPicPr>
                    <pic:cNvPr descr="/Users/iandriver/Downloads/actinn-jax-benchmark/docs/figures/fig_workflow_umap.png" id="64" name="Picture"/>
                    <pic:cNvPicPr>
                      <a:picLocks noChangeArrowheads="1" noChangeAspect="1"/>
                    </pic:cNvPicPr>
                  </pic:nvPicPr>
                  <pic:blipFill>
                    <a:blip r:embed="rId62"/>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65">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6"/>
    <w:bookmarkStart w:id="67"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7"/>
    <w:bookmarkStart w:id="68"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8"/>
    <w:bookmarkStart w:id="78"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9">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0">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 ordered by accuracy as in Table 3.</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we added one and ran it on the same six datasets, and it does not change the</w:t>
      </w:r>
      <w:r>
        <w:t xml:space="preserve"> </w:t>
      </w:r>
      <w:r>
        <w:t xml:space="preserve">ranking (Table 11).</w:t>
      </w:r>
    </w:p>
    <w:p>
      <w:pPr>
        <w:pStyle w:val="BodyText"/>
      </w:pPr>
      <w:r>
        <w:rPr>
          <w:b/>
          <w:bCs/>
        </w:rPr>
        <w:t xml:space="preserve">Extension: our four added methods on the same datasets.</w:t>
      </w:r>
      <w:r>
        <w:t xml:space="preserve"> </w:t>
      </w:r>
      <w:r>
        <w:t xml:space="preserve">We ported the tuned linear</w:t>
      </w:r>
      <w:r>
        <w:t xml:space="preserve"> </w:t>
      </w:r>
      <w:r>
        <w:t xml:space="preserve">pipeline, the SGD-SVM, CellTypist and scTOP into Open Problems components and ran all four</w:t>
      </w:r>
      <w:r>
        <w:t xml:space="preserve"> </w:t>
      </w:r>
      <w:r>
        <w:t xml:space="preserve">on all six datasets</w:t>
      </w:r>
      <w:r>
        <w:t xml:space="preserve"> </w:t>
      </w:r>
      <w:r>
        <w:t xml:space="preserve">(</w:t>
      </w:r>
      <w:hyperlink r:id="rId71">
        <w:r>
          <w:rPr>
            <w:rStyle w:val="VerbatimChar"/>
          </w:rPr>
          <w:t xml:space="preserve">results_openproblems_added_methods.csv</w:t>
        </w:r>
      </w:hyperlink>
      <w:r>
        <w:t xml:space="preserve">).</w:t>
      </w:r>
      <w:r>
        <w:t xml:space="preserve"> </w:t>
      </w:r>
      <w:r>
        <w:t xml:space="preserve">Accuracy and macro-F1 do not depend on the machine, so these were run locally rather than on</w:t>
      </w:r>
      <w:r>
        <w:t xml:space="preserve"> </w:t>
      </w:r>
      <w:r>
        <w:t xml:space="preserve">the rented instance;</w:t>
      </w:r>
      <w:r>
        <w:t xml:space="preserve"> </w:t>
      </w:r>
      <w:r>
        <w:rPr>
          <w:b/>
          <w:bCs/>
        </w:rPr>
        <w:t xml:space="preserve">cost is not reported for them</w:t>
      </w:r>
      <w:r>
        <w:t xml:space="preserve">, because that does depend on the</w:t>
      </w:r>
      <w:r>
        <w:t xml:space="preserve"> </w:t>
      </w:r>
      <w:r>
        <w:t xml:space="preserve">machine and only Table 10 was measured under controlled conditions. The premise is</w:t>
      </w:r>
      <w:r>
        <w:t xml:space="preserve"> </w:t>
      </w:r>
      <w:r>
        <w:t xml:space="preserve">checkable rather than assumed: running actinn-jax’s component locally reproduces its</w:t>
      </w:r>
      <w:r>
        <w:t xml:space="preserve"> </w:t>
      </w:r>
      <w:r>
        <w:t xml:space="preserve">controlled-run accuracy on every dataset to within</w:t>
      </w:r>
      <w:r>
        <w:t xml:space="preserve"> </w:t>
      </w:r>
      <w:r>
        <w:rPr>
          <w:b/>
          <w:bCs/>
        </w:rPr>
        <w:t xml:space="preserve">0.004</w:t>
      </w:r>
      <w:r>
        <w:t xml:space="preserve"> </w:t>
      </w:r>
      <w:r>
        <w:t xml:space="preserve">(mean difference 0.0005; three</w:t>
      </w:r>
      <w:r>
        <w:t xml:space="preserve"> </w:t>
      </w:r>
      <w:r>
        <w:t xml:space="preserve">of six identical to four decimals), which is smaller than the spread between repeats.</w:t>
      </w:r>
    </w:p>
    <w:tbl>
      <w:tblPr>
        <w:tblStyle w:val="Table"/>
        <w:tblW w:type="pct" w:w="5000"/>
        <w:tblLayout w:type="fixed"/>
        <w:tblLook w:firstRow="1" w:lastRow="0" w:firstColumn="0" w:lastColumn="0" w:noHBand="0" w:noVBand="0" w:val="0020"/>
      </w:tblPr>
      <w:tblGrid>
        <w:gridCol w:w="1267"/>
        <w:gridCol w:w="739"/>
        <w:gridCol w:w="844"/>
        <w:gridCol w:w="844"/>
        <w:gridCol w:w="844"/>
        <w:gridCol w:w="844"/>
        <w:gridCol w:w="844"/>
        <w:gridCol w:w="844"/>
        <w:gridCol w:w="84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dkd</w:t>
            </w:r>
          </w:p>
        </w:tc>
        <w:tc>
          <w:tcPr/>
          <w:p>
            <w:pPr>
              <w:pStyle w:val="Compact"/>
              <w:jc w:val="right"/>
            </w:pPr>
            <w:r>
              <w:t xml:space="preserve">gtex</w:t>
            </w:r>
          </w:p>
        </w:tc>
        <w:tc>
          <w:tcPr/>
          <w:p>
            <w:pPr>
              <w:pStyle w:val="Compact"/>
              <w:jc w:val="right"/>
            </w:pPr>
            <w:r>
              <w:t xml:space="preserve">hypomap</w:t>
            </w:r>
          </w:p>
        </w:tc>
        <w:tc>
          <w:tcPr/>
          <w:p>
            <w:pPr>
              <w:pStyle w:val="Compact"/>
              <w:jc w:val="right"/>
            </w:pPr>
            <w:r>
              <w:t xml:space="preserve">immune</w:t>
            </w:r>
          </w:p>
        </w:tc>
        <w:tc>
          <w:tcPr/>
          <w:p>
            <w:pPr>
              <w:pStyle w:val="Compact"/>
              <w:jc w:val="right"/>
            </w:pPr>
            <w:r>
              <w:t xml:space="preserve">pancreas</w:t>
            </w:r>
          </w:p>
        </w:tc>
        <w:tc>
          <w:tcPr/>
          <w:p>
            <w:pPr>
              <w:pStyle w:val="Compact"/>
              <w:jc w:val="right"/>
            </w:pPr>
            <w:r>
              <w:t xml:space="preserve">tabula</w:t>
            </w:r>
          </w:p>
        </w:tc>
      </w:tr>
      <w:tr>
        <w:tc>
          <w:tcPr/>
          <w:p>
            <w:pPr>
              <w:pStyle w:val="Compact"/>
            </w:pPr>
            <w:r>
              <w:t xml:space="preserve">linear-anova-pca</w:t>
            </w:r>
          </w:p>
        </w:tc>
        <w:tc>
          <w:tcPr/>
          <w:p>
            <w:pPr>
              <w:pStyle w:val="Compact"/>
              <w:jc w:val="right"/>
            </w:pPr>
            <w:r>
              <w:t xml:space="preserve">0.829</w:t>
            </w:r>
          </w:p>
        </w:tc>
        <w:tc>
          <w:tcPr/>
          <w:p>
            <w:pPr>
              <w:pStyle w:val="Compact"/>
              <w:jc w:val="right"/>
            </w:pPr>
            <w:r>
              <w:t xml:space="preserve">0.647</w:t>
            </w:r>
          </w:p>
        </w:tc>
        <w:tc>
          <w:tcPr/>
          <w:p>
            <w:pPr>
              <w:pStyle w:val="Compact"/>
              <w:jc w:val="right"/>
            </w:pPr>
            <w:r>
              <w:t xml:space="preserve">0.950</w:t>
            </w:r>
          </w:p>
        </w:tc>
        <w:tc>
          <w:tcPr/>
          <w:p>
            <w:pPr>
              <w:pStyle w:val="Compact"/>
              <w:jc w:val="right"/>
            </w:pPr>
            <w:r>
              <w:t xml:space="preserve">0.870</w:t>
            </w:r>
          </w:p>
        </w:tc>
        <w:tc>
          <w:tcPr/>
          <w:p>
            <w:pPr>
              <w:pStyle w:val="Compact"/>
              <w:jc w:val="right"/>
            </w:pPr>
            <w:r>
              <w:t xml:space="preserve">0.996</w:t>
            </w:r>
          </w:p>
        </w:tc>
        <w:tc>
          <w:tcPr/>
          <w:p>
            <w:pPr>
              <w:pStyle w:val="Compact"/>
              <w:jc w:val="right"/>
            </w:pPr>
            <w:r>
              <w:t xml:space="preserve">0.834</w:t>
            </w:r>
          </w:p>
        </w:tc>
        <w:tc>
          <w:tcPr/>
          <w:p>
            <w:pPr>
              <w:pStyle w:val="Compact"/>
              <w:jc w:val="right"/>
            </w:pPr>
            <w:r>
              <w:t xml:space="preserve">0.968</w:t>
            </w:r>
          </w:p>
        </w:tc>
        <w:tc>
          <w:tcPr/>
          <w:p>
            <w:pPr>
              <w:pStyle w:val="Compact"/>
              <w:jc w:val="right"/>
            </w:pPr>
            <w:r>
              <w:t xml:space="preserve">0.356</w:t>
            </w:r>
          </w:p>
        </w:tc>
      </w:tr>
      <w:tr>
        <w:tc>
          <w:tcPr/>
          <w:p>
            <w:pPr>
              <w:pStyle w:val="Compact"/>
            </w:pPr>
            <w:r>
              <w:t xml:space="preserve">SVM (SGD)</w:t>
            </w:r>
          </w:p>
        </w:tc>
        <w:tc>
          <w:tcPr/>
          <w:p>
            <w:pPr>
              <w:pStyle w:val="Compact"/>
              <w:jc w:val="right"/>
            </w:pPr>
            <w:r>
              <w:t xml:space="preserve">0.815</w:t>
            </w:r>
          </w:p>
        </w:tc>
        <w:tc>
          <w:tcPr/>
          <w:p>
            <w:pPr>
              <w:pStyle w:val="Compact"/>
              <w:jc w:val="right"/>
            </w:pPr>
            <w:r>
              <w:t xml:space="preserve">0.651</w:t>
            </w:r>
          </w:p>
        </w:tc>
        <w:tc>
          <w:tcPr/>
          <w:p>
            <w:pPr>
              <w:pStyle w:val="Compact"/>
              <w:jc w:val="right"/>
            </w:pPr>
            <w:r>
              <w:t xml:space="preserve">0.939</w:t>
            </w:r>
          </w:p>
        </w:tc>
        <w:tc>
          <w:tcPr/>
          <w:p>
            <w:pPr>
              <w:pStyle w:val="Compact"/>
              <w:jc w:val="right"/>
            </w:pPr>
            <w:r>
              <w:t xml:space="preserve">0.838</w:t>
            </w:r>
          </w:p>
        </w:tc>
        <w:tc>
          <w:tcPr/>
          <w:p>
            <w:pPr>
              <w:pStyle w:val="Compact"/>
              <w:jc w:val="right"/>
            </w:pPr>
            <w:r>
              <w:t xml:space="preserve">0.996</w:t>
            </w:r>
          </w:p>
        </w:tc>
        <w:tc>
          <w:tcPr/>
          <w:p>
            <w:pPr>
              <w:pStyle w:val="Compact"/>
              <w:jc w:val="right"/>
            </w:pPr>
            <w:r>
              <w:t xml:space="preserve">0.839</w:t>
            </w:r>
          </w:p>
        </w:tc>
        <w:tc>
          <w:tcPr/>
          <w:p>
            <w:pPr>
              <w:pStyle w:val="Compact"/>
              <w:jc w:val="right"/>
            </w:pPr>
            <w:r>
              <w:t xml:space="preserve">0.965</w:t>
            </w:r>
          </w:p>
        </w:tc>
        <w:tc>
          <w:tcPr/>
          <w:p>
            <w:pPr>
              <w:pStyle w:val="Compact"/>
              <w:jc w:val="right"/>
            </w:pPr>
            <w:r>
              <w:t xml:space="preserve">0.310</w:t>
            </w:r>
          </w:p>
        </w:tc>
      </w:tr>
      <w:tr>
        <w:tc>
          <w:tcPr/>
          <w:p>
            <w:pPr>
              <w:pStyle w:val="Compact"/>
            </w:pPr>
            <w:r>
              <w:t xml:space="preserve">CellTypist</w:t>
            </w:r>
          </w:p>
        </w:tc>
        <w:tc>
          <w:tcPr/>
          <w:p>
            <w:pPr>
              <w:pStyle w:val="Compact"/>
              <w:jc w:val="right"/>
            </w:pPr>
            <w:r>
              <w:t xml:space="preserve">0.809</w:t>
            </w:r>
          </w:p>
        </w:tc>
        <w:tc>
          <w:tcPr/>
          <w:p>
            <w:pPr>
              <w:pStyle w:val="Compact"/>
              <w:jc w:val="right"/>
            </w:pPr>
            <w:r>
              <w:t xml:space="preserve">0.644</w:t>
            </w:r>
          </w:p>
        </w:tc>
        <w:tc>
          <w:tcPr/>
          <w:p>
            <w:pPr>
              <w:pStyle w:val="Compact"/>
              <w:jc w:val="right"/>
            </w:pPr>
            <w:r>
              <w:t xml:space="preserve">0.938</w:t>
            </w:r>
          </w:p>
        </w:tc>
        <w:tc>
          <w:tcPr/>
          <w:p>
            <w:pPr>
              <w:pStyle w:val="Compact"/>
              <w:jc w:val="right"/>
            </w:pPr>
            <w:r>
              <w:t xml:space="preserve">0.837</w:t>
            </w:r>
          </w:p>
        </w:tc>
        <w:tc>
          <w:tcPr/>
          <w:p>
            <w:pPr>
              <w:pStyle w:val="Compact"/>
              <w:jc w:val="right"/>
            </w:pPr>
            <w:r>
              <w:t xml:space="preserve">0.996</w:t>
            </w:r>
          </w:p>
        </w:tc>
        <w:tc>
          <w:tcPr/>
          <w:p>
            <w:pPr>
              <w:pStyle w:val="Compact"/>
              <w:jc w:val="right"/>
            </w:pPr>
            <w:r>
              <w:t xml:space="preserve">0.843</w:t>
            </w:r>
          </w:p>
        </w:tc>
        <w:tc>
          <w:tcPr/>
          <w:p>
            <w:pPr>
              <w:pStyle w:val="Compact"/>
              <w:jc w:val="right"/>
            </w:pPr>
            <w:r>
              <w:t xml:space="preserve">0.964</w:t>
            </w:r>
          </w:p>
        </w:tc>
        <w:tc>
          <w:tcPr/>
          <w:p>
            <w:pPr>
              <w:pStyle w:val="Compact"/>
              <w:jc w:val="right"/>
            </w:pPr>
            <w:r>
              <w:t xml:space="preserve">0.275</w:t>
            </w:r>
          </w:p>
        </w:tc>
      </w:tr>
      <w:tr>
        <w:tc>
          <w:tcPr/>
          <w:p>
            <w:pPr>
              <w:pStyle w:val="Compact"/>
            </w:pPr>
            <w: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t xml:space="preserve">0.898</w:t>
            </w:r>
          </w:p>
        </w:tc>
        <w:tc>
          <w:tcPr/>
          <w:p>
            <w:pPr>
              <w:pStyle w:val="Compact"/>
              <w:jc w:val="right"/>
            </w:pPr>
            <w:r>
              <w:t xml:space="preserve">0.124</w:t>
            </w:r>
          </w:p>
        </w:tc>
        <w:tc>
          <w:tcPr/>
          <w:p>
            <w:pPr>
              <w:pStyle w:val="Compact"/>
              <w:jc w:val="right"/>
            </w:pPr>
            <w:r>
              <w:t xml:space="preserve">0.991</w:t>
            </w:r>
          </w:p>
        </w:tc>
        <w:tc>
          <w:tcPr/>
          <w:p>
            <w:pPr>
              <w:pStyle w:val="Compact"/>
              <w:jc w:val="right"/>
            </w:pPr>
            <w:r>
              <w:t xml:space="preserve">0.495</w:t>
            </w:r>
          </w:p>
        </w:tc>
        <w:tc>
          <w:tcPr/>
          <w:p>
            <w:pPr>
              <w:pStyle w:val="Compact"/>
              <w:jc w:val="right"/>
            </w:pPr>
            <w:r>
              <w:t xml:space="preserve">0.939</w:t>
            </w:r>
          </w:p>
        </w:tc>
        <w:tc>
          <w:tcPr/>
          <w:p>
            <w:pPr>
              <w:pStyle w:val="Compact"/>
              <w:jc w:val="right"/>
            </w:pPr>
            <w:r>
              <w:t xml:space="preserve">0.042</w:t>
            </w:r>
          </w:p>
        </w:tc>
      </w:tr>
    </w:tbl>
    <w:p>
      <w:pPr>
        <w:pStyle w:val="BodyText"/>
      </w:pPr>
      <w:r>
        <w:rPr>
          <w:b/>
          <w:bCs/>
        </w:rPr>
        <w:t xml:space="preserve">Table 11.</w:t>
      </w:r>
      <w:r>
        <w:t xml:space="preserve"> </w:t>
      </w:r>
      <w:r>
        <w:t xml:space="preserve">The four methods we added to Open Problems, on all six of its datasets,</w:t>
      </w:r>
      <w:r>
        <w:t xml:space="preserve"> </w:t>
      </w:r>
      <w:r>
        <w:t xml:space="preserve">ordered by accuracy. Dataset columns abbreviate the names used in Table 10 (immune =</w:t>
      </w:r>
      <w:r>
        <w:t xml:space="preserve"> </w:t>
      </w:r>
      <w:r>
        <w:t xml:space="preserve">immune_cell_atlas, pancreas = mouse_pancreas_atlas, tabula = tabula_sapiens). Comparable to</w:t>
      </w:r>
      <w:r>
        <w:t xml:space="preserve"> </w:t>
      </w:r>
      <w:r>
        <w:t xml:space="preserve">Table 10 on accuracy, which is machine-independent; not on cost, which is not measured here.</w:t>
      </w:r>
    </w:p>
    <w:p>
      <w:pPr>
        <w:pStyle w:val="BodyText"/>
      </w:pPr>
      <w:r>
        <w:t xml:space="preserve">Read against Table 10,</w:t>
      </w:r>
      <w:r>
        <w:t xml:space="preserve"> </w:t>
      </w:r>
      <w:r>
        <w:rPr>
          <w:b/>
          <w:bCs/>
        </w:rPr>
        <w:t xml:space="preserve">the tuned linear pipeline does not repeat its §3.1 win here</w:t>
      </w:r>
      <w:r>
        <w:t xml:space="preserve">: 0.829</w:t>
      </w:r>
      <w:r>
        <w:t xml:space="preserve"> </w:t>
      </w:r>
      <w:r>
        <w:t xml:space="preserve">places it third, behind</w:t>
      </w:r>
      <w:r>
        <w:t xml:space="preserve"> </w:t>
      </w:r>
      <w:r>
        <w:rPr>
          <w:rStyle w:val="VerbatimChar"/>
        </w:rPr>
        <w:t xml:space="preserve">mlp</w:t>
      </w:r>
      <w:r>
        <w:t xml:space="preserve"> </w:t>
      </w:r>
      <w:r>
        <w:t xml:space="preserve">(0.838) and actinn-jax (0.837) and ahead of OP’s own</w:t>
      </w:r>
      <w:r>
        <w:t xml:space="preserve"> </w:t>
      </w:r>
      <w:r>
        <w:rPr>
          <w:rStyle w:val="VerbatimChar"/>
        </w:rPr>
        <w:t xml:space="preserve">logistic_regression</w:t>
      </w:r>
      <w:r>
        <w:t xml:space="preserve"> </w:t>
      </w:r>
      <w:r>
        <w:t xml:space="preserve">(0.813). The SGD-SVM (0.815) and CellTypist (0.809) land in the same</w:t>
      </w:r>
      <w:r>
        <w:t xml:space="preserve"> </w:t>
      </w:r>
      <w:r>
        <w:t xml:space="preserve">band. The linear pipeline’s lead on our own panel (§3.1) therefore does not generalize:</w:t>
      </w:r>
      <w:r>
        <w:t xml:space="preserve"> </w:t>
      </w:r>
      <w:r>
        <w:t xml:space="preserve">whichever of the two panels is asked, the answer is a cluster of methods within a couple of</w:t>
      </w:r>
      <w:r>
        <w:t xml:space="preserve"> </w:t>
      </w:r>
      <w:r>
        <w:t xml:space="preserve">points of each other, but which one tops the cluster changes with the datasets.</w:t>
      </w:r>
    </w:p>
    <w:p>
      <w:pPr>
        <w:pStyle w:val="BodyText"/>
      </w:pPr>
      <w:r>
        <w:rPr>
          <w:b/>
          <w:bCs/>
        </w:rPr>
        <w:t xml:space="preserve">scTOP fails on two of the six, for a reason worth recording.</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6).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7)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3" name="Picture"/>
            <a:graphic>
              <a:graphicData uri="http://schemas.openxmlformats.org/drawingml/2006/picture">
                <pic:pic>
                  <pic:nvPicPr>
                    <pic:cNvPr descr="/Users/iandriver/Downloads/actinn-jax-benchmark/docs/figures/gene_budget_curve.png" id="74" name="Picture"/>
                    <pic:cNvPicPr>
                      <a:picLocks noChangeArrowheads="1" noChangeAspect="1"/>
                    </pic:cNvPicPr>
                  </pic:nvPicPr>
                  <pic:blipFill>
                    <a:blip r:embed="rId72"/>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6" name="Picture"/>
            <a:graphic>
              <a:graphicData uri="http://schemas.openxmlformats.org/drawingml/2006/picture">
                <pic:pic>
                  <pic:nvPicPr>
                    <pic:cNvPr descr="/Users/iandriver/Downloads/actinn-jax-benchmark/docs/figures/gene_budget_signals.png" id="77" name="Picture"/>
                    <pic:cNvPicPr>
                      <a:picLocks noChangeArrowheads="1" noChangeAspect="1"/>
                    </pic:cNvPicPr>
                  </pic:nvPicPr>
                  <pic:blipFill>
                    <a:blip r:embed="rId75"/>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8"/>
    <w:bookmarkEnd w:id="79"/>
    <w:bookmarkStart w:id="81"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0">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1"/>
    <w:bookmarkStart w:id="82"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Cost is therefore</w:t>
      </w:r>
      <w:r>
        <w:t xml:space="preserve"> </w:t>
      </w:r>
      <w:r>
        <w:t xml:space="preserve">reported only from the single matched-concurrency run (Table 10), which covers OP’s own</w:t>
      </w:r>
      <w:r>
        <w:t xml:space="preserve"> </w:t>
      </w:r>
      <w:r>
        <w:t xml:space="preserve">seven methods; the four we added are compared on accuracy alone (Table 11). Putting all</w:t>
      </w:r>
      <w:r>
        <w:t xml:space="preserve"> </w:t>
      </w:r>
      <w:r>
        <w:t xml:space="preserve">eleven on one cost axis needs one more controlled run.</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2"/>
    <w:bookmarkStart w:id="88"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 </w:t>
      </w:r>
      <w:r>
        <w:t xml:space="preserve">and</w:t>
      </w:r>
      <w:r>
        <w:t xml:space="preserve"> </w:t>
      </w:r>
      <w:r>
        <w:rPr>
          <w:rStyle w:val="VerbatimChar"/>
        </w:rPr>
        <w:t xml:space="preserve">docs/results_*.csv</w:t>
      </w:r>
      <w:r>
        <w:t xml:space="preserve">, which</w:t>
      </w:r>
      <w:r>
        <w:t xml:space="preserve"> </w:t>
      </w:r>
      <w:r>
        <w:t xml:space="preserve">include the unified 11-method matrix), figure scripts, and the actinn-jax package</w:t>
      </w:r>
      <w:r>
        <w:t xml:space="preserve"> </w:t>
      </w:r>
      <w:r>
        <w:t xml:space="preserve">(</w:t>
      </w:r>
      <w:hyperlink r:id="rId83">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documented in the same repository.</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4">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5">
        <w:r>
          <w:rPr>
            <w:rStyle w:val="Hyperlink"/>
          </w:rPr>
          <w:t xml:space="preserve">10.5281/zenodo.21688150</w:t>
        </w:r>
      </w:hyperlink>
      <w:r>
        <w:t xml:space="preserve"> </w:t>
      </w:r>
      <w:r>
        <w:t xml:space="preserve">for the</w:t>
      </w:r>
      <w:r>
        <w:t xml:space="preserve"> </w:t>
      </w:r>
      <w:r>
        <w:t xml:space="preserve">latest version). actinn-jax’s</w:t>
      </w:r>
      <w:r>
        <w:t xml:space="preserve"> </w:t>
      </w:r>
      <w:r>
        <w:rPr>
          <w:rStyle w:val="VerbatimChar"/>
        </w:rPr>
        <w:t xml:space="preserve">bundled_reference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w:t>
      </w:r>
      <w:r>
        <w:t xml:space="preserve"> </w:t>
      </w:r>
      <w:hyperlink r:id="rId30">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6">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7">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88"/>
    <w:bookmarkStart w:id="89"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2">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1">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0">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0">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9">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0">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8">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36" Target="https://chanzuckerberg.github.io/cellxgene-census/" TargetMode="External" /><Relationship Type="http://schemas.openxmlformats.org/officeDocument/2006/relationships/hyperlink" Id="rId86"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8" Target="https://doi.org/10.1038/s41586-020-2922-4" TargetMode="External" /><Relationship Type="http://schemas.openxmlformats.org/officeDocument/2006/relationships/hyperlink" Id="rId31"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9"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0"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7" Target="https://doi.org/10.5281/zenodo.20401417" TargetMode="External" /><Relationship Type="http://schemas.openxmlformats.org/officeDocument/2006/relationships/hyperlink" Id="rId85" Target="https://doi.org/10.5281/zenodo.21688150" TargetMode="External" /><Relationship Type="http://schemas.openxmlformats.org/officeDocument/2006/relationships/hyperlink" Id="rId84" Target="https://doi.org/10.5281/zenodo.21688151" TargetMode="External" /><Relationship Type="http://schemas.openxmlformats.org/officeDocument/2006/relationships/hyperlink" Id="rId80" Target="https://doi.org/10.64898/2026.02.11.705358" TargetMode="External" /><Relationship Type="http://schemas.openxmlformats.org/officeDocument/2006/relationships/hyperlink" Id="rId30"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3" Target="https://github.com/iandriver/actinn-jax" TargetMode="External" /><Relationship Type="http://schemas.openxmlformats.org/officeDocument/2006/relationships/hyperlink" Id="rId26" Target="https://github.com/iandriver/actinn-jax-benchmark/blob/main/benchmark/adapters/panhuman_adapter.py" TargetMode="External" /><Relationship Type="http://schemas.openxmlformats.org/officeDocument/2006/relationships/hyperlink" Id="rId65" Target="https://github.com/iandriver/actinn-jax-benchmark/blob/main/docs/results_hierarchy_ablation.csv" TargetMode="External" /><Relationship Type="http://schemas.openxmlformats.org/officeDocument/2006/relationships/hyperlink" Id="rId71" Target="https://github.com/iandriver/actinn-jax-benchmark/blob/main/docs/results_openproblems_added_methods.csv"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9" Target="https://openproblems.bio/benchmarks/label_projection" TargetMode="External" /><Relationship Type="http://schemas.openxmlformats.org/officeDocument/2006/relationships/hyperlink" Id="rId32"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6"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8" Target="https://doi.org/10.1038/s41586-020-2922-4" TargetMode="External" /><Relationship Type="http://schemas.openxmlformats.org/officeDocument/2006/relationships/hyperlink" Id="rId31"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9"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0"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7" Target="https://doi.org/10.5281/zenodo.20401417" TargetMode="External" /><Relationship Type="http://schemas.openxmlformats.org/officeDocument/2006/relationships/hyperlink" Id="rId85" Target="https://doi.org/10.5281/zenodo.21688150" TargetMode="External" /><Relationship Type="http://schemas.openxmlformats.org/officeDocument/2006/relationships/hyperlink" Id="rId84" Target="https://doi.org/10.5281/zenodo.21688151" TargetMode="External" /><Relationship Type="http://schemas.openxmlformats.org/officeDocument/2006/relationships/hyperlink" Id="rId80" Target="https://doi.org/10.64898/2026.02.11.705358" TargetMode="External" /><Relationship Type="http://schemas.openxmlformats.org/officeDocument/2006/relationships/hyperlink" Id="rId30"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3" Target="https://github.com/iandriver/actinn-jax" TargetMode="External" /><Relationship Type="http://schemas.openxmlformats.org/officeDocument/2006/relationships/hyperlink" Id="rId26" Target="https://github.com/iandriver/actinn-jax-benchmark/blob/main/benchmark/adapters/panhuman_adapter.py" TargetMode="External" /><Relationship Type="http://schemas.openxmlformats.org/officeDocument/2006/relationships/hyperlink" Id="rId65" Target="https://github.com/iandriver/actinn-jax-benchmark/blob/main/docs/results_hierarchy_ablation.csv" TargetMode="External" /><Relationship Type="http://schemas.openxmlformats.org/officeDocument/2006/relationships/hyperlink" Id="rId71" Target="https://github.com/iandriver/actinn-jax-benchmark/blob/main/docs/results_openproblems_added_methods.csv"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9" Target="https://openproblems.bio/benchmarks/label_projection" TargetMode="External" /><Relationship Type="http://schemas.openxmlformats.org/officeDocument/2006/relationships/hyperlink" Id="rId32"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2026-08-05T19:25:50Z</dcterms:created>
  <dcterms:modified xsi:type="dcterms:W3CDTF">2026-08-05T19:25:50Z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