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75.png" ContentType="image/png"/>
  <Override PartName="/word/media/rId60.png" ContentType="image/png"/>
  <Override PartName="/word/media/rId49.png" ContentType="image/png"/>
  <Override PartName="/word/media/rId70.png" ContentType="image/png"/>
  <Override PartName="/word/media/rId63.png" ContentType="image/png"/>
  <Override PartName="/word/media/rId57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large,</w:t>
      </w:r>
      <w:r>
        <w:t xml:space="preserve"> </w:t>
      </w:r>
      <w:r>
        <w:t xml:space="preserve">but published comparisons (</w:t>
      </w:r>
      <w:hyperlink r:id="rId9">
        <w:r>
          <w:rPr>
            <w:rStyle w:val="Hyperlink"/>
          </w:rPr>
          <w:t xml:space="preserve">[Abdelaal 2019]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[Fu 2024]</w:t>
        </w:r>
      </w:hyperlink>
      <w:r>
        <w:t xml:space="preserve">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minutes-to-hours,</w:t>
      </w:r>
      <w:r>
        <w:t xml:space="preserve"> </w:t>
      </w:r>
      <w:r>
        <w:t xml:space="preserve">and used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they underperform far simpler alternatives: scPRINT’s zero-shot labels</w:t>
      </w:r>
      <w:r>
        <w:t xml:space="preserve"> </w:t>
      </w:r>
      <w:r>
        <w:t xml:space="preserve">score 0.201 ontology concordance on the lung split against 0.917 for a reference-trained model</w:t>
      </w:r>
      <w:r>
        <w:t xml:space="preserve"> </w:t>
      </w:r>
      <w:r>
        <w:t xml:space="preserve">on the same cells (§3.2), and an independent evaluation places Geneformer’s and scGPT’s</w:t>
      </w:r>
      <w:r>
        <w:t xml:space="preserve"> </w:t>
      </w:r>
      <w:r>
        <w:t xml:space="preserve">zero-shot embeddings behind scVI, Harmony and plain highly-variable-gene selection on</w:t>
      </w:r>
      <w:r>
        <w:t xml:space="preserve"> </w:t>
      </w:r>
      <w:r>
        <w:t xml:space="preserve">clustering and batch correction</w:t>
      </w:r>
      <w:r>
        <w:t xml:space="preserve"> </w:t>
      </w:r>
      <w:hyperlink r:id="rId11">
        <w:r>
          <w:rPr>
            <w:rStyle w:val="Hyperlink"/>
          </w:rPr>
          <w:t xml:space="preserve">[Kedzierska 2025]</w:t>
        </w:r>
      </w:hyperlink>
      <w:r>
        <w:t xml:space="preserve">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The leading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held to a single standard:</w:t>
      </w:r>
      <w:r>
        <w:t xml:space="preserve"> </w:t>
      </w:r>
      <w:r>
        <w:t xml:space="preserve">every method runs in its own environment through the same harness, on the same splits, scored</w:t>
      </w:r>
      <w:r>
        <w:t xml:space="preserve"> </w:t>
      </w:r>
      <w:r>
        <w:t xml:space="preserve">by the same metrics, and reported as measured — including where actinn-jax is not the leader.</w:t>
      </w:r>
    </w:p>
    <w:p>
      <w:pPr>
        <w:pStyle w:val="BodyText"/>
      </w:pPr>
      <w:r>
        <w:rPr>
          <w:b/>
          <w:bCs/>
        </w:rPr>
        <w:t xml:space="preserve">How the comparison was constrained.</w:t>
      </w:r>
      <w:r>
        <w:t xml:space="preserve"> </w:t>
      </w:r>
      <w:r>
        <w:t xml:space="preserve">A benchmark written by a method’s own author has a</w:t>
      </w:r>
      <w:r>
        <w:t xml:space="preserve"> </w:t>
      </w:r>
      <w:r>
        <w:t xml:space="preserve">well-known failure mode: the datasets, baselines and metrics that flatter the method are the</w:t>
      </w:r>
      <w:r>
        <w:t xml:space="preserve"> </w:t>
      </w:r>
      <w:r>
        <w:t xml:space="preserve">ones that get reported. Every method here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dataset, so none appears on a</w:t>
      </w:r>
      <w:r>
        <w:t xml:space="preserve"> </w:t>
      </w:r>
      <w:r>
        <w:t xml:space="preserve">favorable subset, and the two methods outside that matrix are named with reasons (§2.2). The panel was chosen to include</w:t>
      </w:r>
      <w:r>
        <w:t xml:space="preserve"> </w:t>
      </w:r>
      <w:r>
        <w:t xml:space="preserve">the baselines most likely to beat a small MLP — a carefully tuned linear pipeline, scTOP,</w:t>
      </w:r>
      <w:r>
        <w:t xml:space="preserve"> </w:t>
      </w:r>
      <w:r>
        <w:t xml:space="preserve">ProtoCloud — and each of them does beat it somewhere; our own classical tier is left untuned</w:t>
      </w:r>
      <w:r>
        <w:t xml:space="preserve"> </w:t>
      </w:r>
      <w:r>
        <w:t xml:space="preserve">while the linear baseline is tuned, which is the unfavorable direction (§5). Metrics are</w:t>
      </w:r>
      <w:r>
        <w:t xml:space="preserve"> </w:t>
      </w:r>
      <w:r>
        <w:t xml:space="preserve">fixed across all methods and reported in full. And the</w:t>
      </w:r>
      <w:r>
        <w:t xml:space="preserve"> </w:t>
      </w:r>
      <w:r>
        <w:rPr>
          <w:b/>
          <w:bCs/>
        </w:rPr>
        <w:t xml:space="preserve">external validation is not ours to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: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(§3.3) sets the datasets, the metrics and</w:t>
      </w:r>
      <w:r>
        <w:t xml:space="preserve"> </w:t>
      </w:r>
      <w:r>
        <w:t xml:space="preserve">the ranking, and we did not choose any of them. Where results run against this method’s</w:t>
      </w:r>
      <w:r>
        <w:t xml:space="preserve"> </w:t>
      </w:r>
      <w:r>
        <w:t xml:space="preserve">interests — ProtoCloud overtaking actinn-jax at atlas scale, a memory advantage that stays a</w:t>
      </w:r>
      <w:r>
        <w:t xml:space="preserve"> </w:t>
      </w:r>
      <w:r>
        <w:t xml:space="preserve">fixed factor instead of growing with the data, a better-resourced broad annotator, a</w:t>
      </w:r>
      <w:r>
        <w:t xml:space="preserve"> </w:t>
      </w:r>
      <w:r>
        <w:t xml:space="preserve">correlation method leading the finest-grained split — they are reported in those terms.</w:t>
      </w:r>
    </w:p>
    <w:p>
      <w:pPr>
        <w:pStyle w:val="BodyText"/>
      </w:pPr>
      <w:r>
        <w:rPr>
          <w:b/>
          <w:bCs/>
        </w:rPr>
        <w:t xml:space="preserve">On adding another method to a crowded field.</w:t>
      </w:r>
      <w:r>
        <w:t xml:space="preserve"> </w:t>
      </w:r>
      <w:r>
        <w:t xml:space="preserve">We are not concluding that the new method</w:t>
      </w:r>
      <w:r>
        <w:t xml:space="preserve"> </w:t>
      </w:r>
      <w:r>
        <w:t xml:space="preserve">wins. On accuracy it sits inside a four-way cluster it does not lead; the panel was assembled</w:t>
      </w:r>
      <w:r>
        <w:t xml:space="preserve"> </w:t>
      </w:r>
      <w:r>
        <w:t xml:space="preserve">to include the baselines most likely to beat it, and they do. What earns it a place is</w:t>
      </w:r>
      <w:r>
        <w:t xml:space="preserve"> </w:t>
      </w:r>
      <w:r>
        <w:t xml:space="preserve">narrower: the original ACTINN no longer installs or runs on current Python and ML</w:t>
      </w:r>
      <w:r>
        <w:t xml:space="preserve"> </w:t>
      </w:r>
      <w:r>
        <w:t xml:space="preserve">environments, and the</w:t>
      </w:r>
      <w:r>
        <w:t xml:space="preserve"> </w:t>
      </w:r>
      <w:r>
        <w:t xml:space="preserve">reimplementation’s flat, sub-second, memory-bounded inference over a cached reference is what</w:t>
      </w:r>
      <w:r>
        <w:t xml:space="preserve"> </w:t>
      </w:r>
      <w:r>
        <w:t xml:space="preserve">makes the multi-stage workflow of §3.5 practical on a laptop. A field already full of working</w:t>
      </w:r>
      <w:r>
        <w:t xml:space="preserve"> </w:t>
      </w:r>
      <w:r>
        <w:t xml:space="preserve">methods (</w:t>
      </w:r>
      <w:hyperlink r:id="rId12">
        <w:r>
          <w:rPr>
            <w:rStyle w:val="Hyperlink"/>
          </w:rPr>
          <w:t xml:space="preserve">xkcd 927</w:t>
        </w:r>
      </w:hyperlink>
      <w:r>
        <w:t xml:space="preserve">) is a good reason to be specific about what a new entry is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— here,</w:t>
      </w:r>
      <w:r>
        <w:t xml:space="preserve"> </w:t>
      </w:r>
      <w:r>
        <w:t xml:space="preserve">a cost profile that lets several models be chained — rather than to claim it supersedes what</w:t>
      </w:r>
      <w:r>
        <w:t xml:space="preserve"> </w:t>
      </w:r>
      <w:r>
        <w:t xml:space="preserve">exists. Where a better-resourced model already exists, the productive move is to build on it</w:t>
      </w:r>
      <w:r>
        <w:t xml:space="preserve"> </w:t>
      </w:r>
      <w:r>
        <w:t xml:space="preserve">(§3.5).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</w:p>
    <w:p>
      <w:pPr>
        <w:pStyle w:val="Compact"/>
        <w:numPr>
          <w:ilvl w:val="0"/>
          <w:numId w:val="1001"/>
        </w:numPr>
      </w:pPr>
      <w:r>
        <w:t xml:space="preserve">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sweep across reference sizes up to</w:t>
      </w:r>
      <w:r>
        <w:rPr>
          <w:b/>
          <w:bCs/>
        </w:rPr>
        <w:t xml:space="preserve"> </w:t>
      </w:r>
      <w:r>
        <w:rPr>
          <w:b/>
          <w:bCs/>
        </w:rPr>
        <w:t xml:space="preserve">full atlas scale</w:t>
      </w:r>
      <w:r>
        <w:t xml:space="preserve">, which is what shows that the ranking is a function of how much</w:t>
      </w:r>
      <w:r>
        <w:t xml:space="preserve"> </w:t>
      </w:r>
      <w:r>
        <w:t xml:space="preserve">reference data each method is given. The panel deliberately includes the baselines most likely to beat a</w:t>
      </w:r>
      <w:r>
        <w:t xml:space="preserve"> </w:t>
      </w:r>
      <w:r>
        <w:t xml:space="preserve">small MLP — a tuned linear pipeline, scTOP, and ProtoCloud — and the results are reported</w:t>
      </w:r>
      <w:r>
        <w:t xml:space="preserve"> </w:t>
      </w:r>
      <w:r>
        <w:t xml:space="preserve">as measured (§3.1, §5). The sweep is also what sets actinn-jax’s minibatch policy: at</w:t>
      </w:r>
      <w:r>
        <w:t xml:space="preserve"> </w:t>
      </w:r>
      <w:r>
        <w:t xml:space="preserve">ACTINN’s fixed batch of 128, a 47k-cell reference costs ~24k tiny update steps, so</w:t>
      </w:r>
      <w:r>
        <w:t xml:space="preserve"> </w:t>
      </w:r>
      <w:r>
        <w:t xml:space="preserve">actinn-jax scales the batch with the reference above ~12.8k cells and keeps 128 below it.</w:t>
      </w:r>
      <w:r>
        <w:t xml:space="preserve"> </w:t>
      </w:r>
      <w:r>
        <w:t xml:space="preserve">Measured fit and predict curves are in §3.4.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bundled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broad→focused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are precise about what is not</w:t>
      </w:r>
      <w:r>
        <w:t xml:space="preserve"> </w:t>
      </w:r>
      <w:r>
        <w:t xml:space="preserve">ours: ProtoCloud offers uncertainty, attribution and a retraining-based refine, and</w:t>
      </w:r>
      <w:r>
        <w:t xml:space="preserve"> </w:t>
      </w:r>
      <w:r>
        <w:t xml:space="preserve">Pan-human Azimuth is a pretrained hierarchical pan-human annotator with trained</w:t>
      </w:r>
      <w:r>
        <w:t xml:space="preserve"> </w:t>
      </w:r>
      <w:r>
        <w:t xml:space="preserve">abstention, so the broad pass itself is not a distinguishing feature — we distill that</w:t>
      </w:r>
      <w:r>
        <w:t xml:space="preserve"> </w:t>
      </w:r>
      <w:r>
        <w:t xml:space="preserve">model into a broad-pass reference rather than compete with it. What is distinct is</w:t>
      </w:r>
      <w:r>
        <w:t xml:space="preserve"> </w:t>
      </w:r>
      <w:r>
        <w:rPr>
          <w:b/>
          <w:bCs/>
        </w:rPr>
        <w:t xml:space="preserve">refinement into a label set no pretrained model carries</w:t>
      </w:r>
      <w:r>
        <w:t xml:space="preserve"> </w:t>
      </w:r>
      <w:r>
        <w:t xml:space="preserve">— the user’s own focused</w:t>
      </w:r>
      <w:r>
        <w:t xml:space="preserve"> </w:t>
      </w:r>
      <w:r>
        <w:t xml:space="preserve">reference, and states below a fixed typology’s leaves. The same route builds a</w:t>
      </w:r>
      <w:r>
        <w:t xml:space="preserve"> </w:t>
      </w:r>
      <w:r>
        <w:rPr>
          <w:b/>
          <w:bCs/>
        </w:rPr>
        <w:t xml:space="preserve">pan-mouse reference</w:t>
      </w:r>
      <w:r>
        <w:t xml:space="preserve"> </w:t>
      </w:r>
      <w:r>
        <w:t xml:space="preserve">(453 types / 85 tissues; 0.638 ontology concordance on two</w:t>
      </w:r>
      <w:r>
        <w:t xml:space="preserve"> </w:t>
      </w:r>
      <w:r>
        <w:t xml:space="preserve">withheld datasets) in 17 s of CPU, using Cell Ontology lineage in place of a</w:t>
      </w:r>
      <w:r>
        <w:t xml:space="preserve"> </w:t>
      </w:r>
      <w:r>
        <w:t xml:space="preserve">foundation-model embedding. On the human corpus where it was validated it beats having no</w:t>
      </w:r>
      <w:r>
        <w:t xml:space="preserve"> </w:t>
      </w:r>
      <w:r>
        <w:t xml:space="preserve">hierarchy at all (0.616 vs 0.547) and a random grouping of the same sizes (0.539), and it</w:t>
      </w:r>
      <w:r>
        <w:t xml:space="preserve"> </w:t>
      </w:r>
      <w:r>
        <w:t xml:space="preserve">needs no GPU at any stage.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set of cheap ablations that</w:t>
      </w:r>
      <w:r>
        <w:t xml:space="preserve"> </w:t>
      </w:r>
      <w:r>
        <w:t xml:space="preserve">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 (input</w:t>
      </w:r>
      <w:r>
        <w:t xml:space="preserve"> </w:t>
      </w:r>
      <w:r>
        <w:t xml:space="preserve">standardization; a reference-guided gene budget; a foundation-model negative control).</w:t>
      </w:r>
    </w:p>
    <w:bookmarkEnd w:id="13"/>
    <w:bookmarkStart w:id="48" w:name="methods"/>
    <w:p>
      <w:pPr>
        <w:pStyle w:val="Heading1"/>
      </w:pPr>
      <w:r>
        <w:t xml:space="preserve">Methods</w:t>
      </w:r>
    </w:p>
    <w:bookmarkStart w:id="16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</w:t>
      </w:r>
      <w:hyperlink r:id="rId14">
        <w:r>
          <w:rPr>
            <w:rStyle w:val="Hyperlink"/>
          </w:rPr>
          <w:t xml:space="preserve">[Ma &amp; Pellegrini 2020]</w:t>
        </w:r>
      </w:hyperlink>
      <w:r>
        <w:t xml:space="preserve">) — a 4-layer fully-connected</w:t>
      </w:r>
      <w:r>
        <w:t xml:space="preserve"> </w:t>
      </w:r>
      <w:r>
        <w:t xml:space="preserve">network (100/50/25 hidden units, ReLU, softmax) trained with Adam — in JAX/optax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[Bradbury 2018]</w:t>
        </w:r>
      </w:hyperlink>
      <w:r>
        <w:t xml:space="preserve">), replacing</w:t>
      </w:r>
      <w:r>
        <w:t xml:space="preserve"> </w:t>
      </w:r>
      <w:r>
        <w:t xml:space="preserve">the original’s TensorFlow-1.x graph/session code. Key engineering: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Sparse-aware preprocessing</w:t>
      </w:r>
      <w:r>
        <w:t xml:space="preserve">: the count matrix is never densified in full. CP10k+log2</w:t>
      </w:r>
      <w:r>
        <w:t xml:space="preserve"> </w:t>
      </w:r>
      <w:r>
        <w:t xml:space="preserve">normalization and the expression / coefficient-of-variation gene filter run on the sparse</w:t>
      </w:r>
      <w:r>
        <w:t xml:space="preserve"> </w:t>
      </w:r>
      <w:r>
        <w:t xml:space="preserve">matrix; only the selected-gene columns of each minibatch are made dense.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Cached reference model</w:t>
      </w:r>
      <w:r>
        <w:t xml:space="preserve">: train once, write the fitted model to disk, reload it and map</w:t>
      </w:r>
      <w:r>
        <w:t xml:space="preserve"> </w:t>
      </w:r>
      <w:r>
        <w:t xml:space="preserve">many queries — the amortized cost of repeated annotation against a fixed reference drops</w:t>
      </w:r>
      <w:r>
        <w:t xml:space="preserve"> </w:t>
      </w:r>
      <w:r>
        <w:t xml:space="preserve">to the inference cost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queries, and raw counts are picked up automatically</w:t>
      </w:r>
      <w:r>
        <w:t xml:space="preserve"> </w:t>
      </w:r>
      <w:r>
        <w:t xml:space="preserve">from the slot where CELLxGENE files conventionally store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reference-fit standardization</w:t>
      </w:r>
      <w:r>
        <w:t xml:space="preserve">: z-score each selected gene by the reference’s</w:t>
      </w:r>
      <w:r>
        <w:t xml:space="preserve"> </w:t>
      </w:r>
      <w:r>
        <w:t xml:space="preserve">frozen mean and standard deviation and apply that to the query — a cheap domain alignment</w:t>
      </w:r>
      <w:r>
        <w:t xml:space="preserve"> </w:t>
      </w:r>
      <w:r>
        <w:t xml:space="preserve">(§3.3). Off by default; when on, the scaler is saved alongside the model and travels with</w:t>
      </w:r>
      <w:r>
        <w:t xml:space="preserve"> </w:t>
      </w:r>
      <w:r>
        <w:t xml:space="preserve">it, and models saved without it still load.</w:t>
      </w:r>
    </w:p>
    <w:p>
      <w:pPr>
        <w:pStyle w:val="FirstParagraph"/>
      </w:pPr>
      <w:r>
        <w:t xml:space="preserve">The reimplementation reproduces the original’s accuracy to within repeat noise and, unlike</w:t>
      </w:r>
      <w:r>
        <w:t xml:space="preserve"> </w:t>
      </w:r>
      <w:r>
        <w:t xml:space="preserve">the TensorFlow-1.x original,</w:t>
      </w:r>
      <w:r>
        <w:t xml:space="preserve"> </w:t>
      </w:r>
      <w:r>
        <w:rPr>
          <w:b/>
          <w:bCs/>
        </w:rPr>
        <w:t xml:space="preserve">installs on current Python and ML environments</w:t>
      </w:r>
      <w:r>
        <w:t xml:space="preserve">. Because the</w:t>
      </w:r>
      <w:r>
        <w:t xml:space="preserve"> </w:t>
      </w:r>
      <w:r>
        <w:t xml:space="preserve">two are the same model at equal accuracy, we do not carry the original as a separate benchmark</w:t>
      </w:r>
      <w:r>
        <w:t xml:space="preserve"> </w:t>
      </w:r>
      <w:r>
        <w:t xml:space="preserve">row: the change is one of installability and speed, not of accuracy.</w:t>
      </w:r>
    </w:p>
    <w:bookmarkEnd w:id="16"/>
    <w:bookmarkStart w:id="27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[Ma &amp; Pellegrini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[Domínguez Conde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  <w:r>
              <w:t xml:space="preserve"> </w:t>
            </w:r>
            <w:r>
              <w:t xml:space="preserve">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[Yampolskaya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[Aran 2019]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[Kiselev 2018]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[Xu 2021]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[Lotfollahi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[Guo &amp; Ding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[Kalfon 2025]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[Sarkar et al. 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actually runs,</w:t>
      </w:r>
      <w:r>
        <w:t xml:space="preserve"> </w:t>
      </w:r>
      <w:r>
        <w:t xml:space="preserve">whether it can decline to call a cell (</w:t>
      </w:r>
      <w:r>
        <w:rPr>
          <w:i/>
          <w:iCs/>
        </w:rPr>
        <w:t xml:space="preserve">rejection</w:t>
      </w:r>
      <w:r>
        <w:t xml:space="preserve">), and the runtime stack it was run on;</w:t>
      </w:r>
      <w:r>
        <w:t xml:space="preserve"> </w:t>
      </w:r>
      <w:r>
        <w:t xml:space="preserve">each has its own pinned environment (§2.5). Bold marks 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 (§1).</w:t>
      </w:r>
    </w:p>
    <w:p>
      <w:pPr>
        <w:pStyle w:val="BodyText"/>
      </w:pPr>
      <w:r>
        <w:rPr>
          <w:b/>
          <w:bCs/>
        </w:rPr>
        <w:t xml:space="preserve">Eleven of the thirteen are trained on each dataset’s own reference</w:t>
      </w:r>
      <w:r>
        <w:t xml:space="preserve"> </w:t>
      </w:r>
      <w:r>
        <w:t xml:space="preserve">and run the full</w:t>
      </w:r>
      <w:r>
        <w:t xml:space="preserve"> </w:t>
      </w:r>
      <w:r>
        <w:t xml:space="preserve">accuracy/cost matrix of §3.1 on all eight splits, so none is compared on a favorable subset.</w:t>
      </w:r>
      <w:r>
        <w:t xml:space="preserve"> </w:t>
      </w:r>
      <w:r>
        <w:t xml:space="preserve">The remaining two are</w:t>
      </w:r>
      <w:r>
        <w:t xml:space="preserve"> </w:t>
      </w:r>
      <w:r>
        <w:rPr>
          <w:b/>
          <w:bCs/>
        </w:rPr>
        <w:t xml:space="preserve">pretrained annotators with fixed label vocabularies</w:t>
      </w:r>
      <w:r>
        <w:t xml:space="preserve">, which changes</w:t>
      </w:r>
      <w:r>
        <w:t xml:space="preserve"> </w:t>
      </w:r>
      <w:r>
        <w:t xml:space="preserve">what can be measured rather than excusing them from measurement: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scPRINT</w:t>
      </w:r>
      <w:r>
        <w:t xml:space="preserve"> </w:t>
      </w:r>
      <w:r>
        <w:t xml:space="preserve">is a zero-shot foundation model over a fixed</w:t>
      </w:r>
      <w:r>
        <w:t xml:space="preserve"> </w:t>
      </w:r>
      <w:r>
        <w:rPr>
          <w:b/>
          <w:bCs/>
        </w:rPr>
        <w:t xml:space="preserve">Cell Ontology (CL)</w:t>
      </w:r>
      <w:r>
        <w:t xml:space="preserve"> </w:t>
      </w:r>
      <w:r>
        <w:t xml:space="preserve">vocabulary —</w:t>
      </w:r>
      <w:r>
        <w:t xml:space="preserve"> </w:t>
      </w:r>
      <w:r>
        <w:t xml:space="preserve">CL is the standard controlled vocabulary of cell types, used throughout as the common</w:t>
      </w:r>
      <w:r>
        <w:t xml:space="preserve"> </w:t>
      </w:r>
      <w:r>
        <w:t xml:space="preserve">ground between datasets that name the same cell differently. scPRINT cannot emit labels</w:t>
      </w:r>
      <w:r>
        <w:t xml:space="preserve"> </w:t>
      </w:r>
      <w:r>
        <w:t xml:space="preserve">outside that set, and skips symbol-keyed datasets.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Pan-human Azimuth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[Sarkar et al. 2026]</w:t>
        </w:r>
      </w:hyperlink>
      <w:r>
        <w:t xml:space="preserve">) is a supervised hierarchical classifier over a</w:t>
      </w:r>
      <w:r>
        <w:t xml:space="preserve"> </w:t>
      </w:r>
      <w:r>
        <w:t xml:space="preserve">single organism-wide typology — 8 levels, 382 leaves, ~7M parameters,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 rather than thresholded</w:t>
      </w:r>
      <w:r>
        <w:t xml:space="preserve"> </w:t>
      </w:r>
      <w:r>
        <w:t xml:space="preserve">—</w:t>
      </w:r>
      <w:r>
        <w:t xml:space="preserve"> </w:t>
      </w:r>
      <w:r>
        <w:t xml:space="preserve">the model is trained to answer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 instead of having a probability cutoff applied</w:t>
      </w:r>
      <w:r>
        <w:t xml:space="preserve"> </w:t>
      </w:r>
      <w:r>
        <w:t xml:space="preserve">to its output afterwards. It is the closest published counterpart to this paper’s broad</w:t>
      </w:r>
      <w:r>
        <w:t xml:space="preserve"> </w:t>
      </w:r>
      <w:r>
        <w:t xml:space="preserve">pass, and the teacher we distill in §3.5.</w:t>
      </w:r>
    </w:p>
    <w:p>
      <w:pPr>
        <w:pStyle w:val="FirstParagraph"/>
      </w:pPr>
      <w:r>
        <w:t xml:space="preserve">Neither predicts into the dataset’s label strings, so</w:t>
      </w:r>
      <w:r>
        <w:t xml:space="preserve"> </w:t>
      </w:r>
      <w:r>
        <w:rPr>
          <w:b/>
          <w:bCs/>
        </w:rPr>
        <w:t xml:space="preserve">exact-match accuracy against those</w:t>
      </w:r>
      <w:r>
        <w:rPr>
          <w:b/>
          <w:bCs/>
        </w:rPr>
        <w:t xml:space="preserve"> </w:t>
      </w:r>
      <w:r>
        <w:rPr>
          <w:b/>
          <w:bCs/>
        </w:rPr>
        <w:t xml:space="preserve">strings is a vocabulary artifact, not an accuracy signal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regulatory T cell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Treg 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non-classical monocyte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CD16 monocyte</w:t>
      </w:r>
      <w:r>
        <w:t xml:space="preserve"> </w:t>
      </w:r>
      <w:r>
        <w:t xml:space="preserve">are correct answers that score zero. Both are</w:t>
      </w:r>
      <w:r>
        <w:t xml:space="preserve"> </w:t>
      </w:r>
      <w:r>
        <w:t xml:space="preserve">therefore scored</w:t>
      </w:r>
      <w:r>
        <w:t xml:space="preserve"> </w:t>
      </w:r>
      <w:r>
        <w:rPr>
          <w:b/>
          <w:bCs/>
        </w:rPr>
        <w:t xml:space="preserve">ontology-only</w:t>
      </w:r>
      <w:r>
        <w:t xml:space="preserve"> </w:t>
      </w:r>
      <w:r>
        <w:t xml:space="preserve">(§2.4) and reported in their own block in §3.1, on the</w:t>
      </w:r>
      <w:r>
        <w:t xml:space="preserve"> </w:t>
      </w:r>
      <w:r>
        <w:t xml:space="preserve">three datasets where reference and query both carry Cell Ontology ids. They appear again in</w:t>
      </w:r>
      <w:r>
        <w:t xml:space="preserve"> </w:t>
      </w:r>
      <w:r>
        <w:t xml:space="preserve">§3.2 (foundation-model zero-shot) and §3.5 (Azimuth as broad pass, and as distillation</w:t>
      </w:r>
      <w:r>
        <w:t xml:space="preserve"> </w:t>
      </w:r>
      <w:r>
        <w:t xml:space="preserve">teacher).</w:t>
      </w:r>
    </w:p>
    <w:p>
      <w:pPr>
        <w:pStyle w:val="BodyText"/>
      </w:pPr>
      <w:r>
        <w:rPr>
          <w:b/>
          <w:bCs/>
        </w:rPr>
        <w:t xml:space="preserve">scPred</w:t>
      </w:r>
      <w:r>
        <w:t xml:space="preserve"> </w:t>
      </w:r>
      <w:r>
        <w:t xml:space="preserve">is not included: it is unmaintained, and no longer installs against current</w:t>
      </w:r>
      <w:r>
        <w:t xml:space="preserve"> </w:t>
      </w:r>
      <w:r>
        <w:t xml:space="preserve">releases of the harmony dependency it builds on.</w:t>
      </w:r>
    </w:p>
    <w:bookmarkEnd w:id="27"/>
    <w:bookmarkStart w:id="34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[Sikkema 2023]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[Alegbe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[10x Genomics 2016]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eight benchmark splits, over seven datasets — brain appears twice because the</w:t>
      </w:r>
      <w:r>
        <w:t xml:space="preserve"> </w:t>
      </w:r>
      <w:r>
        <w:t xml:space="preserve">same nuclei are scored at two levels of one taxonomy.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</w:t>
      </w:r>
      <w:r>
        <w:t xml:space="preserve"> </w:t>
      </w:r>
      <w:r>
        <w:t xml:space="preserve">holdouts from 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</w:t>
      </w:r>
      <w:r>
        <w:t xml:space="preserve"> </w:t>
      </w:r>
      <w:r>
        <w:t xml:space="preserve">keyed by Ensembl ids or by gene symbols, since a method or reference built on one convention</w:t>
      </w:r>
      <w:r>
        <w:t xml:space="preserve"> </w:t>
      </w:r>
      <w:r>
        <w:t xml:space="preserve">cannot read the other without remapping.</w:t>
      </w:r>
    </w:p>
    <w:p>
      <w:pPr>
        <w:pStyle w:val="BodyText"/>
      </w:pPr>
      <w:r>
        <w:t xml:space="preserve">The blood+gut set is a subsample of</w:t>
      </w:r>
      <w:r>
        <w:t xml:space="preserve"> </w:t>
      </w:r>
      <w:r>
        <w:rPr>
          <w:b/>
          <w:bCs/>
        </w:rPr>
        <w:t xml:space="preserve">IBDverse</w:t>
      </w:r>
      <w:r>
        <w:t xml:space="preserve"> </w:t>
      </w:r>
      <w:r>
        <w:t xml:space="preserve">(Wellcome Sanger Institute; blood, terminal</w:t>
      </w:r>
      <w:r>
        <w:t xml:space="preserve"> </w:t>
      </w:r>
      <w:r>
        <w:t xml:space="preserve">ileum and rectum from 421 individuals), included here because 86 fine-grained labels make it</w:t>
      </w:r>
      <w:r>
        <w:t xml:space="preserve"> </w:t>
      </w:r>
      <w:r>
        <w:t xml:space="preserve">the high-cardinality stress case for the panel. It carries no Cell Ontology ids, so it</w:t>
      </w:r>
      <w:r>
        <w:t xml:space="preserve"> </w:t>
      </w:r>
      <w:r>
        <w:t xml:space="preserve">contributes to accuracy and macro-F1 but to no ontology-scored result.</w:t>
      </w:r>
    </w:p>
    <w:p>
      <w:pPr>
        <w:pStyle w:val="BodyText"/>
      </w:pPr>
      <w:r>
        <w:t xml:space="preserve">The brain set is single nuclei from the Allen Institute’s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taxonomy</w:t>
      </w:r>
      <w:r>
        <w:t xml:space="preserve"> </w:t>
      </w:r>
      <w:hyperlink r:id="rId33">
        <w:r>
          <w:rPr>
            <w:rStyle w:val="Hyperlink"/>
          </w:rPr>
          <w:t xml:space="preserve">[Jorstad 2023]</w:t>
        </w:r>
      </w:hyperlink>
      <w:r>
        <w:t xml:space="preserve">, the same query used in the multi-reference agreement experiment of</w:t>
      </w:r>
      <w:r>
        <w:t xml:space="preserve"> </w:t>
      </w:r>
      <w:r>
        <w:t xml:space="preserve">§3.5. It enters twice, at two levels of that taxonomy:</w:t>
      </w:r>
      <w:r>
        <w:t xml:space="preserve"> </w:t>
      </w:r>
      <w:r>
        <w:rPr>
          <w:rStyle w:val="VerbatimChar"/>
          <w:b/>
          <w:bCs/>
        </w:rPr>
        <w:t xml:space="preserve">Subclass</w:t>
      </w:r>
      <w:r>
        <w:t xml:space="preserve"> </w:t>
      </w:r>
      <w:r>
        <w:t xml:space="preserve">(24 types, ~300 cells</w:t>
      </w:r>
      <w:r>
        <w:t xml:space="preserve"> </w:t>
      </w:r>
      <w:r>
        <w:t xml:space="preserve">each), the standard annotation level, and</w:t>
      </w:r>
      <w:r>
        <w:t xml:space="preserve"> </w:t>
      </w:r>
      <w:r>
        <w:rPr>
          <w:rStyle w:val="VerbatimChar"/>
          <w:b/>
          <w:bCs/>
        </w:rPr>
        <w:t xml:space="preserve">Cluster</w:t>
      </w:r>
      <w:r>
        <w:t xml:space="preserve"> </w:t>
      </w:r>
      <w:r>
        <w:t xml:space="preserve">(151 types, ~100 cells each), whose</w:t>
      </w:r>
      <w:r>
        <w:t xml:space="preserve"> </w:t>
      </w:r>
      <w:r>
        <w:t xml:space="preserve">members are the cell sets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enumerates. Only the 10x 3′ v3 nuclei are kept</w:t>
      </w:r>
      <w:r>
        <w:t xml:space="preserve"> </w:t>
      </w:r>
      <w:r>
        <w:t xml:space="preserve">(141,782 of 156,285); the remaining Smart-seq v4 nuclei would put a full-length protocol on</w:t>
      </w:r>
      <w:r>
        <w:t xml:space="preserve"> </w:t>
      </w:r>
      <w:r>
        <w:t xml:space="preserve">one side of a within-dataset split.</w:t>
      </w:r>
    </w:p>
    <w:p>
      <w:pPr>
        <w:pStyle w:val="BodyText"/>
      </w:pPr>
      <w:r>
        <w:t xml:space="preserve">Both levels are scored by exact match alone. The Cell Ontology collapses the five</w:t>
      </w:r>
      <w:r>
        <w:t xml:space="preserve"> </w:t>
      </w:r>
      <w:r>
        <w:t xml:space="preserve">intratelencephalic subclasses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L4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 Car3</w:t>
      </w:r>
      <w:r>
        <w:t xml:space="preserve">) into one</w:t>
      </w:r>
      <w:r>
        <w:t xml:space="preserve"> </w:t>
      </w:r>
      <w:r>
        <w:t xml:space="preserve">term and merges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/</w:t>
      </w:r>
      <w:r>
        <w:rPr>
          <w:rStyle w:val="VerbatimChar"/>
        </w:rPr>
        <w:t xml:space="preserve">Lamp5_Lhx6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Sst</w:t>
      </w:r>
      <w:r>
        <w:t xml:space="preserve">/</w:t>
      </w:r>
      <w:r>
        <w:rPr>
          <w:rStyle w:val="VerbatimChar"/>
        </w:rPr>
        <w:t xml:space="preserve">Sst Chodl</w:t>
      </w:r>
      <w:r>
        <w:t xml:space="preserve">, leaving</w:t>
      </w:r>
      <w:r>
        <w:t xml:space="preserve"> </w:t>
      </w:r>
      <w:r>
        <w:rPr>
          <w:b/>
          <w:bCs/>
        </w:rPr>
        <w:t xml:space="preserve">18 terms for the 24</w:t>
      </w:r>
      <w:r>
        <w:rPr>
          <w:b/>
          <w:bCs/>
        </w:rPr>
        <w:t xml:space="preserve"> </w:t>
      </w:r>
      <w:r>
        <w:rPr>
          <w:b/>
          <w:bCs/>
        </w:rPr>
        <w:t xml:space="preserve">subclasses</w:t>
      </w:r>
      <w:r>
        <w:t xml:space="preserve"> </w:t>
      </w:r>
      <w:r>
        <w:t xml:space="preserve">and none for the 151 clusters, so an ontology-aware score would credit a method</w:t>
      </w:r>
      <w:r>
        <w:t xml:space="preserve"> </w:t>
      </w:r>
      <w:r>
        <w:t xml:space="preserve">for confusing cortical layers. Brain therefore contributes accuracy and macro-F1 and no</w:t>
      </w:r>
      <w:r>
        <w:t xml:space="preserve"> </w:t>
      </w:r>
      <w:r>
        <w:t xml:space="preserve">ontology-scored result, as blood+gut does for a different reason. §3.5 returns to this gap.</w:t>
      </w:r>
    </w:p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more than an order of magnitude in cell-type count (8→151), five tissues (lung,</w:t>
      </w:r>
      <w:r>
        <w:t xml:space="preserve"> </w:t>
      </w:r>
      <w:r>
        <w:t xml:space="preserve">liver, blood, gut, brain), whole cells and single nuclei, and both gene-ID conventions.</w:t>
      </w:r>
    </w:p>
    <w:bookmarkEnd w:id="34"/>
    <w:bookmarkStart w:id="36" w:name="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;</w:t>
      </w:r>
      <w:r>
        <w:t xml:space="preserve"> </w:t>
      </w:r>
      <w:r>
        <w:rPr>
          <w:b/>
          <w:bCs/>
        </w:rPr>
        <w:t xml:space="preserve">macro-F1</w:t>
      </w:r>
      <w:r>
        <w:t xml:space="preserve">, unweighted over classes so rare</w:t>
      </w:r>
      <w:r>
        <w:t xml:space="preserve"> </w:t>
      </w:r>
      <w:r>
        <w:t xml:space="preserve">types count as much as common ones;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;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and</w:t>
      </w:r>
      <w:r>
        <w:t xml:space="preserve"> </w:t>
      </w:r>
      <w:r>
        <w:rPr>
          <w:b/>
          <w:bCs/>
        </w:rPr>
        <w:t xml:space="preserve">peak memory</w:t>
      </w:r>
      <w:r>
        <w:t xml:space="preserve"> </w:t>
      </w:r>
      <w:r>
        <w:t xml:space="preserve">(peak RSS, resident set size — the maximum physical memory the process</w:t>
      </w:r>
      <w:r>
        <w:t xml:space="preserve"> </w:t>
      </w:r>
      <w:r>
        <w:t xml:space="preserve">held).</w:t>
      </w:r>
    </w:p>
    <w:p>
      <w:pPr>
        <w:pStyle w:val="BodyText"/>
      </w:pPr>
      <w:r>
        <w:rPr>
          <w:b/>
          <w:bCs/>
        </w:rPr>
        <w:t xml:space="preserve">Ontology-aware concordance</w:t>
      </w:r>
      <w:r>
        <w:t xml:space="preserve"> </w:t>
      </w:r>
      <w:r>
        <w:t xml:space="preserve">credits a call that is the same node, an ancestor, or a</w:t>
      </w:r>
      <w:r>
        <w:t xml:space="preserve"> </w:t>
      </w:r>
      <w:r>
        <w:t xml:space="preserve">descendant of the truth in the Cell Ontology. It exists because cell-type vocabularies</w:t>
      </w:r>
      <w:r>
        <w:t xml:space="preserve"> </w:t>
      </w:r>
      <w:r>
        <w:t xml:space="preserve">disagree about granularity more than about biology:</w:t>
      </w:r>
      <w:r>
        <w:t xml:space="preserve"> </w:t>
      </w:r>
      <w:r>
        <w:rPr>
          <w:rStyle w:val="VerbatimChar"/>
        </w:rPr>
        <w:t xml:space="preserve">periportal region hepatocyte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Hepatocyte</w:t>
      </w:r>
      <w:r>
        <w:t xml:space="preserve"> </w:t>
      </w:r>
      <w:r>
        <w:t xml:space="preserve">is a right-lineage-wrong-depth call. Exact match scores it as a total failure,</w:t>
      </w:r>
      <w:r>
        <w:t xml:space="preserve"> </w:t>
      </w:r>
      <w:r>
        <w:t xml:space="preserve">though the lineage is correct and only the depth is wrong.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metric that compares methods with</w:t>
      </w:r>
      <w:r>
        <w:t xml:space="preserve"> </w:t>
      </w:r>
      <w:r>
        <w:t xml:space="preserve">different label vocabularies (§2.2), and it is reported only where both reference and query</w:t>
      </w:r>
      <w:r>
        <w:t xml:space="preserve"> </w:t>
      </w:r>
      <w:r>
        <w:t xml:space="preserve">carry CL ids — so not on</w:t>
      </w:r>
      <w:r>
        <w:t xml:space="preserve"> </w:t>
      </w:r>
      <w:r>
        <w:rPr>
          <w:rStyle w:val="VerbatimChar"/>
        </w:rPr>
        <w:t xml:space="preserve">blood_gut_intra</w:t>
      </w:r>
      <w:r>
        <w:t xml:space="preserve">, and not on the symbol-keyed</w:t>
      </w:r>
      <w:r>
        <w:t xml:space="preserve"> </w:t>
      </w:r>
      <w:r>
        <w:rPr>
          <w:rStyle w:val="VerbatimChar"/>
        </w:rPr>
        <w:t xml:space="preserve">pbmc</w:t>
      </w:r>
      <w:r>
        <w:t xml:space="preserve">.</w:t>
      </w:r>
    </w:p>
    <w:p>
      <w:pPr>
        <w:pStyle w:val="BodyText"/>
      </w:pPr>
      <w:r>
        <w:t xml:space="preserve">Concordance depends on the ontology release, since ancestor sets change between them. All</w:t>
      </w:r>
      <w:r>
        <w:t xml:space="preserve"> </w:t>
      </w:r>
      <w:r>
        <w:t xml:space="preserve">numbers here use the</w:t>
      </w:r>
      <w:r>
        <w:t xml:space="preserve"> </w:t>
      </w:r>
      <w:r>
        <w:rPr>
          <w:b/>
          <w:bCs/>
        </w:rPr>
        <w:t xml:space="preserve">Cell Ontology basic release of 2026-06-08</w:t>
      </w:r>
      <w:r>
        <w:t xml:space="preserve"> </w:t>
      </w:r>
      <w:r>
        <w:t xml:space="preserve">(sha256 73996c63…),</w:t>
      </w:r>
      <w:r>
        <w:t xml:space="preserve"> </w:t>
      </w:r>
      <w:r>
        <w:t xml:space="preserve">resolved once and reused by every scoring pass. Scoring lung_cross against a later-fetched</w:t>
      </w:r>
      <w:r>
        <w:t xml:space="preserve"> </w:t>
      </w:r>
      <w:r>
        <w:t xml:space="preserve">release reproduces the splits exactly (14,390 reference / 13,550 query cells) and still moves</w:t>
      </w:r>
      <w:r>
        <w:t xml:space="preserve"> </w:t>
      </w:r>
      <w:r>
        <w:t xml:space="preserve">concordance by 0.003, with no model changing.</w:t>
      </w:r>
      <w:r>
        <w:t xml:space="preserve"> </w:t>
      </w:r>
      <w:r>
        <w:t xml:space="preserve">That release, its checksum, and pinned versions for all six benchmark environments are</w:t>
      </w:r>
      <w:r>
        <w:t xml:space="preserve"> </w:t>
      </w:r>
      <w:r>
        <w:t xml:space="preserve">recorded as lockfiles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, which also carries a command that</w:t>
      </w:r>
      <w:r>
        <w:t xml:space="preserve"> </w:t>
      </w:r>
      <w:r>
        <w:t xml:space="preserve">reports any drift from them.</w:t>
      </w:r>
    </w:p>
    <w:p>
      <w:pPr>
        <w:pStyle w:val="BodyText"/>
      </w:pPr>
      <w:r>
        <w:t xml:space="preserve">Exact-match accuracy is reported for the ten reference-trained methods and, on</w:t>
      </w:r>
      <w:r>
        <w:t xml:space="preserve"> </w:t>
      </w:r>
      <w:r>
        <w:rPr>
          <w:rStyle w:val="VerbatimChar"/>
        </w:rPr>
        <w:t xml:space="preserve">lung_cross</w:t>
      </w:r>
      <w:r>
        <w:t xml:space="preserve">,</w:t>
      </w:r>
      <w:r>
        <w:t xml:space="preserve"> </w:t>
      </w:r>
      <w:r>
        <w:t xml:space="preserve">flagged: reference and query use different label vocabularies there, so its exact-match accuracy is</w:t>
      </w:r>
      <w:r>
        <w:t xml:space="preserve"> </w:t>
      </w:r>
      <w:r>
        <w:t xml:space="preserve">a vocabulary artifact and the ranking, not the level, is what transfers.</w:t>
      </w:r>
    </w:p>
    <w:bookmarkEnd w:id="36"/>
    <w:bookmarkStart w:id="37" w:name="harness-isolation-and-hardware"/>
    <w:p>
      <w:pPr>
        <w:pStyle w:val="Heading2"/>
      </w:pPr>
      <w:r>
        <w:t xml:space="preserve">Harness, isolation, and hardware</w:t>
      </w:r>
    </w:p>
    <w:p>
      <w:pPr>
        <w:pStyle w:val="FirstParagraph"/>
      </w:pPr>
      <w:r>
        <w:t xml:space="preserve">Each method runs in</w:t>
      </w:r>
      <w:r>
        <w:t xml:space="preserve"> </w:t>
      </w:r>
      <w:r>
        <w:rPr>
          <w:b/>
          <w:bCs/>
        </w:rPr>
        <w:t xml:space="preserve">its own virtual environment, as a separate process</w:t>
      </w:r>
      <w:r>
        <w:t xml:space="preserve">, because the</w:t>
      </w:r>
      <w:r>
        <w:t xml:space="preserve"> </w:t>
      </w:r>
      <w:r>
        <w:t xml:space="preserve">dependency sets are mutually unsatisfiable — scVI-based methods, TensorFlow/Keras (Pan-human</w:t>
      </w:r>
      <w:r>
        <w:t xml:space="preserve"> </w:t>
      </w:r>
      <w:r>
        <w:t xml:space="preserve">Azimuth), R (SingleR, scmap) and the JAX core cannot coexist in one interpreter. One driver</w:t>
      </w:r>
      <w:r>
        <w:t xml:space="preserve"> </w:t>
      </w:r>
      <w:r>
        <w:t xml:space="preserve">builds the reference/query split</w:t>
      </w:r>
      <w:r>
        <w:t xml:space="preserve"> </w:t>
      </w:r>
      <w:r>
        <w:rPr>
          <w:b/>
          <w:bCs/>
        </w:rPr>
        <w:t xml:space="preserve">once per dataset</w:t>
      </w:r>
      <w:r>
        <w:t xml:space="preserve"> </w:t>
      </w:r>
      <w:r>
        <w:t xml:space="preserve">from a fixed seed and hands the</w:t>
      </w:r>
      <w:r>
        <w:t xml:space="preserve"> </w:t>
      </w:r>
      <w:r>
        <w:t xml:space="preserve">identical pair to every method, so no method sees a different split.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; scPRINT and Pan-human Azimuth run once</w:t>
      </w:r>
      <w:r>
        <w:t xml:space="preserve"> </w:t>
      </w:r>
      <w:r>
        <w:t xml:space="preserve">each, being deterministic given a fixed query and dominated by a single forward pass.</w:t>
      </w:r>
    </w:p>
    <w:p>
      <w:pPr>
        <w:pStyle w:val="BodyText"/>
      </w:pPr>
      <w:r>
        <w:t xml:space="preserve">Resource accounting is per subprocess: fit and predict are timed separately and peak memory is</w:t>
      </w:r>
      <w:r>
        <w:t xml:space="preserve"> </w:t>
      </w:r>
      <w:r>
        <w:t xml:space="preserve">sampled by a monitor thread in the child, so one method’s footprint cannot be attributed to</w:t>
      </w:r>
      <w:r>
        <w:t xml:space="preserve"> </w:t>
      </w:r>
      <w:r>
        <w:t xml:space="preserve">another.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classical, linear, correlation and</w:t>
      </w:r>
      <w:r>
        <w:t xml:space="preserve"> </w:t>
      </w:r>
      <w:r>
        <w:t xml:space="preserve">pretrained tiers and for actinn-jax; Apple MPS for the deep and foundation tiers. No discrete</w:t>
      </w:r>
      <w:r>
        <w:t xml:space="preserve"> </w:t>
      </w:r>
      <w:r>
        <w:t xml:space="preserve">GPU, no cloud — the regime the benchmark is about. Math-library threads are left uncapped, so</w:t>
      </w:r>
      <w:r>
        <w:t xml:space="preserve"> </w:t>
      </w:r>
      <w:r>
        <w:t xml:space="preserve">wall-clock is what a practitioner sees; an optional thread cap exists for stricter</w:t>
      </w:r>
      <w:r>
        <w:t xml:space="preserve"> </w:t>
      </w:r>
      <w:r>
        <w:t xml:space="preserve">reproducibility. §3.3 repeats the comparison on one cloud CPU instance, where methods</w:t>
      </w:r>
      <w:r>
        <w:t xml:space="preserve"> </w:t>
      </w:r>
      <w:r>
        <w:t xml:space="preserve">compete for cores; §2.10 explains how that is handled.</w:t>
      </w:r>
    </w:p>
    <w:bookmarkEnd w:id="37"/>
    <w:bookmarkStart w:id="39" w:name="building-a-broad-reference"/>
    <w:p>
      <w:pPr>
        <w:pStyle w:val="Heading2"/>
      </w:pPr>
      <w:r>
        <w:t xml:space="preserve">Building a broad reference</w:t>
      </w:r>
    </w:p>
    <w:p>
      <w:pPr>
        <w:pStyle w:val="FirstParagraph"/>
      </w:pPr>
      <w:r>
        <w:t xml:space="preserve">The bundled broad-pass references (§3.5) are built once, offline, by a three-stage pipeline</w:t>
      </w:r>
      <w:r>
        <w:t xml:space="preserve"> </w:t>
      </w:r>
      <w:r>
        <w:t xml:space="preserve">driven by one command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Sampling.</w:t>
      </w:r>
      <w:r>
        <w:t xml:space="preserve"> </w:t>
      </w:r>
      <w:r>
        <w:t xml:space="preserve">Every primary cell for one organism in the CELLxGENE Census</w:t>
      </w:r>
      <w:r>
        <w:t xml:space="preserve"> </w:t>
      </w:r>
      <w:hyperlink r:id="rId38">
        <w:r>
          <w:rPr>
            <w:rStyle w:val="Hyperlink"/>
          </w:rPr>
          <w:t xml:space="preserve">[CZI Census 2025]</w:t>
        </w:r>
      </w:hyperlink>
      <w:r>
        <w:t xml:space="preserve"> </w:t>
      </w:r>
      <w:r>
        <w:t xml:space="preserve">— primary meaning the copy the census designates canonical, so cells deposited in more than</w:t>
      </w:r>
      <w:r>
        <w:t xml:space="preserve"> </w:t>
      </w:r>
      <w:r>
        <w:t xml:space="preserve">one study are counted once — stratified by cell type at a fixed cap per type: 40 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, 60 for the later human and mouse pulls. Types with fewer than 12 cells are</w:t>
      </w:r>
      <w:r>
        <w:t xml:space="preserve"> </w:t>
      </w:r>
      <w:r>
        <w:t xml:space="preserve">dropped, as are labels that carry no information (</w:t>
      </w:r>
      <w:r>
        <w:t xml:space="preserve">“unknown”</w:t>
      </w:r>
      <w:r>
        <w:t xml:space="preserve">,</w:t>
      </w:r>
      <w:r>
        <w:t xml:space="preserve"> </w:t>
      </w:r>
      <w:r>
        <w:t xml:space="preserve">“native cell”</w:t>
      </w:r>
      <w:r>
        <w:t xml:space="preserve">,</w:t>
      </w:r>
      <w:r>
        <w:t xml:space="preserve"> </w:t>
      </w:r>
      <w:r>
        <w:t xml:space="preserve">“eukaryotic</w:t>
      </w:r>
      <w:r>
        <w:t xml:space="preserve"> </w:t>
      </w:r>
      <w:r>
        <w:t xml:space="preserve">cell”</w:t>
      </w:r>
      <w:r>
        <w:t xml:space="preserve">,</w:t>
      </w:r>
      <w:r>
        <w:t xml:space="preserve"> </w:t>
      </w:r>
      <w:r>
        <w:t xml:space="preserve">“animal cell”</w:t>
      </w:r>
      <w:r>
        <w:t xml:space="preserve">). The pull is checkpointed every ten datasets and retried, since</w:t>
      </w:r>
      <w:r>
        <w:t xml:space="preserve"> </w:t>
      </w:r>
      <w:r>
        <w:t xml:space="preserve">transient object-store read errors are routine at this scale. Genes are carried under both</w:t>
      </w:r>
      <w:r>
        <w:t xml:space="preserve"> </w:t>
      </w:r>
      <w:r>
        <w:t xml:space="preserve">Ensembl ids and symbols, because a symbol-keyed consumer cannot use an Ensembl-only pull.</w:t>
      </w:r>
      <w:r>
        <w:t xml:space="preserve"> </w:t>
      </w:r>
      <w:r>
        <w:t xml:space="preserve">The census</w:t>
      </w:r>
      <w:r>
        <w:t xml:space="preserve"> </w:t>
      </w:r>
      <w:r>
        <w:t xml:space="preserve">“stable”</w:t>
      </w:r>
      <w:r>
        <w:t xml:space="preserve"> </w:t>
      </w:r>
      <w:r>
        <w:t xml:space="preserve">alias is a moving pointer, so the release it resolved to is recorded;</w:t>
      </w:r>
      <w:r>
        <w:t xml:space="preserve"> </w:t>
      </w:r>
      <w:r>
        <w:t xml:space="preserve">every reference here comes from</w:t>
      </w:r>
      <w:r>
        <w:t xml:space="preserve"> </w:t>
      </w:r>
      <w:r>
        <w:rPr>
          <w:b/>
          <w:bCs/>
        </w:rPr>
        <w:t xml:space="preserve">census 2025-11-08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Coarse hierarchy — two routes.</w:t>
      </w:r>
      <w:r>
        <w:t xml:space="preserve"> </w:t>
      </w:r>
      <w:r>
        <w:t xml:space="preserve">The model is a coarse classifier over groups plus one</w:t>
      </w:r>
      <w:r>
        <w:t xml:space="preserve"> </w:t>
      </w:r>
      <w:r>
        <w:t xml:space="preserve">fine classifier per group, and the grouping comes from either: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Foundation-model embeddings.</w:t>
      </w:r>
      <w:r>
        <w:t xml:space="preserve"> </w:t>
      </w:r>
      <w:r>
        <w:t xml:space="preserve">scPRINT (medium-v1.5) embeds the reference once in</w:t>
      </w:r>
      <w:r>
        <w:t xml:space="preserve"> </w:t>
      </w:r>
      <w:r>
        <w:t xml:space="preserve">4,000-cell chunks; per-cell-type centroids are Ward-clustered into roughly √(number of</w:t>
      </w:r>
      <w:r>
        <w:t xml:space="preserve"> </w:t>
      </w:r>
      <w:r>
        <w:t xml:space="preserve">types) groups, with a floor of eight. scPRINT’s QC drops cells, so the embedding is not</w:t>
      </w:r>
      <w:r>
        <w:t xml:space="preserve"> </w:t>
      </w:r>
      <w:r>
        <w:t xml:space="preserve">positionally aligned to the input and the label is carried through the model with the</w:t>
      </w:r>
      <w:r>
        <w:t xml:space="preserve"> </w:t>
      </w:r>
      <w:r>
        <w:t xml:space="preserve">vectors. This is the only step that wants a GPU/MPS.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 Ontology lineage.</w:t>
      </w:r>
      <w:r>
        <w:t xml:space="preserve"> </w:t>
      </w:r>
      <w:r>
        <w:t xml:space="preserve">Each cell type is described by a binary indicator over the CL</w:t>
      </w:r>
      <w:r>
        <w:t xml:space="preserve"> </w:t>
      </w:r>
      <w:r>
        <w:t xml:space="preserve">terms it descends from; terms appearing in fewer than two types, or in all of them, are</w:t>
      </w:r>
      <w:r>
        <w:t xml:space="preserve"> </w:t>
      </w:r>
      <w:r>
        <w:t xml:space="preserve">dropped as uninformative; the same Ward clustering is applied to those vectors.</w:t>
      </w:r>
      <w:r>
        <w:t xml:space="preserve"> </w:t>
      </w:r>
      <w:r>
        <w:t xml:space="preserve">Free, deterministic, and species-independent — which is what</w:t>
      </w:r>
      <w:r>
        <w:t xml:space="preserve"> </w:t>
      </w:r>
      <w:r>
        <w:t xml:space="preserve">makes the pan-mouse reference possible, since the distillation teacher is human-only and</w:t>
      </w:r>
      <w:r>
        <w:t xml:space="preserve"> </w:t>
      </w:r>
      <w:r>
        <w:t xml:space="preserve">scPRINT’s mouse support is untested here. §3.5 scores this route against no hierarchy</w:t>
      </w:r>
      <w:r>
        <w:t xml:space="preserve"> </w:t>
      </w:r>
      <w:r>
        <w:t xml:space="preserve">and against a random grouping.</w:t>
      </w:r>
    </w:p>
    <w:p>
      <w:pPr>
        <w:pStyle w:val="FirstParagraph"/>
      </w:pPr>
      <w:r>
        <w:rPr>
          <w:b/>
          <w:bCs/>
        </w:rPr>
        <w:t xml:space="preserve">Training and calibration.</w:t>
      </w:r>
      <w:r>
        <w:t xml:space="preserve"> </w:t>
      </w:r>
      <w:r>
        <w:t xml:space="preserve">A 4,000-gene panel of</w:t>
      </w:r>
      <w:r>
        <w:t xml:space="preserve"> </w:t>
      </w:r>
      <w:r>
        <w:rPr>
          <w:b/>
          <w:bCs/>
        </w:rPr>
        <w:t xml:space="preserve">highly variable genes (HVGs)</w:t>
      </w:r>
      <w:r>
        <w:t xml:space="preserve"> </w:t>
      </w:r>
      <w:r>
        <w:t xml:space="preserve">— the</w:t>
      </w:r>
      <w:r>
        <w:t xml:space="preserve"> </w:t>
      </w:r>
      <w:r>
        <w:t xml:space="preserve">genes that differ most across cells, and so carry most of the signal for telling types apart —</w:t>
      </w:r>
      <w:r>
        <w:t xml:space="preserve"> </w:t>
      </w:r>
      <w:r>
        <w:t xml:space="preserve">is selected on the reference; the coarse</w:t>
      </w:r>
      <w:r>
        <w:t xml:space="preserve"> </w:t>
      </w:r>
      <w:r>
        <w:t xml:space="preserve">and per-group fine models are trained on it. Abstain calibration holds out</w:t>
      </w:r>
      <w:r>
        <w:t xml:space="preserve"> </w:t>
      </w:r>
      <w:r>
        <w:rPr>
          <w:b/>
          <w:bCs/>
        </w:rPr>
        <w:t xml:space="preserve">10% of cell types</w:t>
      </w:r>
      <w:r>
        <w:rPr>
          <w:b/>
          <w:bCs/>
        </w:rPr>
        <w:t xml:space="preserve"> </w:t>
      </w:r>
      <w:r>
        <w:rPr>
          <w:b/>
          <w:bCs/>
        </w:rPr>
        <w:t xml:space="preserve">entirely</w:t>
      </w:r>
      <w:r>
        <w:t xml:space="preserve"> </w:t>
      </w:r>
      <w:r>
        <w:t xml:space="preserve">as out-of-distribution (OOD — types the model was never trained on, standing in for</w:t>
      </w:r>
      <w:r>
        <w:t xml:space="preserve"> </w:t>
      </w:r>
      <w:r>
        <w:t xml:space="preserve">the novel populations a real query contains), plus a 20% within-type test split, and sweeps</w:t>
      </w:r>
      <w:r>
        <w:t xml:space="preserve"> </w:t>
      </w:r>
      <w:r>
        <w:t xml:space="preserve">the confidence threshold to trade coverage against accuracy on kept cells — the table each</w:t>
      </w:r>
      <w:r>
        <w:t xml:space="preserve"> </w:t>
      </w:r>
      <w:r>
        <w:t xml:space="preserve">bundled reference reports.</w:t>
      </w:r>
    </w:p>
    <w:p>
      <w:pPr>
        <w:pStyle w:val="BodyText"/>
      </w:pPr>
      <w:r>
        <w:rPr>
          <w:b/>
          <w:bCs/>
        </w:rPr>
        <w:t xml:space="preserve">Provenance and verification.</w:t>
      </w:r>
      <w:r>
        <w:t xml:space="preserve"> </w:t>
      </w:r>
      <w:r>
        <w:t xml:space="preserve">Each reference carries a build record: census release,</w:t>
      </w:r>
      <w:r>
        <w:t xml:space="preserve"> </w:t>
      </w:r>
      <w:r>
        <w:t xml:space="preserve">corpus sizes, hierarchy route, organism and calibration table. Because a rebuild can train</w:t>
      </w:r>
      <w:r>
        <w:t xml:space="preserve"> </w:t>
      </w:r>
      <w:r>
        <w:t xml:space="preserve">cleanly and annotate</w:t>
      </w:r>
      <w:r>
        <w:t xml:space="preserve"> </w:t>
      </w:r>
      <w:r>
        <w:rPr>
          <w:i/>
          <w:iCs/>
        </w:rPr>
        <w:t xml:space="preserve">worse</w:t>
      </w:r>
      <w:r>
        <w:t xml:space="preserve">, the previous reference is backed up and the new one is scored</w:t>
      </w:r>
      <w:r>
        <w:t xml:space="preserve"> </w:t>
      </w:r>
      <w:r>
        <w:t xml:space="preserve">on a held-out atlas before it is kept. For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the test set is carved from the</w:t>
      </w:r>
      <w:r>
        <w:t xml:space="preserve"> </w:t>
      </w:r>
      <w:r>
        <w:t xml:space="preserve">census itself: two datasets are excluded from the reference sample and re-pulled as the</w:t>
      </w:r>
      <w:r>
        <w:t xml:space="preserve"> </w:t>
      </w:r>
      <w:r>
        <w:t xml:space="preserve">query, so</w:t>
      </w:r>
      <w:r>
        <w:t xml:space="preserve"> </w:t>
      </w:r>
      <w:r>
        <w:t xml:space="preserve">“held out”</w:t>
      </w:r>
      <w:r>
        <w:t xml:space="preserve"> </w:t>
      </w:r>
      <w:r>
        <w:t xml:space="preserve">means held-out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and not merely held-out cells.</w:t>
      </w:r>
    </w:p>
    <w:bookmarkEnd w:id="39"/>
    <w:bookmarkStart w:id="40" w:name="distilling-a-pretrained-annotator"/>
    <w:p>
      <w:pPr>
        <w:pStyle w:val="Heading2"/>
      </w:pPr>
      <w:r>
        <w:t xml:space="preserve">Distilling a pretrained annotator</w:t>
      </w:r>
    </w:p>
    <w:p>
      <w:pPr>
        <w:pStyle w:val="FirstParagraph"/>
      </w:pPr>
      <w:r>
        <w:t xml:space="preserve">A broad reference can also be built without labels and without a GPU, by taking both the label</w:t>
      </w:r>
      <w:r>
        <w:t xml:space="preserve"> </w:t>
      </w:r>
      <w:r>
        <w:t xml:space="preserve">vocabulary and the hierarchy from an existing pretrained annotator.</w:t>
      </w:r>
      <w:r>
        <w:t xml:space="preserve"> </w:t>
      </w:r>
      <w:r>
        <w:t xml:space="preserve">Keras/TensorFlow and JAX cannot share a process,</w:t>
      </w:r>
      <w:r>
        <w:t xml:space="preserve"> </w:t>
      </w:r>
      <w:r>
        <w:t xml:space="preserve">so this runs in two stages.</w:t>
      </w:r>
    </w:p>
    <w:p>
      <w:pPr>
        <w:pStyle w:val="BodyText"/>
      </w:pPr>
      <w:r>
        <w:rPr>
          <w:b/>
          <w:bCs/>
        </w:rPr>
        <w:t xml:space="preserve">Teacher pass.</w:t>
      </w:r>
      <w:r>
        <w:t xml:space="preserve"> </w:t>
      </w:r>
      <w:r>
        <w:t xml:space="preserve">Pan-human Azimuth labels a corpus of raw counts through its low-level API</w:t>
      </w:r>
      <w:r>
        <w:t xml:space="preserve"> </w:t>
      </w:r>
      <w:r>
        <w:t xml:space="preserve">in batches of 8,192, which loads the weights once rather than once per call. All eight levels</w:t>
      </w:r>
      <w:r>
        <w:t xml:space="preserve"> </w:t>
      </w:r>
      <w:r>
        <w:t xml:space="preserve">are retained. Where the package cannot reconcile a refined level with its coarser ones it</w:t>
      </w:r>
      <w:r>
        <w:t xml:space="preserve"> </w:t>
      </w:r>
      <w:r>
        <w:t xml:space="preserve">blanks that column; those cells still</w:t>
      </w:r>
      <w:r>
        <w:t xml:space="preserve"> </w:t>
      </w:r>
      <w:r>
        <w:t xml:space="preserve">carry a deepest-level call, so we fall back to it rather than discard them — dropping them</w:t>
      </w:r>
      <w:r>
        <w:t xml:space="preserve"> </w:t>
      </w:r>
      <w:r>
        <w:t xml:space="preserve">would distill only the cells the teacher found easy. Predictions are mapped to CL ids through</w:t>
      </w:r>
      <w:r>
        <w:t xml:space="preserve"> </w:t>
      </w:r>
      <w:r>
        <w:t xml:space="preserve">the package’s own crosswalk.</w:t>
      </w:r>
    </w:p>
    <w:p>
      <w:pPr>
        <w:pStyle w:val="BodyText"/>
      </w:pPr>
      <w:r>
        <w:rPr>
          <w:b/>
          <w:bCs/>
        </w:rPr>
        <w:t xml:space="preserve">Student pass.</w:t>
      </w:r>
      <w:r>
        <w:t xml:space="preserve"> </w:t>
      </w:r>
      <w:r>
        <w:t xml:space="preserve">The student is a hierarchical actinn-jax reference whose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are</w:t>
      </w:r>
      <w:r>
        <w:t xml:space="preserve"> </w:t>
      </w:r>
      <w:r>
        <w:t xml:space="preserve">the teacher’s refined fine labels (including its trained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quality-control class)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is the</w:t>
      </w:r>
      <w:r>
        <w:t xml:space="preserve"> </w:t>
      </w:r>
      <w:r>
        <w:t xml:space="preserve">teacher’s own broad level — so the coarse→fine structure is inherited rather than rediscovered.</w:t>
      </w:r>
      <w:r>
        <w:t xml:space="preserve"> </w:t>
      </w:r>
      <w:r>
        <w:t xml:space="preserve">4,000-gene HVG panel; classes with fewer than 8 cells dropped, since a class that cannot be</w:t>
      </w:r>
      <w:r>
        <w:t xml:space="preserve"> </w:t>
      </w:r>
      <w:r>
        <w:t xml:space="preserve">split into train and test makes fidelity depend on which side its cells landed.</w:t>
      </w:r>
    </w:p>
    <w:p>
      <w:pPr>
        <w:pStyle w:val="BodyText"/>
      </w:pPr>
      <w:r>
        <w:rPr>
          <w:b/>
          <w:bCs/>
        </w:rPr>
        <w:t xml:space="preserve">Corpus.</w:t>
      </w:r>
      <w:r>
        <w:t xml:space="preserve"> </w:t>
      </w:r>
      <w:r>
        <w:t xml:space="preserve">Three local atlases (lung, liver, blood+gut) capped at 600 cells per label, plus a</w:t>
      </w:r>
      <w:r>
        <w:t xml:space="preserve"> </w:t>
      </w:r>
      <w:r>
        <w:t xml:space="preserve">census-wide pull (≤60 per type). The atlases’ own labels are used</w:t>
      </w:r>
      <w:r>
        <w:t xml:space="preserve"> </w:t>
      </w:r>
      <w:r>
        <w:rPr>
          <w:b/>
          <w:bCs/>
        </w:rPr>
        <w:t xml:space="preserve">only for scoring</w:t>
      </w:r>
      <w:r>
        <w:t xml:space="preserve">, never</w:t>
      </w:r>
      <w:r>
        <w:t xml:space="preserve"> </w:t>
      </w:r>
      <w:r>
        <w:t xml:space="preserve">for training.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Two arms answer different questions.</w:t>
      </w:r>
      <w:r>
        <w:t xml:space="preserve"> </w:t>
      </w:r>
      <w:r>
        <w:rPr>
          <w:i/>
          <w:iCs/>
        </w:rPr>
        <w:t xml:space="preserve">In-corpus</w:t>
      </w:r>
      <w:r>
        <w:t xml:space="preserve"> </w:t>
      </w:r>
      <w:r>
        <w:t xml:space="preserve">holds out a stratified 25% of</w:t>
      </w:r>
      <w:r>
        <w:t xml:space="preserve"> </w:t>
      </w:r>
      <w:r>
        <w:t xml:space="preserve">cells and measures</w:t>
      </w:r>
      <w:r>
        <w:t xml:space="preserve"> </w:t>
      </w:r>
      <w:r>
        <w:rPr>
          <w:b/>
          <w:bCs/>
        </w:rPr>
        <w:t xml:space="preserve">fidelity</w:t>
      </w:r>
      <w:r>
        <w:t xml:space="preserve"> </w:t>
      </w:r>
      <w:r>
        <w:t xml:space="preserve">— how often the student reproduces the teacher, exactly and</w:t>
      </w:r>
      <w:r>
        <w:t xml:space="preserve"> </w:t>
      </w:r>
      <w:r>
        <w:t xml:space="preserve">ontology-equivalently.</w:t>
      </w:r>
      <w:r>
        <w:t xml:space="preserve"> </w:t>
      </w:r>
      <w:r>
        <w:rPr>
          <w:i/>
          <w:iCs/>
        </w:rPr>
        <w:t xml:space="preserve">Held-out atlas</w:t>
      </w:r>
      <w:r>
        <w:t xml:space="preserve"> </w:t>
      </w:r>
      <w:r>
        <w:t xml:space="preserve">withholds an entire atlas and measures whether the</w:t>
      </w:r>
      <w:r>
        <w:t xml:space="preserve"> </w:t>
      </w:r>
      <w:r>
        <w:t xml:space="preserve">student generalizes to data the corpus never covered. Both arms also score student and teacher</w:t>
      </w:r>
      <w:r>
        <w:t xml:space="preserve"> </w:t>
      </w:r>
      <w:r>
        <w:t xml:space="preserve">against the atlases’ own labels, which separates distillation loss from teacher error. Once the census pull is in the corpus, a withheld</w:t>
      </w:r>
      <w:r>
        <w:t xml:space="preserve"> </w:t>
      </w:r>
      <w:r>
        <w:rPr>
          <w:i/>
          <w:iCs/>
        </w:rPr>
        <w:t xml:space="preserve">atlas</w:t>
      </w:r>
      <w:r>
        <w:t xml:space="preserve"> </w:t>
      </w:r>
      <w:r>
        <w:t xml:space="preserve">is no longer a withheld</w:t>
      </w:r>
      <w:r>
        <w:t xml:space="preserve"> </w:t>
      </w:r>
      <w:r>
        <w:rPr>
          <w:i/>
          <w:iCs/>
        </w:rPr>
        <w:t xml:space="preserve">tissue</w:t>
      </w:r>
      <w:r>
        <w:t xml:space="preserve">.</w:t>
      </w:r>
    </w:p>
    <w:bookmarkEnd w:id="40"/>
    <w:bookmarkStart w:id="41" w:name="refinement-abstention-and-novelty"/>
    <w:p>
      <w:pPr>
        <w:pStyle w:val="Heading2"/>
      </w:pPr>
      <w:r>
        <w:t xml:space="preserve">Refinement, abstention, and novelty</w:t>
      </w:r>
    </w:p>
    <w:p>
      <w:pPr>
        <w:pStyle w:val="FirstParagraph"/>
      </w:pPr>
      <w:r>
        <w:t xml:space="preserve">Four mechanisms operate on a trained reference at inference time, all label-free.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abstention.</w:t>
      </w:r>
      <w:r>
        <w:t xml:space="preserve"> </w:t>
      </w:r>
      <w:r>
        <w:t xml:space="preserve">Cells whose final probability is below a threshold are relabeled</w:t>
      </w:r>
      <w:r>
        <w:t xml:space="preserve"> </w:t>
      </w:r>
      <w:r>
        <w:t xml:space="preserve">“unknown”</w:t>
      </w:r>
      <w:r>
        <w:t xml:space="preserve"> </w:t>
      </w:r>
      <w:r>
        <w:t xml:space="preserve">rather than forced to the nearest class. Calibrated per reference (§2.6).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the query.</w:t>
      </w:r>
      <w:r>
        <w:t xml:space="preserve"> </w:t>
      </w:r>
      <w:r>
        <w:t xml:space="preserve">The reference’s class set is masked to those classes the</w:t>
      </w:r>
      <w:r>
        <w:t xml:space="preserve"> </w:t>
      </w:r>
      <w:r>
        <w:t xml:space="preserve">query’s own predictions actually support, and the softmax renormalized — no ground truth,</w:t>
      </w:r>
      <w:r>
        <w:t xml:space="preserve"> </w:t>
      </w:r>
      <w:r>
        <w:t xml:space="preserve">no retraining.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a tissue.</w:t>
      </w:r>
      <w:r>
        <w:t xml:space="preserve"> </w:t>
      </w:r>
      <w:r>
        <w:t xml:space="preserve">Classes are masked to those the census records in the given</w:t>
      </w:r>
      <w:r>
        <w:t xml:space="preserve"> </w:t>
      </w:r>
      <w:r>
        <w:t xml:space="preserve">tissue, while</w:t>
      </w:r>
      <w:r>
        <w:t xml:space="preserve"> </w:t>
      </w:r>
      <w:r>
        <w:rPr>
          <w:b/>
          <w:bCs/>
        </w:rPr>
        <w:t xml:space="preserve">pan-tissue</w:t>
      </w:r>
      <w:r>
        <w:t xml:space="preserve"> </w:t>
      </w:r>
      <w:r>
        <w:t xml:space="preserve">types (immune, endothelial, stromal) stay available</w:t>
      </w:r>
      <w:r>
        <w:t xml:space="preserve"> </w:t>
      </w:r>
      <w:r>
        <w:t xml:space="preserve">everywhere, so liver-resident T cells are unaffected. The per-class tissue map is baked</w:t>
      </w:r>
      <w:r>
        <w:t xml:space="preserve"> </w:t>
      </w:r>
      <w:r>
        <w:t xml:space="preserve">into the bundled reference; the tissue is given explicitly or read from the query’s own</w:t>
      </w:r>
      <w:r>
        <w:t xml:space="preserve"> </w:t>
      </w:r>
      <w:r>
        <w:t xml:space="preserve">metadata, with common synonyms (PBMC→blood, hepatic→liver) recognized. A tissue outside</w:t>
      </w:r>
      <w:r>
        <w:t xml:space="preserve"> </w:t>
      </w:r>
      <w:r>
        <w:t xml:space="preserve">the reference’s vocabulary imposes no filter rather than an empty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novelty screen.</w:t>
      </w:r>
      <w:r>
        <w:t xml:space="preserve"> </w:t>
      </w:r>
      <w:r>
        <w:t xml:space="preserve">A cell type absent from the reference appears not as</w:t>
      </w:r>
      <w:r>
        <w:t xml:space="preserve"> </w:t>
      </w:r>
      <w:r>
        <w:t xml:space="preserve">scattered uncertain cells but as a</w:t>
      </w:r>
      <w:r>
        <w:t xml:space="preserve"> </w:t>
      </w:r>
      <w:r>
        <w:rPr>
          <w:i/>
          <w:iCs/>
        </w:rPr>
        <w:t xml:space="preserve">coherent group the reference cannot confidently</w:t>
      </w:r>
      <w:r>
        <w:rPr>
          <w:i/>
          <w:iCs/>
        </w:rPr>
        <w:t xml:space="preserve"> </w:t>
      </w:r>
      <w:r>
        <w:rPr>
          <w:i/>
          <w:iCs/>
        </w:rPr>
        <w:t xml:space="preserve">explain</w:t>
      </w:r>
      <w:r>
        <w:t xml:space="preserve">. Clusters that are both large enough to be a real population and predominantly</w:t>
      </w:r>
      <w:r>
        <w:t xml:space="preserve"> </w:t>
      </w:r>
      <w:r>
        <w:t xml:space="preserve">low-confidence are flagged, with marker genes reported for each. This is distinct from</w:t>
      </w:r>
      <w:r>
        <w:t xml:space="preserve"> </w:t>
      </w:r>
      <w:r>
        <w:t xml:space="preserve">per-cell abstention.</w:t>
      </w:r>
    </w:p>
    <w:p>
      <w:pPr>
        <w:pStyle w:val="FirstParagraph"/>
      </w:pPr>
      <w:r>
        <w:rPr>
          <w:b/>
          <w:bCs/>
        </w:rPr>
        <w:t xml:space="preserve">Within-type state.</w:t>
      </w:r>
      <w:r>
        <w:t xml:space="preserve"> </w:t>
      </w:r>
      <w:r>
        <w:t xml:space="preserve">The same machinery resolves structure below a cell-type label: a</w:t>
      </w:r>
      <w:r>
        <w:t xml:space="preserve"> </w:t>
      </w:r>
      <w:r>
        <w:t xml:space="preserve">hepatocyte zonation model trained on portal→central zone labels, scored by within-one-zone</w:t>
      </w:r>
      <w:r>
        <w:t xml:space="preserve"> </w:t>
      </w:r>
      <w:r>
        <w:t xml:space="preserve">agreement across donors and datasets.</w:t>
      </w:r>
    </w:p>
    <w:bookmarkEnd w:id="41"/>
    <w:bookmarkStart w:id="42" w:name="scaling-protocol"/>
    <w:p>
      <w:pPr>
        <w:pStyle w:val="Heading2"/>
      </w:pPr>
      <w:r>
        <w:t xml:space="preserve">Scaling protocol</w:t>
      </w:r>
    </w:p>
    <w:p>
      <w:pPr>
        <w:pStyle w:val="FirstParagraph"/>
      </w:pPr>
      <w:r>
        <w:t xml:space="preserve">A benchmark run at one reference size measures that size, not the method. Since a reference</w:t>
      </w:r>
      <w:r>
        <w:t xml:space="preserve"> </w:t>
      </w:r>
      <w:r>
        <w:t xml:space="preserve">can be anything from a few thousand cells to a whole atlas, we subsample the reference and hold</w:t>
      </w:r>
      <w:r>
        <w:t xml:space="preserve"> </w:t>
      </w:r>
      <w:r>
        <w:t xml:space="preserve">the query fixed, so accuracy, fit time, predict time and peak memory become functions of</w:t>
      </w:r>
      <w:r>
        <w:t xml:space="preserve"> </w:t>
      </w:r>
      <w:r>
        <w:t xml:space="preserve">reference size alone.</w:t>
      </w:r>
    </w:p>
    <w:p>
      <w:pPr>
        <w:pStyle w:val="BodyText"/>
      </w:pPr>
      <w:r>
        <w:t xml:space="preserve">Each sweep answers a different question.</w:t>
      </w:r>
      <w:r>
        <w:t xml:space="preserve"> </w:t>
      </w:r>
      <w:r>
        <w:rPr>
          <w:b/>
          <w:bCs/>
        </w:rPr>
        <w:t xml:space="preserve">Cost against size and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(§3.4, Figure 2) covers six reference sizes to 24k cells and separately varies</w:t>
      </w:r>
      <w:r>
        <w:t xml:space="preserve"> </w:t>
      </w:r>
      <w:r>
        <w:t xml:space="preserve">the number of cell types, and asks whether inference cost grows with either — the property the</w:t>
      </w:r>
      <w:r>
        <w:t xml:space="preserve"> </w:t>
      </w:r>
      <w:r>
        <w:t xml:space="preserve">multi-stage workflow depends on.</w:t>
      </w:r>
      <w:r>
        <w:t xml:space="preserve"> </w:t>
      </w:r>
      <w:r>
        <w:rPr>
          <w:b/>
          <w:bCs/>
        </w:rPr>
        <w:t xml:space="preserve">Accuracy and memory to atlas scale</w:t>
      </w:r>
      <w:r>
        <w:t xml:space="preserve"> </w:t>
      </w:r>
      <w:r>
        <w:t xml:space="preserve">covers five sizes</w:t>
      </w:r>
      <w:r>
        <w:t xml:space="preserve"> </w:t>
      </w:r>
      <w:r>
        <w:t xml:space="preserve">to 49k cells on lung and four to 47k on the HLiCA liver atlas (§3.4, Figure 3), and asks</w:t>
      </w:r>
      <w:r>
        <w:t xml:space="preserve"> </w:t>
      </w:r>
      <w:r>
        <w:t xml:space="preserve">whether the ranking at laptop size survives at atlas size. A third sweep runs the other way,</w:t>
      </w:r>
      <w:r>
        <w:t xml:space="preserve"> </w:t>
      </w:r>
      <w:r>
        <w:t xml:space="preserve">holding the reference fixed and growing the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to a whole 525k-cell atlas (§3.4,</w:t>
      </w:r>
      <w:r>
        <w:t xml:space="preserve"> </w:t>
      </w:r>
      <w:r>
        <w:t xml:space="preserve">Figure 4), which is the axis a reused reference is actually pointed along. Sizes are set by capping cells per</w:t>
      </w:r>
      <w:r>
        <w:t xml:space="preserve"> </w:t>
      </w:r>
      <w:r>
        <w:t xml:space="preserve">type, which is why they are not round numbers. The lung sweep’s top point is the whole atlas</w:t>
      </w:r>
      <w:r>
        <w:t xml:space="preserve"> </w:t>
      </w:r>
      <w:r>
        <w:t xml:space="preserve">once the query is held out; the liver atlas is far larger (525k cells), so its sweep stops at</w:t>
      </w:r>
      <w:r>
        <w:t xml:space="preserve"> </w:t>
      </w:r>
      <w:r>
        <w:t xml:space="preserve">a matching reference size rather than at its own ceiling, which is what lets the two be read</w:t>
      </w:r>
      <w:r>
        <w:t xml:space="preserve"> </w:t>
      </w:r>
      <w:r>
        <w:t xml:space="preserve">against each other.</w:t>
      </w:r>
    </w:p>
    <w:bookmarkEnd w:id="42"/>
    <w:bookmarkStart w:id="44" w:name="external-validation-protocol"/>
    <w:p>
      <w:pPr>
        <w:pStyle w:val="Heading2"/>
      </w:pPr>
      <w:r>
        <w:t xml:space="preserve">External validation protocol</w:t>
      </w:r>
    </w:p>
    <w:p>
      <w:pPr>
        <w:pStyle w:val="FirstParagraph"/>
      </w:pPr>
      <w:r>
        <w:rPr>
          <w:b/>
          <w:bCs/>
        </w:rPr>
        <w:t xml:space="preserve">Open Problems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label_projection</w:t>
      </w:r>
      <w:r>
        <w:t xml:space="preserve"> </w:t>
      </w:r>
      <w:hyperlink r:id="rId43">
        <w:r>
          <w:rPr>
            <w:rStyle w:val="Hyperlink"/>
          </w:rPr>
          <w:t xml:space="preserve">[Open Problems 2024]</w:t>
        </w:r>
      </w:hyperlink>
      <w:r>
        <w:t xml:space="preserve"> </w:t>
      </w:r>
      <w:r>
        <w:t xml:space="preserve">supplies the</w:t>
      </w:r>
      <w:r>
        <w:t xml:space="preserve"> </w:t>
      </w:r>
      <w:r>
        <w:t xml:space="preserve">datasets, metrics and ranking — none chosen by us. actinn-jax is packaged as a viash 0.9.7</w:t>
      </w:r>
      <w:r>
        <w:t xml:space="preserve"> </w:t>
      </w:r>
      <w:r>
        <w:t xml:space="preserve">component declaring the normalization it expects, and run through the project’s own Nextflow</w:t>
      </w:r>
      <w:r>
        <w:t xml:space="preserve"> </w:t>
      </w:r>
      <w:r>
        <w:t xml:space="preserve">workflow. We additionally built components for four</w:t>
      </w:r>
      <w:r>
        <w:t xml:space="preserve"> </w:t>
      </w:r>
      <w:r>
        <w:t xml:space="preserve">baselines (linear-anova-pca, scTOP, SVM, CellTypist) so the same-hardware comparison covers</w:t>
      </w:r>
      <w:r>
        <w:t xml:space="preserve"> </w:t>
      </w:r>
      <w:r>
        <w:t xml:space="preserve">more than the leaderboard’s own set.</w:t>
      </w:r>
    </w:p>
    <w:p>
      <w:pPr>
        <w:pStyle w:val="BodyText"/>
      </w:pPr>
      <w:r>
        <w:rPr>
          <w:b/>
          <w:bCs/>
        </w:rPr>
        <w:t xml:space="preserve">Where each number is measured.</w:t>
      </w:r>
      <w:r>
        <w:t xml:space="preserve"> </w:t>
      </w:r>
      <w:r>
        <w:t xml:space="preserve">The paper reports two environments. The in-house panel</w:t>
      </w:r>
      <w:r>
        <w:t xml:space="preserve"> </w:t>
      </w:r>
      <w:r>
        <w:t xml:space="preserve">(§3.1–§3.6) runs on the Apple Silicon laptop described in §2.5. The Open Problems results</w:t>
      </w:r>
      <w:r>
        <w:t xml:space="preserve"> </w:t>
      </w:r>
      <w:r>
        <w:t xml:space="preserve">(§3.3) run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instances (32 vCPU, 247 GB) through OP’s own Nextflow</w:t>
      </w:r>
      <w:r>
        <w:t xml:space="preserve"> </w:t>
      </w:r>
      <w:r>
        <w:t xml:space="preserve">pipeline, two tasks at a time.</w:t>
      </w:r>
    </w:p>
    <w:p>
      <w:pPr>
        <w:pStyle w:val="BodyText"/>
      </w:pPr>
      <w:r>
        <w:rPr>
          <w:b/>
          <w:bCs/>
        </w:rPr>
        <w:t xml:space="preserve">Accuracy</w:t>
      </w:r>
      <w:r>
        <w:t xml:space="preserve"> </w:t>
      </w:r>
      <w:r>
        <w:t xml:space="preserve">in Table 6 comes from a single AWS run covering all eleven methods, so every</w:t>
      </w:r>
      <w:r>
        <w:t xml:space="preserve"> </w:t>
      </w:r>
      <w:r>
        <w:t xml:space="preserve">score is one harness, one machine, one invocation.</w:t>
      </w:r>
    </w:p>
    <w:p>
      <w:pPr>
        <w:pStyle w:val="BodyText"/>
      </w:pPr>
      <w:r>
        <w:rPr>
          <w:b/>
          <w:bCs/>
        </w:rPr>
        <w:t xml:space="preserve">Cost</w:t>
      </w:r>
      <w:r>
        <w:t xml:space="preserve"> </w:t>
      </w:r>
      <w:r>
        <w:t xml:space="preserve">is reported as a ratio to actinn-jax rather than in seconds, because wall-clock on a</w:t>
      </w:r>
      <w:r>
        <w:t xml:space="preserve"> </w:t>
      </w:r>
      <w:r>
        <w:t xml:space="preserve">shared box depends on what else is running: 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spans 49% to 2338% across these</w:t>
      </w:r>
      <w:r>
        <w:t xml:space="preserve"> </w:t>
      </w:r>
      <w:r>
        <w:t xml:space="preserve">methods, and actinn-jax itself averaged 165 s/dataset when scheduled alongside OP’s seven and</w:t>
      </w:r>
      <w:r>
        <w:t xml:space="preserve"> </w:t>
      </w:r>
      <w:r>
        <w:t xml:space="preserve">87 s/dataset alongside our four. Ratios taken within one run are stable where absolute times</w:t>
      </w:r>
      <w:r>
        <w:t xml:space="preserve"> </w:t>
      </w:r>
      <w:r>
        <w:t xml:space="preserve">are not, and actinn-jax was included in both runs to join them. Peak memory does not move</w:t>
      </w:r>
      <w:r>
        <w:t xml:space="preserve"> </w:t>
      </w:r>
      <w:r>
        <w:t xml:space="preserve">with contention and is reported as measured.</w:t>
      </w:r>
    </w:p>
    <w:bookmarkEnd w:id="44"/>
    <w:bookmarkStart w:id="47" w:name="ablations"/>
    <w:p>
      <w:pPr>
        <w:pStyle w:val="Heading2"/>
      </w:pPr>
      <w:r>
        <w:t xml:space="preserve">Ablations</w:t>
      </w:r>
    </w:p>
    <w:p>
      <w:pPr>
        <w:pStyle w:val="FirstParagraph"/>
      </w:pPr>
      <w:r>
        <w:t xml:space="preserve">Three cheap interventions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gene-space MLP gains or loses against heavier</w:t>
      </w:r>
      <w:r>
        <w:t xml:space="preserve"> </w:t>
      </w:r>
      <w:r>
        <w:t xml:space="preserve">methods, all selectable without test labels: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standardization</w:t>
      </w:r>
      <w:r>
        <w:t xml:space="preserve"> </w:t>
      </w:r>
      <w:r>
        <w:t xml:space="preserve">— z-score each selected gene by the reference’s frozen mean/std</w:t>
      </w:r>
      <w:r>
        <w:t xml:space="preserve"> </w:t>
      </w:r>
      <w:r>
        <w:t xml:space="preserve">and apply to the query (a scArches-style domain alignment). Opt-in, because it shifts the</w:t>
      </w:r>
      <w:r>
        <w:t xml:space="preserve"> </w:t>
      </w:r>
      <w:r>
        <w:t xml:space="preserve">probability calibration the abstain thresholds are tuned against.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Gene budget</w:t>
      </w:r>
      <w:r>
        <w:t xml:space="preserve"> </w:t>
      </w:r>
      <w:r>
        <w:t xml:space="preserve">— Open Problems feeds every method 1,000 HVGs; we sweep wider panels and</w:t>
      </w:r>
      <w:r>
        <w:t xml:space="preserve"> </w:t>
      </w:r>
      <w:r>
        <w:t xml:space="preserve">select per dataset by</w:t>
      </w:r>
      <w:r>
        <w:t xml:space="preserve"> </w:t>
      </w:r>
      <w:r>
        <w:rPr>
          <w:b/>
          <w:bCs/>
        </w:rPr>
        <w:t xml:space="preserve">held-out reference cross-validation</w:t>
      </w:r>
      <w:r>
        <w:t xml:space="preserve">, which is label-free with</w:t>
      </w:r>
      <w:r>
        <w:t xml:space="preserve"> </w:t>
      </w:r>
      <w:r>
        <w:t xml:space="preserve">respect to the test 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Protein-embedding featurization</w:t>
      </w:r>
      <w:r>
        <w:t xml:space="preserve"> </w:t>
      </w:r>
      <w:r>
        <w:t xml:space="preserve">(negative control). A CPU-only featurization in the</w:t>
      </w:r>
      <w:r>
        <w:t xml:space="preserve"> </w:t>
      </w:r>
      <w:r>
        <w:t xml:space="preserve">style of</w:t>
      </w:r>
      <w:r>
        <w:t xml:space="preserve"> </w:t>
      </w:r>
      <w:r>
        <w:rPr>
          <w:b/>
          <w:bCs/>
        </w:rPr>
        <w:t xml:space="preserve">Universal Cell Embeddings (UCE)</w:t>
      </w:r>
      <w:r>
        <w:t xml:space="preserve"> </w:t>
      </w:r>
      <w:hyperlink r:id="rId45">
        <w:r>
          <w:rPr>
            <w:rStyle w:val="Hyperlink"/>
          </w:rPr>
          <w:t xml:space="preserve">[Rosen 2026]</w:t>
        </w:r>
      </w:hyperlink>
      <w:r>
        <w:t xml:space="preserve">: an expression-weighted mean of</w:t>
      </w:r>
      <w:r>
        <w:t xml:space="preserve"> </w:t>
      </w:r>
      <w:r>
        <w:t xml:space="preserve">ESM2</w:t>
      </w:r>
      <w:r>
        <w:t xml:space="preserve"> </w:t>
      </w:r>
      <w:hyperlink r:id="rId46">
        <w:r>
          <w:rPr>
            <w:rStyle w:val="Hyperlink"/>
          </w:rPr>
          <w:t xml:space="preserve">[Lin 2023]</w:t>
        </w:r>
      </w:hyperlink>
      <w:r>
        <w:t xml:space="preserve"> </w:t>
      </w:r>
      <w:r>
        <w:t xml:space="preserve">protein-language-model gene embeddings. It tests whether a foundation</w:t>
      </w:r>
      <w:r>
        <w:t xml:space="preserve"> </w:t>
      </w:r>
      <w:r>
        <w:t xml:space="preserve">model’s value survives a cheap pooling shortcut.</w:t>
      </w:r>
    </w:p>
    <w:bookmarkEnd w:id="47"/>
    <w:bookmarkEnd w:id="48"/>
    <w:bookmarkStart w:id="82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Sections 3.1–3.3 measure methods: eleven trained annotators over eight splits, two pretrained</w:t>
      </w:r>
      <w:r>
        <w:t xml:space="preserve"> </w:t>
      </w:r>
      <w:r>
        <w:t xml:space="preserve">annotators on the splits where that comparison is possible, and an independent run of</w:t>
      </w:r>
      <w:r>
        <w:t xml:space="preserve"> </w:t>
      </w:r>
      <w:r>
        <w:t xml:space="preserve">actinn-jax through the Open Problems label-projection benchmark. §3.4 measures how those costs</w:t>
      </w:r>
      <w:r>
        <w:t xml:space="preserve"> </w:t>
      </w:r>
      <w:r>
        <w:t xml:space="preserve">move with reference size, query size and label cardinality. §3.5 builds references from public</w:t>
      </w:r>
      <w:r>
        <w:t xml:space="preserve"> </w:t>
      </w:r>
      <w:r>
        <w:t xml:space="preserve">corpora and hands a query from a broad pass to a tissue-specific one. §3.6 covers what a</w:t>
      </w:r>
      <w:r>
        <w:t xml:space="preserve"> </w:t>
      </w:r>
      <w:r>
        <w:t xml:space="preserve">confidence threshold does when a query contains types the reference does not.</w:t>
      </w:r>
    </w:p>
    <w:bookmarkStart w:id="52" w:name="accuracy-and-cost-across-the-panel"/>
    <w:p>
      <w:pPr>
        <w:pStyle w:val="Heading2"/>
      </w:pPr>
      <w:r>
        <w:t xml:space="preserve">Accuracy and cost across the panel</w:t>
      </w:r>
    </w:p>
    <w:p>
      <w:pPr>
        <w:pStyle w:val="FirstParagraph"/>
      </w:pPr>
      <w:r>
        <w:t xml:space="preserve">Accuracy is the mean over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</w:t>
      </w:r>
      <w:r>
        <w:t xml:space="preserve"> </w:t>
      </w:r>
      <w:r>
        <w:t xml:space="preserve">excluded — its exact-match accuracy is a vocabulary artifact, see the † note below; means over all</w:t>
      </w:r>
      <w:r>
        <w:t xml:space="preserve"> </w:t>
      </w:r>
      <w:r>
        <w:t xml:space="preserve">six are ~0.08 lower for every method, and reorder only scArches and actinn-jax, by 0.0004);</w:t>
      </w:r>
      <w:r>
        <w:t xml:space="preserve"> </w:t>
      </w:r>
      <w:r>
        <w:t xml:space="preserve">macro-F1 is the mean over all six non-brain datasets, ontology concordance the mean over the</w:t>
      </w:r>
      <w:r>
        <w:t xml:space="preserve"> </w:t>
      </w:r>
      <w:r>
        <w:t xml:space="preserve">four of those that carry Cell Ontology ids; cost is the mean per query (Table 3). The two brain</w:t>
      </w:r>
      <w:r>
        <w:t xml:space="preserve"> </w:t>
      </w:r>
      <w:r>
        <w:t xml:space="preserve">splits are excluded from these aggregates and reported per dataset in Table 4, because the</w:t>
      </w:r>
      <w:r>
        <w:t xml:space="preserve"> </w:t>
      </w:r>
      <w:r>
        <w:t xml:space="preserve">columns below come from one measurement pass on an idle machine and brain was run afterwards.</w:t>
      </w:r>
      <w:r>
        <w:t xml:space="preserve"> </w:t>
      </w:r>
      <w:r>
        <w:t xml:space="preserve">Adding brain at subclass level raises every method by 0.024–0.043 and reorders nothing. Adding</w:t>
      </w:r>
      <w:r>
        <w:t xml:space="preserve"> </w:t>
      </w:r>
      <w:r>
        <w:t xml:space="preserve">both brain splits gives accuracies over eight of scANVI 0.857, linear-anova-pca 0.857,</w:t>
      </w:r>
      <w:r>
        <w:t xml:space="preserve"> </w:t>
      </w:r>
      <w:r>
        <w:t xml:space="preserve">scArches 0.853, CellTypist 0.848,</w:t>
      </w:r>
      <w:r>
        <w:t xml:space="preserve"> </w:t>
      </w:r>
      <w:r>
        <w:rPr>
          <w:b/>
          <w:bCs/>
        </w:rPr>
        <w:t xml:space="preserve">actinn-jax 0.840</w:t>
      </w:r>
      <w:r>
        <w:t xml:space="preserve">, SVM 0.835, ProtoCloud 0.817, SingleR</w:t>
      </w:r>
      <w:r>
        <w:t xml:space="preserve"> </w:t>
      </w:r>
      <w:r>
        <w:t xml:space="preserve">0.811, kNN 0.792, scTOP 0.775, scmap-cluster 0.706 — which moves actinn-jax from fourth to</w:t>
      </w:r>
      <w:r>
        <w:t xml:space="preserve"> </w:t>
      </w:r>
      <w:r>
        <w:t xml:space="preserve">fifth, behind CellTypist: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 (6)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 (4)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and cost together, ordered by accuracy. Accuracy is the mean over the five</w:t>
      </w:r>
      <w:r>
        <w:t xml:space="preserve"> </w:t>
      </w:r>
      <w:r>
        <w:t xml:space="preserve">shared-vocabulary datasets, macro-F1 is the mean over all six non-brain datasets, ontology</w:t>
      </w:r>
      <w:r>
        <w:t xml:space="preserve"> </w:t>
      </w:r>
      <w:r>
        <w:t xml:space="preserve">concordance the mean over the four of those carrying Cell Ontology ids, and cost is the mean</w:t>
      </w:r>
      <w:r>
        <w:t xml:space="preserve"> </w:t>
      </w:r>
      <w:r>
        <w:t xml:space="preserve">per query. The two brain splits are reported per dataset in Table 4 instead (see above). Bold marks the best value in a column.</w:t>
      </w:r>
    </w:p>
    <w:p>
      <w:pPr>
        <w:pStyle w:val="BodyText"/>
      </w:pPr>
      <w:r>
        <w:t xml:space="preserve">*In Table 3, scANVI does most of its work in one train+predict pass, attributed to predict.</w:t>
      </w:r>
    </w:p>
    <w:p>
      <w:pPr>
        <w:pStyle w:val="BodyText"/>
      </w:pPr>
      <w:r>
        <w:t xml:space="preserve">The top four methods span</w:t>
      </w:r>
      <w:r>
        <w:t xml:space="preserve"> </w:t>
      </w:r>
      <w:r>
        <w:rPr>
          <w:b/>
          <w:bCs/>
        </w:rPr>
        <w:t xml:space="preserve">0.008 in accuracy, ~250× in predict time</w:t>
      </w:r>
      <w:r>
        <w:t xml:space="preserve"> </w:t>
      </w:r>
      <w:r>
        <w:t xml:space="preserve">(0.24 s to 58.7 s) and</w:t>
      </w:r>
      <w:r>
        <w:t xml:space="preserve"> </w:t>
      </w:r>
      <w:r>
        <w:t xml:space="preserve">2.4× in memory. The stochastic methods move further than 0.008 between identical reruns on</w:t>
      </w:r>
      <w:r>
        <w:t xml:space="preserve"> </w:t>
      </w:r>
      <w:r>
        <w:t xml:space="preserve">their own — scArches by up to 0.024 and SVM by 0.023 across three repeats — so a rerun with</w:t>
      </w:r>
      <w:r>
        <w:t xml:space="preserve"> </w:t>
      </w:r>
      <w:r>
        <w:t xml:space="preserve">different seeds reorders second, third and fourth place. The cost column is what separates</w:t>
      </w:r>
      <w:r>
        <w:t xml:space="preserve"> </w:t>
      </w:r>
      <w:r>
        <w:t xml:space="preserve">them, and scANVI is</w:t>
      </w:r>
      <w:r>
        <w:t xml:space="preserve"> </w:t>
      </w:r>
      <w:r>
        <w:rPr>
          <w:b/>
          <w:bCs/>
        </w:rPr>
        <w:t xml:space="preserve">250× slower than actinn-jax</w:t>
      </w:r>
      <w:r>
        <w:t xml:space="preserve"> </w:t>
      </w:r>
      <w:r>
        <w:t xml:space="preserve">at accuracy that is tied within that noise.</w:t>
      </w:r>
      <w:r>
        <w:t xml:space="preserve"> </w:t>
      </w:r>
      <w:r>
        <w:t xml:space="preserve">The linear pipeline is both the most accurate and the fastest to fit, and pays for it in memory</w:t>
      </w:r>
      <w:r>
        <w:t xml:space="preserve"> </w:t>
      </w:r>
      <w:r>
        <w:t xml:space="preserve">— 4341 vs 2407 MB — because ANOVA/PCA densify a cells × genes matrix while actinn-jax stays</w:t>
      </w:r>
      <w:r>
        <w:t xml:space="preserve"> </w:t>
      </w:r>
      <w:r>
        <w:t xml:space="preserve">sparse; that 1.8× ratio holds at atlas scale (8.8 vs 16.6 GB at 49k cells, §4). The two</w:t>
      </w:r>
      <w:r>
        <w:t xml:space="preserve"> </w:t>
      </w:r>
      <w:r>
        <w:t xml:space="preserve">profiles suit different jobs: one-shot labeling, versus a reference</w:t>
      </w:r>
      <w:r>
        <w:t xml:space="preserve"> </w:t>
      </w:r>
      <w:r>
        <w:rPr>
          <w:b/>
          <w:bCs/>
        </w:rPr>
        <w:t xml:space="preserve">trained once and reused</w:t>
      </w:r>
      <w:r>
        <w:t xml:space="preserve">,</w:t>
      </w:r>
      <w:r>
        <w:t xml:space="preserve"> </w:t>
      </w:r>
      <w:r>
        <w:t xml:space="preserve">where a cached model pays fit once while the linear pipeline refits scaler/PCA/classifier for</w:t>
      </w:r>
      <w:r>
        <w:t xml:space="preserve"> </w:t>
      </w:r>
      <w:r>
        <w:t xml:space="preserve">every query. ProtoCloud’s 119 s CPU fit buys nothing at this reference size — and buys the top</w:t>
      </w:r>
      <w:r>
        <w:t xml:space="preserve"> </w:t>
      </w:r>
      <w:r>
        <w:t xml:space="preserve">accuracy at atlas scale (§3.4).</w:t>
      </w:r>
    </w:p>
    <w:p>
      <w:pPr>
        <w:pStyle w:val="BodyText"/>
      </w:pPr>
      <w:r>
        <w:t xml:space="preserve">Those four are the tuned</w:t>
      </w:r>
      <w:r>
        <w:t xml:space="preserve"> </w:t>
      </w:r>
      <w:r>
        <w:rPr>
          <w:b/>
          <w:bCs/>
        </w:rPr>
        <w:t xml:space="preserve">linear pipeline (0.839)</w:t>
      </w:r>
      <w:r>
        <w:t xml:space="preserve">, scANVI (0.836), scArches (0.831) and</w:t>
      </w:r>
      <w:r>
        <w:t xml:space="preserve"> </w:t>
      </w:r>
      <w:r>
        <w:t xml:space="preserve">actinn-jax (0.831) — led by the linear pipeline rather than by a deep model. CellTypist</w:t>
      </w:r>
      <w:r>
        <w:t xml:space="preserve"> </w:t>
      </w:r>
      <w:r>
        <w:t xml:space="preserve">(0.823) sits just outside them. actinn-jax and scANVI share the best</w:t>
      </w:r>
      <w:r>
        <w:t xml:space="preserve"> </w:t>
      </w:r>
      <w:r>
        <w:t xml:space="preserve">ontology-aware concordance at 0.811. ProtoCloud (0.790) and scTOP</w:t>
      </w:r>
      <w:r>
        <w:t xml:space="preserve"> </w:t>
      </w:r>
      <w:r>
        <w:t xml:space="preserve">(0.739) sit below that cluster on these subsampled references: both need conditions these</w:t>
      </w:r>
      <w:r>
        <w:t xml:space="preserve"> </w:t>
      </w:r>
      <w:r>
        <w:t xml:space="preserve">splits do not provide — ProtoCloud is data-hungry and becomes the strongest method once given</w:t>
      </w:r>
      <w:r>
        <w:t xml:space="preserve"> </w:t>
      </w:r>
      <w:r>
        <w:t xml:space="preserve">a real atlas (§3.4), while scTOP is built for small,</w:t>
      </w:r>
      <w:r>
        <w:t xml:space="preserve"> </w:t>
      </w:r>
      <w:r>
        <w:t xml:space="preserve">low-cardinality problems.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types)‡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 the</w:t>
      </w:r>
      <w:r>
        <w:t xml:space="preserve"> </w:t>
      </w:r>
      <w:r>
        <w:t xml:space="preserve">meaningful column. ‡ the two brain rows are the same nuclei scored at two resolutions of the</w:t>
      </w:r>
      <w:r>
        <w:t xml:space="preserve"> </w:t>
      </w:r>
      <w:r>
        <w:t xml:space="preserve">same taxonomy; see below.</w:t>
      </w:r>
    </w:p>
    <w:p>
      <w:pPr>
        <w:pStyle w:val="BodyText"/>
      </w:pPr>
      <w:r>
        <w:t xml:space="preserve">No single method leads everywhere: ProtoCloud takes three splits, the linear pipeline two,</w:t>
      </w:r>
      <w:r>
        <w:t xml:space="preserve"> </w:t>
      </w:r>
      <w:r>
        <w:t xml:space="preserve">and actinn-jax, scArches and SingleR one apiece. actinn-jax leads the cross-study liver split —</w:t>
      </w:r>
      <w:r>
        <w:t xml:space="preserve"> </w:t>
      </w:r>
      <w:r>
        <w:t xml:space="preserve">the hardest generalization regime here, and the one closest to real reference mapping — and is</w:t>
      </w:r>
      <w:r>
        <w:t xml:space="preserve"> </w:t>
      </w:r>
      <w:r>
        <w:t xml:space="preserve">second on within-dataset liver, while trailing on lung, on the 86-type blood+gut set (−4.2 pt</w:t>
      </w:r>
      <w:r>
        <w:t xml:space="preserve"> </w:t>
      </w:r>
      <w:r>
        <w:t xml:space="preserve">to the linear pipeline), and on small-n pbmc. Outside brain, the spread across the leading</w:t>
      </w:r>
      <w:r>
        <w:t xml:space="preserve"> </w:t>
      </w:r>
      <w:r>
        <w:t xml:space="preserve">methods on any one dataset is 1–4 points, and scmap-cluster is the weakest on accuracy and</w:t>
      </w:r>
      <w:r>
        <w:t xml:space="preserve"> </w:t>
      </w:r>
      <w:r>
        <w:t xml:space="preserve">macro-F1 throughout (0.23 macro-F1 on liver_cross), though not on ontology concordance.</w:t>
      </w:r>
    </w:p>
    <w:p>
      <w:pPr>
        <w:pStyle w:val="BodyText"/>
      </w:pPr>
      <w:r>
        <w:rPr>
          <w:b/>
          <w:bCs/>
        </w:rPr>
        <w:t xml:space="preserve">The two brain splits are the same nuclei at two resolutions.</w:t>
      </w:r>
      <w:r>
        <w:t xml:space="preserve"> </w:t>
      </w:r>
      <w:r>
        <w:t xml:space="preserve">At Allen’s 24 subclasses ten</w:t>
      </w:r>
      <w:r>
        <w:t xml:space="preserve"> </w:t>
      </w:r>
      <w:r>
        <w:t xml:space="preserve">of the eleven methods fall inside 0.017 of each other (0.974–0.991, with scmap-cluster alone</w:t>
      </w:r>
      <w:r>
        <w:t xml:space="preserve"> </w:t>
      </w:r>
      <w:r>
        <w:t xml:space="preserve">below at 0.901) and no method moves more than 0.003 between repeats, so that split does not</w:t>
      </w:r>
      <w:r>
        <w:t xml:space="preserve"> </w:t>
      </w:r>
      <w:r>
        <w:t xml:space="preserve">separate them. At the 151 clusters the ranking</w:t>
      </w:r>
      <w:r>
        <w:t xml:space="preserve"> </w:t>
      </w:r>
      <w:r>
        <w:rPr>
          <w:b/>
          <w:bCs/>
        </w:rPr>
        <w:t xml:space="preserve">inverts</w:t>
      </w:r>
      <w:r>
        <w:t xml:space="preserve">. SingleR leads at 0.845, having</w:t>
      </w:r>
      <w:r>
        <w:t xml:space="preserve"> </w:t>
      </w:r>
      <w:r>
        <w:t xml:space="preserve">placed eighth of eleven overall; scmap-cluster, last everywhere else at 0.646, reaches 0.810;</w:t>
      </w:r>
      <w:r>
        <w:t xml:space="preserve"> </w:t>
      </w:r>
      <w:r>
        <w:t xml:space="preserve">and actinn-jax falls to 0.741, tenth. The two correlation methods gain where the trained</w:t>
      </w:r>
      <w:r>
        <w:t xml:space="preserve"> </w:t>
      </w:r>
      <w:r>
        <w:t xml:space="preserve">classifiers lose.</w:t>
      </w:r>
    </w:p>
    <w:p>
      <w:pPr>
        <w:pStyle w:val="BodyText"/>
      </w:pPr>
      <w:r>
        <w:t xml:space="preserve">We checked three explanations for that. Every method ran at the same defaults as on the other</w:t>
      </w:r>
      <w:r>
        <w:t xml:space="preserve"> </w:t>
      </w:r>
      <w:r>
        <w:t xml:space="preserve">six splits. Raising actinn-jax’s 50 training epochs to 150 and then 400 moves it 0.741 → 0.746</w:t>
      </w:r>
      <w:r>
        <w:t xml:space="preserve"> </w:t>
      </w:r>
      <w:r>
        <w:t xml:space="preserve">→ 0.747, so eight times the training buys 0.006. And the reference is not unusually thin: this</w:t>
      </w:r>
      <w:r>
        <w:t xml:space="preserve"> </w:t>
      </w:r>
      <w:r>
        <w:t xml:space="preserve">split gives 72 reference nuclei per class against 89 on blood+gut, where actinn-jax scores</w:t>
      </w:r>
      <w:r>
        <w:t xml:space="preserve"> </w:t>
      </w:r>
      <w:r>
        <w:t xml:space="preserve">0.860. What remains is cardinality, and the provenance of the labels:</w:t>
      </w:r>
      <w:r>
        <w:t xml:space="preserve"> </w:t>
      </w:r>
      <w:r>
        <w:rPr>
          <w:b/>
          <w:bCs/>
        </w:rPr>
        <w:t xml:space="preserve">cluster-level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output of clustering this same expression space</w:t>
      </w:r>
      <w:r>
        <w:t xml:space="preserve">, which favors methods that classify</w:t>
      </w:r>
      <w:r>
        <w:t xml:space="preserve"> </w:t>
      </w:r>
      <w:r>
        <w:t xml:space="preserve">by distance to a class centroid. Methods also disagree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clusters are hard</w:t>
      </w:r>
      <w:r>
        <w:t xml:space="preserve"> </w:t>
      </w:r>
      <w:r>
        <w:t xml:space="preserve">(Supplementary Figure S5): median best-minus-worst recall 0.32 per class, mean pairwise</w:t>
      </w:r>
      <w:r>
        <w:t xml:space="preserve"> </w:t>
      </w:r>
      <w:r>
        <w:t xml:space="preserve">Spearman 0.61, concentrated in the graded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families rather than in</w:t>
      </w:r>
      <w:r>
        <w:t xml:space="preserve"> </w:t>
      </w:r>
      <w:r>
        <w:t xml:space="preserve">the rare classes.</w:t>
      </w:r>
    </w:p>
    <w:p>
      <w:pPr>
        <w:pStyle w:val="BodyText"/>
      </w:pPr>
      <w:r>
        <w:rPr>
          <w:b/>
          <w:bCs/>
        </w:rPr>
        <w:t xml:space="preserve">† lung_cross exact-match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HLCA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HLCA’s</w:t>
      </w:r>
      <w:r>
        <w:t xml:space="preserve"> </w:t>
      </w:r>
      <w:r>
        <w:t xml:space="preserve">vocabulary, so no classifier can emit the exact string. The mismatch is granularity: HLCA’s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HLCA-trained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HLCA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~0.75 for the trained methods (0.67–0.79 across the full panel,</w:t>
      </w:r>
      <w:r>
        <w:rPr>
          <w:b/>
          <w:bCs/>
        </w:rPr>
        <w:t xml:space="preserve"> </w:t>
      </w:r>
      <w:r>
        <w:rPr>
          <w:b/>
          <w:bCs/>
        </w:rPr>
        <w:t xml:space="preserve">highest for ProtoCloud)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exact-match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p>
      <w:pPr>
        <w:pStyle w:val="BodyText"/>
      </w:pPr>
      <w:r>
        <w:drawing>
          <wp:inline>
            <wp:extent cx="5334000" cy="2668748"/>
            <wp:effectExtent b="0" l="0" r="0" t="0"/>
            <wp:docPr descr="accuracy and cost across every split" title="" id="5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 (lung_cross excluded, see the † note above).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</w:t>
      </w:r>
      <w:r>
        <w:t xml:space="preserve"> </w:t>
      </w:r>
      <w:r>
        <w:rPr>
          <w:b/>
          <w:bCs/>
        </w:rPr>
        <w:t xml:space="preserve">gap to whichever method leads that split</w:t>
      </w:r>
      <w:r>
        <w:t xml:space="preserve">. Raw accuracy is dominated by</w:t>
      </w:r>
      <w:r>
        <w:t xml:space="preserve"> </w:t>
      </w:r>
      <w:r>
        <w:t xml:space="preserve">how hard a split is — 0.94 on pbmc against 0.36 on cross-dataset lung — so a range drawn over</w:t>
      </w:r>
      <w:r>
        <w:t xml:space="preserve"> </w:t>
      </w:r>
      <w:r>
        <w:t xml:space="preserve">raw accuracy would measure the datasets rather than the methods; zero is that split’s leader,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the splits a method wins.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splits, log</w:t>
      </w:r>
      <w:r>
        <w:t xml:space="preserve"> </w:t>
      </w:r>
      <w:r>
        <w:t xml:space="preserve">scale. Diamonds are means over splits, small dots the individual splits, and the line runs from</w:t>
      </w:r>
      <w:r>
        <w:t xml:space="preserve"> </w:t>
      </w:r>
      <w:r>
        <w:t xml:space="preserve">the method’s worst split to its best. Ranges over the three repeats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split are too</w:t>
      </w:r>
      <w:r>
        <w:t xml:space="preserve"> </w:t>
      </w:r>
      <w:r>
        <w:t xml:space="preserve">small to draw here: only scArches (0.024), SVM (0.023) and scANVI (0.015) move more than</w:t>
      </w:r>
      <w:r>
        <w:t xml:space="preserve"> </w:t>
      </w:r>
      <w:r>
        <w:t xml:space="preserve">0.012, and six of the eleven are exactly deterministic. Per-split detail, unnormalized and with those repeat ranges,</w:t>
      </w:r>
      <w:r>
        <w:t xml:space="preserve"> </w:t>
      </w:r>
      <w:r>
        <w:t xml:space="preserve">is Supplementary Figure S11.</w:t>
      </w:r>
    </w:p>
    <w:p>
      <w:pPr>
        <w:pStyle w:val="BodyText"/>
      </w:pPr>
      <w:r>
        <w:t xml:space="preserve">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 per-split leader on average while spanning</w:t>
      </w:r>
      <w:r>
        <w:t xml:space="preserve"> </w:t>
      </w:r>
      <w:r>
        <w:rPr>
          <w:b/>
          <w:bCs/>
        </w:rPr>
        <w:t xml:space="preserve">2.5 s to</w:t>
      </w:r>
      <w:r>
        <w:rPr>
          <w:b/>
          <w:bCs/>
        </w:rPr>
        <w:t xml:space="preserve"> </w:t>
      </w:r>
      <w:r>
        <w:rPr>
          <w:b/>
          <w:bCs/>
        </w:rPr>
        <w:t xml:space="preserve">51 s</w:t>
      </w:r>
      <w:r>
        <w:t xml:space="preserve">, and the full panel spans</w:t>
      </w:r>
      <w:r>
        <w:t xml:space="preserve"> </w:t>
      </w:r>
      <w:r>
        <w:rPr>
          <w:b/>
          <w:bCs/>
        </w:rPr>
        <w:t xml:space="preserve">0.4 s to 111 s</w:t>
      </w:r>
      <w:r>
        <w:t xml:space="preserve">. scANVI and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are the closest to the leader — mean gap 0.012 and 0.013, with the linear pipeline leading two</w:t>
      </w:r>
      <w:r>
        <w:t xml:space="preserve"> </w:t>
      </w:r>
      <w:r>
        <w:t xml:space="preserve">splits — and one of them costs 47 s against the other’s 2.5 s. kNN and scTOP are cheaper still,</w:t>
      </w:r>
      <w:r>
        <w:t xml:space="preserve"> </w:t>
      </w:r>
      <w:r>
        <w:t xml:space="preserve">at 0.4 s and 1.8 s, and give up 0.078 and 0.094, so they hold a different corner of the</w:t>
      </w:r>
      <w:r>
        <w:t xml:space="preserve"> </w:t>
      </w:r>
      <w:r>
        <w:t xml:space="preserve">frontier rather than sitting inside it.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sits mid-panel: mean gap 0.030 at 10.0 s,</w:t>
      </w:r>
      <w:r>
        <w:t xml:space="preserve"> </w:t>
      </w:r>
      <w:r>
        <w:t xml:space="preserve">leading the cross-study liver split. What separates it is not on this plot but on the scaling</w:t>
      </w:r>
      <w:r>
        <w:t xml:space="preserve"> </w:t>
      </w:r>
      <w:r>
        <w:t xml:space="preserve">axes of §3.4 — predict time flat in reference size, and a bounded memory margin over the linear</w:t>
      </w:r>
      <w:r>
        <w:t xml:space="preserve"> </w:t>
      </w:r>
      <w:r>
        <w:t xml:space="preserve">pipeline that holds to atlas scale.</w:t>
      </w:r>
    </w:p>
    <w:p>
      <w:pPr>
        <w:pStyle w:val="BodyText"/>
      </w:pPr>
      <w:r>
        <w:t xml:space="preserve">Every method’s spread across splits is larger than the distance between the leading methods:</w:t>
      </w:r>
      <w:r>
        <w:t xml:space="preserve"> </w:t>
      </w:r>
      <w:r>
        <w:t xml:space="preserve">scmap-cluster spans 0.035 to 0.451, SingleR 0.000 to 0.191, actinn-jax 0.000 to 0.104. A mean</w:t>
      </w:r>
      <w:r>
        <w:t xml:space="preserve"> </w:t>
      </w:r>
      <w:r>
        <w:t xml:space="preserve">over a panel of datasets, including the one in Table 3, summarizes that spread with a single</w:t>
      </w:r>
      <w:r>
        <w:t xml:space="preserve"> </w:t>
      </w:r>
      <w:r>
        <w:t xml:space="preserve">number.</w:t>
      </w:r>
    </w:p>
    <w:bookmarkEnd w:id="52"/>
    <w:bookmarkStart w:id="53" w:name="X4bd8ddfe821726bbfd8dcfc5dc99e629c6ab126"/>
    <w:p>
      <w:pPr>
        <w:pStyle w:val="Heading2"/>
      </w:pPr>
      <w:r>
        <w:t xml:space="preserve">Pretrained annotators and zero-shot foundation models</w:t>
      </w:r>
    </w:p>
    <w:p>
      <w:pPr>
        <w:pStyle w:val="FirstParagraph"/>
      </w:pPr>
      <w:r>
        <w:t xml:space="preserve">The two methods with fixed label vocabularies (§2.2, §2.4) cannot appear in Table 3, since</w:t>
      </w:r>
      <w:r>
        <w:t xml:space="preserve"> </w:t>
      </w:r>
      <w:r>
        <w:t xml:space="preserve">they do not predict the dataset’s label strings. They are scored by ontology concordance on</w:t>
      </w:r>
      <w:r>
        <w:t xml:space="preserve"> </w:t>
      </w:r>
      <w:r>
        <w:t xml:space="preserve">the three datasets where reference and query both carry CL ids and share a vocabulary, with</w:t>
      </w:r>
      <w:r>
        <w:t xml:space="preserve"> </w:t>
      </w:r>
      <w:r>
        <w:t xml:space="preserve">actinn-jax on the same splits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lung_intra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actinn-jax (reference-trained)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0.27–0.37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(pretrained)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2.2–3.4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 (zero-shot)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Pretrained annotators, scored by ontology concordance only, on the three datasets</w:t>
      </w:r>
      <w:r>
        <w:t xml:space="preserve"> </w:t>
      </w:r>
      <w:r>
        <w:t xml:space="preserve">where reference and query both carry Cell Ontology ids and share a vocabulary — with reference-trained actinn-jax on</w:t>
      </w:r>
      <w:r>
        <w:t xml:space="preserve"> </w:t>
      </w:r>
      <w:r>
        <w:t xml:space="preserve">the same splits for scale. The two sides were trained on different information; see the text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The two sides of this table were given different information.</w:t>
      </w:r>
      <w:r>
        <w:t xml:space="preserve"> </w:t>
      </w:r>
      <w:r>
        <w:t xml:space="preserve">actinn-jax is trained on a</w:t>
      </w:r>
      <w:r>
        <w:t xml:space="preserve"> </w:t>
      </w:r>
      <w:r>
        <w:t xml:space="preserve">reference drawn from the same data and scored in its own vocabulary; Pan-human Azimuth has</w:t>
      </w:r>
      <w:r>
        <w:t xml:space="preserve"> </w:t>
      </w:r>
      <w:r>
        <w:t xml:space="preserve">never seen these datasets and answers in a different one, and is mapped into the query’s</w:t>
      </w:r>
      <w:r>
        <w:t xml:space="preserve"> </w:t>
      </w:r>
      <w:r>
        <w:t xml:space="preserve">vocabulary through the ontology. The gap between a curated supervised annotator and a</w:t>
      </w:r>
      <w:r>
        <w:t xml:space="preserve"> </w:t>
      </w:r>
      <w:r>
        <w:t xml:space="preserve">zero-shot foundation head is the comparison the table supports — 0.700 against 0.201 on lung —</w:t>
      </w:r>
      <w:r>
        <w:t xml:space="preserve"> </w:t>
      </w:r>
      <w:r>
        <w:t xml:space="preserve">and §3.5 uses Azimuth as a broad pass in its own right and as a distillation teacher. Peak memory is</w:t>
      </w:r>
      <w:r>
        <w:t xml:space="preserve"> </w:t>
      </w:r>
      <w:r>
        <w:t xml:space="preserve">indistinguishable between actinn-jax and Azimuth (1.65–2.1 GB on every dataset).</w:t>
      </w:r>
    </w:p>
    <w:p>
      <w:pPr>
        <w:pStyle w:val="BodyText"/>
      </w:pPr>
      <w:r>
        <w:rPr>
          <w:b/>
          <w:bCs/>
        </w:rPr>
        <w:t xml:space="preserve">scPRINT, run zero-shot.</w:t>
      </w:r>
      <w:r>
        <w:t xml:space="preserve"> </w:t>
      </w:r>
      <w:r>
        <w:t xml:space="preserve">The foundation model is run as a zero-shot predictor with no</w:t>
      </w:r>
      <w:r>
        <w:t xml:space="preserve"> </w:t>
      </w:r>
      <w:r>
        <w:t xml:space="preserve">training on the reference, as a 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exact-match accuracy 0.029 / ontology concordance 0.201, taking 62 s for 2,694 query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against actinn-jax’s 0.894 in 0.23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</w:t>
      </w:r>
      <w:r>
        <w:t xml:space="preserve"> </w:t>
      </w:r>
      <w:r>
        <w:t xml:space="preserve">(</w:t>
      </w:r>
      <w:r>
        <w:rPr>
          <w:b/>
          <w:bCs/>
        </w:rPr>
        <w:t xml:space="preserve">~280×</w:t>
      </w:r>
      <w:r>
        <w:t xml:space="preserve"> </w:t>
      </w:r>
      <w:r>
        <w:t xml:space="preserve">actinn-jax) and weak. It is reported on lung alone because its fixed vocabulary</w:t>
      </w:r>
      <w:r>
        <w:t xml:space="preserve"> </w:t>
      </w:r>
      <w:r>
        <w:t xml:space="preserve">cannot score the other datasets: the liver and blood+gut sets contain Cell Ontology terms</w:t>
      </w:r>
      <w:r>
        <w:t xml:space="preserve"> </w:t>
      </w:r>
      <w:r>
        <w:t xml:space="preserve">absent from its label set, and it declines them rather than guessing. That is an inherent</w:t>
      </w:r>
      <w:r>
        <w:t xml:space="preserve"> </w:t>
      </w:r>
      <w:r>
        <w:t xml:space="preserve">property of a zero-shot label head rather than a defect, but it does mean the raw predictions</w:t>
      </w:r>
      <w:r>
        <w:t xml:space="preserve"> </w:t>
      </w:r>
      <w:r>
        <w:t xml:space="preserve">are not a drop-in annotator. It is why the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</w:t>
      </w:r>
      <w:r>
        <w:t xml:space="preserve"> </w:t>
      </w:r>
      <w:r>
        <w:t xml:space="preserve">its learned structure — to shape a small trained model, and never its zero-shot labels.</w:t>
      </w:r>
    </w:p>
    <w:bookmarkEnd w:id="53"/>
    <w:bookmarkStart w:id="56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54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</w:t>
      </w:r>
      <w:r>
        <w:t xml:space="preserve"> </w:t>
      </w:r>
      <w:hyperlink r:id="rId55">
        <w:r>
          <w:rPr>
            <w:rStyle w:val="Hyperlink"/>
          </w:rPr>
          <w:t xml:space="preserve">[Chen &amp; Guestrin 2016]</w:t>
        </w:r>
      </w:hyperlink>
      <w:r>
        <w:t xml:space="preserve"> </w:t>
      </w:r>
      <w:r>
        <w:t xml:space="preserve">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§3.2 externally.</w:t>
      </w:r>
    </w:p>
    <w:p>
      <w:pPr>
        <w:pStyle w:val="BodyText"/>
      </w:pPr>
      <w:r>
        <w:t xml:space="preserve">Means over the six datasets, every method through the same pipeline on one instance: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SVM (SGD)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GB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All eleven methods on the six Open Problems datasets, ordered by accuracy. Bold</w:t>
      </w:r>
      <w:r>
        <w:t xml:space="preserve"> </w:t>
      </w:r>
      <w:r>
        <w:t xml:space="preserve">marks the five components we contributed.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per-dataset wall-clock relative to</w:t>
      </w:r>
      <w:r>
        <w:t xml:space="preserve"> </w:t>
      </w:r>
      <w:r>
        <w:t xml:space="preserve">actinn-jax (§2.10), for which 1.00× is roughly two minutes.</w:t>
      </w:r>
    </w:p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matches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half the cost</w:t>
      </w:r>
      <w:r>
        <w:t xml:space="preserve">, and</w:t>
      </w:r>
      <w:r>
        <w:t xml:space="preserve"> </w:t>
      </w:r>
      <w:r>
        <w:rPr>
          <w:b/>
          <w:bCs/>
        </w:rPr>
        <w:t xml:space="preserve">beats xgboost on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at 5.5× less runtime and 4× less memory</w:t>
      </w:r>
      <w:r>
        <w:t xml:space="preserve"> </w:t>
      </w:r>
      <w:r>
        <w:t xml:space="preserve">(21 vs 81 GB). Everything cheaper — knn,</w:t>
      </w:r>
      <w:r>
        <w:t xml:space="preserve"> </w:t>
      </w:r>
      <w:r>
        <w:t xml:space="preserve">logistic_regression, naive_bayes, scTOP — is less accurate, and the one heavyweight is slower</w:t>
      </w:r>
      <w:r>
        <w:t xml:space="preserve"> </w:t>
      </w:r>
      <w:r>
        <w:t xml:space="preserve">and heavier. Nothing here beats it on accuracy and cost together.</w:t>
      </w:r>
    </w:p>
    <w:p>
      <w:pPr>
        <w:pStyle w:val="BodyText"/>
      </w:pPr>
      <w:r>
        <w:rPr>
          <w:b/>
          <w:bCs/>
        </w:rPr>
        <w:t xml:space="preserve">The tuned linear pipeline loses its §3.1 advantage on both axes.</w:t>
      </w:r>
      <w:r>
        <w:t xml:space="preserve"> </w:t>
      </w:r>
      <w:r>
        <w:t xml:space="preserve">It places third on</w:t>
      </w:r>
      <w:r>
        <w:t xml:space="preserve"> </w:t>
      </w:r>
      <w:r>
        <w:t xml:space="preserve">accuracy (0.828, behind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and actinn-jax), and where it fits 7×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actinn-jax</w:t>
      </w:r>
      <w:r>
        <w:t xml:space="preserve"> </w:t>
      </w:r>
      <w:r>
        <w:t xml:space="preserve">on the in-house panel it costs</w:t>
      </w:r>
      <w:r>
        <w:t xml:space="preserve"> </w:t>
      </w:r>
      <w:r>
        <w:rPr>
          <w:b/>
          <w:bCs/>
        </w:rPr>
        <w:t xml:space="preserve">2.7× more</w:t>
      </w:r>
      <w:r>
        <w:t xml:space="preserve"> </w:t>
      </w:r>
      <w:r>
        <w:t xml:space="preserve">here. The input budget explains the reversal: OP</w:t>
      </w:r>
      <w:r>
        <w:t xml:space="preserve"> </w:t>
      </w:r>
      <w:r>
        <w:t xml:space="preserve">hands every method 1,000 HVGs, and an ANOVA→PCA→logistic pipeline pays for the decomposition</w:t>
      </w:r>
      <w:r>
        <w:t xml:space="preserve"> </w:t>
      </w:r>
      <w:r>
        <w:t xml:space="preserve">on every query while a gene-space MLP amortizes it into one fit. CellTypist (7.6×) and the</w:t>
      </w:r>
      <w:r>
        <w:t xml:space="preserve"> </w:t>
      </w:r>
      <w:r>
        <w:t xml:space="preserve">SGD-SVM (6.1×) shift the same way. Neither a cost ranking nor an accuracy ranking survives a</w:t>
      </w:r>
      <w:r>
        <w:t xml:space="preserve"> </w:t>
      </w:r>
      <w:r>
        <w:t xml:space="preserve">change of feature budget — which is why we report both panels rather than picking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rStyle w:val="VerbatimChar"/>
        </w:rPr>
        <w:t xml:space="preserve">logistic_regression</w:t>
      </w:r>
      <w:r>
        <w:t xml:space="preserve"> </w:t>
      </w:r>
      <w:r>
        <w:t xml:space="preserve">places fifth on accuracy but first on macro-F1 (0.689), at the</w:t>
      </w:r>
      <w:r>
        <w:t xml:space="preserve"> </w:t>
      </w:r>
      <w:r>
        <w:t xml:space="preserve">second-lowest cost. Across datasets spanning 13 to 160 cell types, accuracy</w:t>
      </w:r>
      <w:r>
        <w:t xml:space="preserve"> </w:t>
      </w:r>
      <w:r>
        <w:t xml:space="preserve">and macro-F1 do not order the panel the same way.</w:t>
      </w:r>
    </w:p>
    <w:p>
      <w:pPr>
        <w:pStyle w:val="BodyText"/>
      </w:pPr>
      <w:r>
        <w:rPr>
          <w:b/>
          <w:bCs/>
        </w:rPr>
        <w:t xml:space="preserve">scTOP collapses on two of the six and is weak on a third.</w:t>
      </w:r>
      <w:r>
        <w:t xml:space="preserve"> </w:t>
      </w:r>
      <w:r>
        <w:t xml:space="preserve">Its mean (0.581) is not a</w:t>
      </w:r>
      <w:r>
        <w:t xml:space="preserve"> </w:t>
      </w:r>
      <w:r>
        <w:t xml:space="preserve">uniformly weak result but 0.042 on tabula_sapiens, 0.124 on gtex_v9 and 0.495 on</w:t>
      </w:r>
      <w:r>
        <w:t xml:space="preserve"> </w:t>
      </w:r>
      <w:r>
        <w:t xml:space="preserve">immune_cell_atlas against 0.90–0.99 on the other three. Open Problems hands every method 1,000</w:t>
      </w:r>
      <w:r>
        <w:t xml:space="preserve"> </w:t>
      </w:r>
      <w:r>
        <w:t xml:space="preserve">HVGs, and scTOP’s rank projection needs genes expressed in an appreciable fraction of cells;</w:t>
      </w:r>
      <w:r>
        <w:t xml:space="preserve"> </w:t>
      </w:r>
      <w:r>
        <w:t xml:space="preserve">after its expression filter only</w:t>
      </w:r>
      <w:r>
        <w:t xml:space="preserve"> </w:t>
      </w:r>
      <w:r>
        <w:rPr>
          <w:b/>
          <w:bCs/>
        </w:rPr>
        <w:t xml:space="preserve">106 of 1,000</w:t>
      </w:r>
      <w:r>
        <w:t xml:space="preserve"> </w:t>
      </w:r>
      <w:r>
        <w:t xml:space="preserve">genes survive on gtex_v9 and 210 on</w:t>
      </w:r>
      <w:r>
        <w:t xml:space="preserve"> </w:t>
      </w:r>
      <w:r>
        <w:t xml:space="preserve">tabula_sapiens, against 306–405 where it works. At that point some test cells retain no</w:t>
      </w:r>
      <w:r>
        <w:t xml:space="preserve"> </w:t>
      </w:r>
      <w:r>
        <w:t xml:space="preserve">counts at all — 185 of 11,508 on gtex_v9 — and cannot be placed; they are scored as wrong</w:t>
      </w:r>
      <w:r>
        <w:t xml:space="preserve"> </w:t>
      </w:r>
      <w:r>
        <w:t xml:space="preserve">rather than dropped, so 0.124 is a floor. This is the same limitation §3.1 reports from the</w:t>
      </w:r>
      <w:r>
        <w:t xml:space="preserve"> </w:t>
      </w:r>
      <w:r>
        <w:t xml:space="preserve">other direction: scTOP is built for small, low-cardinality problems, and a fixed 1,000-HVG</w:t>
      </w:r>
      <w:r>
        <w:t xml:space="preserve"> </w:t>
      </w:r>
      <w:r>
        <w:t xml:space="preserve">budget over 53 and 160 types is neither.</w:t>
      </w:r>
    </w:p>
    <w:p>
      <w:pPr>
        <w:pStyle w:val="BodyText"/>
      </w:pPr>
      <w:r>
        <w:rPr>
          <w:b/>
          <w:bCs/>
        </w:rPr>
        <w:t xml:space="preserve">Three cheap ablations, and their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starves a gene-space MLP more</w:t>
      </w:r>
      <w:r>
        <w:t xml:space="preserve"> </w:t>
      </w:r>
      <w:r>
        <w:t xml:space="preserve">than it starves the others.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hypomap. The budget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 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</w:t>
      </w:r>
      <w:r>
        <w:t xml:space="preserve"> </w:t>
      </w:r>
      <w:r>
        <w:t xml:space="preserve">tabula_sapiens, and a trivial query-cells-per-class check independently flags it, so the</w:t>
      </w:r>
      <w:r>
        <w:t xml:space="preserve"> </w:t>
      </w:r>
      <w:r>
        <w:t xml:space="preserve">budget can be set deterministically per dataset (Supplementary Figures S12 and S13).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bookmarkEnd w:id="56"/>
    <w:bookmarkStart w:id="66" w:name="scaling-reference-size-query-size-memory"/>
    <w:p>
      <w:pPr>
        <w:pStyle w:val="Heading2"/>
      </w:pPr>
      <w:r>
        <w:t xml:space="preserve">Scaling: reference size, query size, memory</w:t>
      </w:r>
    </w:p>
    <w:p>
      <w:pPr>
        <w:pStyle w:val="FirstParagraph"/>
      </w:pPr>
      <w:r>
        <w:drawing>
          <wp:inline>
            <wp:extent cx="5334000" cy="3539981"/>
            <wp:effectExtent b="0" l="0" r="0" t="0"/>
            <wp:docPr descr="scaling" title="" id="5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9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with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the axis that separates them is cardinality,</w:t>
      </w:r>
      <w:r>
        <w:t xml:space="preserve"> </w:t>
      </w:r>
      <w:r>
        <w:t xml:space="preserve">where actinn-jax rises 3.1× from 5 to 86 types against the tuned linear pipeline’s 11.0×, the</w:t>
      </w:r>
      <w:r>
        <w:t xml:space="preserve"> </w:t>
      </w:r>
      <w:r>
        <w:t xml:space="preserve">two meeting at ~0.23 s. SVM and kNN predict faster than either throughout. scTOP’s</w:t>
      </w:r>
      <w:r>
        <w:t xml:space="preserve"> </w:t>
      </w:r>
      <w:r>
        <w:t xml:space="preserve">smallest-reference point carries one-time import cost and is not a scaling effect.</w:t>
      </w:r>
    </w:p>
    <w:p>
      <w:pPr>
        <w:pStyle w:val="BodyText"/>
      </w:pPr>
      <w:r>
        <w:t xml:space="preserve">Fit time grows with reference size and with #cell types for all trained methods —</w:t>
      </w:r>
      <w:r>
        <w:t xml:space="preserve"> </w:t>
      </w:r>
      <w:r>
        <w:t xml:space="preserve">actinn-jax’s fit goes 2 s → 16 s → 22 s as the reference grows 965 → 14.8k → 24k cells, below</w:t>
      </w:r>
      <w:r>
        <w:t xml:space="preserve"> </w:t>
      </w:r>
      <w:r>
        <w:t xml:space="preserve">CellTypist (7 s → 71 s → 109 s) and SVM (4 s → 46 s → 75 s) at every size in the sweep, and</w:t>
      </w:r>
      <w:r>
        <w:t xml:space="preserve"> </w:t>
      </w:r>
      <w:r>
        <w:t xml:space="preserve">above the tuned linear pipeline (1 s → 7 s → 12 s); kNN does no work at fit time beyond</w:t>
      </w:r>
      <w:r>
        <w:t xml:space="preserve"> </w:t>
      </w:r>
      <w:r>
        <w:t xml:space="preserve">storing the reference, so all of its cost lands on predict, where it is also the least accurate</w:t>
      </w:r>
      <w:r>
        <w:t xml:space="preserve"> </w:t>
      </w:r>
      <w:r>
        <w:t xml:space="preserve">method here.</w:t>
      </w:r>
    </w:p>
    <w:p>
      <w:pPr>
        <w:pStyle w:val="BodyText"/>
      </w:pPr>
      <w:r>
        <w:t xml:space="preserve">On the other axis,</w:t>
      </w:r>
      <w:r>
        <w:t xml:space="preserve"> </w:t>
      </w:r>
      <w:r>
        <w:rPr>
          <w:b/>
          <w:bCs/>
        </w:rPr>
        <w:t xml:space="preserve">predict stays sub-second for every method across the whole sweep</w:t>
      </w:r>
      <w:r>
        <w:t xml:space="preserve">, and</w:t>
      </w:r>
      <w:r>
        <w:t xml:space="preserve"> </w:t>
      </w:r>
      <w:r>
        <w:t xml:space="preserve">the first thing to say is that flatness in reference size does not distinguish anything: all</w:t>
      </w:r>
      <w:r>
        <w:t xml:space="preserve"> </w:t>
      </w:r>
      <w:r>
        <w:t xml:space="preserve">six move by 1.1–2.5× while the reference grows twenty-five-fold, because a cached model’s</w:t>
      </w:r>
      <w:r>
        <w:t xml:space="preserve"> </w:t>
      </w:r>
      <w:r>
        <w:t xml:space="preserve">inference does not depend on how many cells trained it. Cardinality is where they part.</w:t>
      </w:r>
      <w:r>
        <w:t xml:space="preserve"> </w:t>
      </w:r>
      <w:r>
        <w:t xml:space="preserve">actinn-jax rises 3.1× from 5 to 86 types (0.074 → 0.228 s); the tuned linear pipeline starts</w:t>
      </w:r>
      <w:r>
        <w:t xml:space="preserve"> </w:t>
      </w:r>
      <w:r>
        <w:t xml:space="preserve">three times cheaper and rises 11.0× (0.022 → 0.244 s), so the two arrive at the same place;</w:t>
      </w:r>
      <w:r>
        <w:t xml:space="preserve"> </w:t>
      </w:r>
      <w:r>
        <w:t xml:space="preserve">scTOP rises 10.5×. Neither of the two cheapest is ours — SVM (0.016–0.055 s) and kNN</w:t>
      </w:r>
      <w:r>
        <w:t xml:space="preserve"> </w:t>
      </w:r>
      <w:r>
        <w:t xml:space="preserve">(0.018–0.100 s) predict faster than actinn-jax everywhere, and pay for it in accuracy (Table 3).</w:t>
      </w:r>
    </w:p>
    <w:p>
      <w:pPr>
        <w:pStyle w:val="BodyText"/>
      </w:pPr>
      <w:r>
        <w:t xml:space="preserve">What the cached reference buys is therefore not a uniquely flat predict but the right</w:t>
      </w:r>
      <w:r>
        <w:t xml:space="preserve"> </w:t>
      </w:r>
      <w:r>
        <w:rPr>
          <w:i/>
          <w:iCs/>
        </w:rPr>
        <w:t xml:space="preserve">ratio</w:t>
      </w:r>
      <w:r>
        <w:t xml:space="preserve">:</w:t>
      </w:r>
      <w:r>
        <w:t xml:space="preserve"> </w:t>
      </w:r>
      <w:r>
        <w:t xml:space="preserve">a sub-second call recurring against a fit of 12–109 s that is paid once. That is the regime</w:t>
      </w:r>
      <w:r>
        <w:t xml:space="preserve"> </w:t>
      </w:r>
      <w:r>
        <w:t xml:space="preserve">that matters when one reference serves many queries, and it is what makes chaining several</w:t>
      </w:r>
      <w:r>
        <w:t xml:space="preserve"> </w:t>
      </w:r>
      <w:r>
        <w:t xml:space="preserve">annotation stages practical; it would be as true of the linear pipeline if it cached its</w:t>
      </w:r>
      <w:r>
        <w:t xml:space="preserve"> </w:t>
      </w:r>
      <w:r>
        <w:t xml:space="preserve">scaler, PCA and classifier rather than refitting them per query. (This sweep’s own</w:t>
      </w:r>
      <w:r>
        <w:t xml:space="preserve"> </w:t>
      </w:r>
      <w:r>
        <w:t xml:space="preserve">memory column is process-cumulative and not a clean per-size measurement; the atlas sweep</w:t>
      </w:r>
      <w:r>
        <w:t xml:space="preserve"> </w:t>
      </w:r>
      <w:r>
        <w:t xml:space="preserve">below and the matrix of §3.1 both run each method in its own process, and are what the</w:t>
      </w:r>
      <w:r>
        <w:t xml:space="preserve"> </w:t>
      </w:r>
      <w:r>
        <w:t xml:space="preserve">memory numbers come from.)</w:t>
      </w:r>
    </w:p>
    <w:p>
      <w:pPr>
        <w:pStyle w:val="BodyText"/>
      </w:pPr>
      <w:r>
        <w:rPr>
          <w:b/>
          <w:bCs/>
        </w:rPr>
        <w:t xml:space="preserve">At atlas scale the ordering changes.</w:t>
      </w:r>
      <w:r>
        <w:t xml:space="preserve"> </w:t>
      </w:r>
      <w:r>
        <w:t xml:space="preserve">The sweep above stops at 24k cells. Carrying four</w:t>
      </w:r>
      <w:r>
        <w:t xml:space="preserve"> </w:t>
      </w:r>
      <w:r>
        <w:t xml:space="preserve">methods to full atlas size — 49k reference cells on lung, 47k on the HLiCA liver atlas —</w:t>
      </w:r>
      <w:r>
        <w:t xml:space="preserve"> </w:t>
      </w:r>
      <w:r>
        <w:t xml:space="preserve">reverses the accuracy ranking (Figure 3A, B). ProtoCloud goes from the weakest method at 3k</w:t>
      </w:r>
      <w:r>
        <w:t xml:space="preserve"> </w:t>
      </w:r>
      <w:r>
        <w:t xml:space="preserve">cells (0.722 lung, 0.581 liver) to the strongest at full scale (</w:t>
      </w:r>
      <w:r>
        <w:rPr>
          <w:b/>
          <w:bCs/>
        </w:rPr>
        <w:t xml:space="preserve">0.976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0.905</w:t>
      </w:r>
      <w:r>
        <w:t xml:space="preserve">),</w:t>
      </w:r>
      <w:r>
        <w:t xml:space="preserve"> </w:t>
      </w:r>
      <w:r>
        <w:t xml:space="preserve">clear of the linear pipeline (0.939, 0.863) and actinn-jax (0.936, 0.824), at 19× actinn-jax’s</w:t>
      </w:r>
      <w:r>
        <w:t xml:space="preserve"> </w:t>
      </w:r>
      <w:r>
        <w:t xml:space="preserve">CPU fit cost. scTOP gains little from scale on lung (0.819 → 0.846, barely outside its</w:t>
      </w:r>
      <w:r>
        <w:t xml:space="preserve"> </w:t>
      </w:r>
      <w:r>
        <w:t xml:space="preserve">interval) and loses ground on liver (0.657 → 0.583). Peak memory grows for every method, but the spread stays</w:t>
      </w:r>
      <w:r>
        <w:t xml:space="preserve"> </w:t>
      </w:r>
      <w:r>
        <w:rPr>
          <w:b/>
          <w:bCs/>
        </w:rPr>
        <w:t xml:space="preserve">bounded at ~2×</w:t>
      </w:r>
      <w:r>
        <w:t xml:space="preserve"> </w:t>
      </w:r>
      <w:r>
        <w:t xml:space="preserve">rather than widening (Figure 3C): the linear pipeline is heaviest throughout — 13.2 GB against</w:t>
      </w:r>
      <w:r>
        <w:t xml:space="preserve"> </w:t>
      </w:r>
      <w:r>
        <w:t xml:space="preserve">actinn-jax’s 6.1 GB at 49k lung cells, a 2.15× ratio — and scTOP crosses over from lightest to</w:t>
      </w:r>
      <w:r>
        <w:t xml:space="preserve"> </w:t>
      </w:r>
      <w:r>
        <w:t xml:space="preserve">heaviest as its rank processing densifies (9.3 vs 6.5 GB at 47k liver cells). Conclusions drawn</w:t>
      </w:r>
      <w:r>
        <w:t xml:space="preserve"> </w:t>
      </w:r>
      <w:r>
        <w:t xml:space="preserve">from subsampled references do not transfer to atlas scale, in either direction.</w:t>
      </w:r>
    </w:p>
    <w:p>
      <w:pPr>
        <w:pStyle w:val="BodyText"/>
      </w:pPr>
      <w:r>
        <w:drawing>
          <wp:inline>
            <wp:extent cx="5334000" cy="1309240"/>
            <wp:effectExtent b="0" l="0" r="0" t="0"/>
            <wp:docPr descr="accuracy and memory against reference size on two atlases" title="" id="6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9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</w:t>
      </w:r>
      <w:r>
        <w:t xml:space="preserve"> </w:t>
      </w:r>
      <w:r>
        <w:t xml:space="preserve">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</w:t>
      </w:r>
      <w:r>
        <w:t xml:space="preserve"> </w:t>
      </w:r>
      <w:r>
        <w:t xml:space="preserve">the reference (1,035 to 16,398 cells on lung), so they narrow from left to right; each point is</w:t>
      </w:r>
      <w:r>
        <w:t xml:space="preserve"> </w:t>
      </w:r>
      <w:r>
        <w:t xml:space="preserve">a single run.</w:t>
      </w:r>
    </w:p>
    <w:p>
      <w:pPr>
        <w:pStyle w:val="BodyText"/>
      </w:pPr>
      <w:r>
        <w:rPr>
          <w:b/>
          <w:bCs/>
        </w:rPr>
        <w:t xml:space="preserve">Annotating an atlas costs less than building one.</w:t>
      </w:r>
      <w:r>
        <w:t xml:space="preserve"> </w:t>
      </w:r>
      <w:r>
        <w:t xml:space="preserve">The sweeps above grow the reference</w:t>
      </w:r>
      <w:r>
        <w:t xml:space="preserve"> </w:t>
      </w:r>
      <w:r>
        <w:t xml:space="preserve">and hold the query fixed. The reverse case is the one a user meets most often – a reference</w:t>
      </w:r>
      <w:r>
        <w:t xml:space="preserve"> </w:t>
      </w:r>
      <w:r>
        <w:t xml:space="preserve">built once, then pointed at everything – and it is where a flat inference profile should</w:t>
      </w:r>
      <w:r>
        <w:t xml:space="preserve"> </w:t>
      </w:r>
      <w:r>
        <w:t xml:space="preserve">pay. Holding the reference at 17,753 cells drawn from seven HLiCA studies and growing the</w:t>
      </w:r>
      <w:r>
        <w:t xml:space="preserve"> </w:t>
      </w:r>
      <w:r>
        <w:t xml:space="preserve">query from 50k cells to the entire 524,699-cell atlas, actinn-jax annotates the whole atlas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31 s</w:t>
      </w:r>
      <w:r>
        <w:t xml:space="preserve"> </w:t>
      </w:r>
      <w:r>
        <w:t xml:space="preserve">(Figure 4A). Accuracy on the withheld eighth study is 0.720 and does not move</w:t>
      </w:r>
      <w:r>
        <w:t xml:space="preserve"> </w:t>
      </w:r>
      <w:r>
        <w:t xml:space="preserve">across the range, as it should not: the subsets are nested.</w:t>
      </w:r>
    </w:p>
    <w:p>
      <w:pPr>
        <w:pStyle w:val="BodyText"/>
      </w:pPr>
      <w:r>
        <w:t xml:space="preserve">The tuned linear pipeline stays about twice as slow throughout, annotating the same atlas in</w:t>
      </w:r>
      <w:r>
        <w:t xml:space="preserve"> </w:t>
      </w:r>
      <w:r>
        <w:t xml:space="preserve">67 s, and the gap narrows as the query grows: actinn-jax gives up 21% of its rate across the</w:t>
      </w:r>
      <w:r>
        <w:t xml:space="preserve"> </w:t>
      </w:r>
      <w:r>
        <w:t xml:space="preserve">range, 21,400 → 16,800 cells/s, against the linear pipeline’s 10%, 8,700 → 7,900 (Figure 4B).</w:t>
      </w:r>
      <w:r>
        <w:t xml:space="preserve"> </w:t>
      </w:r>
      <w:r>
        <w:t xml:space="preserve">The advantage is 2.4× at 50k cells and 2.1× at the full atlas. It is the cheaper method whose</w:t>
      </w:r>
      <w:r>
        <w:t xml:space="preserve"> </w:t>
      </w:r>
      <w:r>
        <w:t xml:space="preserve">per-cell cost drifts upward, which is the opposite of what a flat-inference argument predicts,</w:t>
      </w:r>
      <w:r>
        <w:t xml:space="preserve"> </w:t>
      </w:r>
      <w:r>
        <w:t xml:space="preserve">so the claim this axis supports is a roughly twofold constant factor rather than flatness. The</w:t>
      </w:r>
      <w:r>
        <w:t xml:space="preserve"> </w:t>
      </w:r>
      <w:r>
        <w:t xml:space="preserve">flat-inference result in §3.1 holds along the reference axis, which is a different axis from</w:t>
      </w:r>
      <w:r>
        <w:t xml:space="preserve"> </w:t>
      </w:r>
      <w:r>
        <w:t xml:space="preserve">this one.</w:t>
      </w:r>
    </w:p>
    <w:p>
      <w:pPr>
        <w:pStyle w:val="BodyText"/>
      </w:pPr>
      <w:r>
        <w:rPr>
          <w:b/>
          <w:bCs/>
        </w:rPr>
        <w:t xml:space="preserve">Which of the two is cheaper depends on how many cells are annotated at once.</w:t>
      </w:r>
      <w:r>
        <w:t xml:space="preserve"> </w:t>
      </w:r>
      <w:r>
        <w:t xml:space="preserve">The two</w:t>
      </w:r>
      <w:r>
        <w:t xml:space="preserve"> </w:t>
      </w:r>
      <w:r>
        <w:t xml:space="preserve">measurements do not overlap — every query in this sweep holds at least 50,000 cells, every</w:t>
      </w:r>
      <w:r>
        <w:t xml:space="preserve"> </w:t>
      </w:r>
      <w:r>
        <w:t xml:space="preserve">query in Table 3 at most 13,550 — but across both the ordering turns over once, with query</w:t>
      </w:r>
      <w:r>
        <w:t xml:space="preserve"> </w:t>
      </w:r>
      <w:r>
        <w:t xml:space="preserve">size, at around 2,500 cells: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524,699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actinn-jax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pipeline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66.8</w:t>
            </w:r>
          </w:p>
        </w:tc>
      </w:tr>
    </w:tbl>
    <w:p>
      <w:pPr>
        <w:pStyle w:val="BodyText"/>
      </w:pPr>
      <w:r>
        <w:t xml:space="preserve">Below the crossover the linear pipeline is 1.5–1.7× faster; above it actinn-jax is, by 1.2×</w:t>
      </w:r>
      <w:r>
        <w:t xml:space="preserve"> </w:t>
      </w:r>
      <w:r>
        <w:t xml:space="preserve">at 2,694 cells, 1.9× at 13,550 and 2.1–2.4× across the atlas sweep. Part of the small-query</w:t>
      </w:r>
      <w:r>
        <w:t xml:space="preserve"> </w:t>
      </w:r>
      <w:r>
        <w:t xml:space="preserve">end is one-time cost: calling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repeatedly on one liver_intra model and query settles</w:t>
      </w:r>
      <w:r>
        <w:t xml:space="preserve"> </w:t>
      </w:r>
      <w:r>
        <w:t xml:space="preserve">from 0.24–0.30 s on the first call to 0.12–0.13 s by the third (</w:t>
      </w:r>
      <w:r>
        <w:rPr>
          <w:rStyle w:val="VerbatimChar"/>
        </w:rPr>
        <w:t xml:space="preserve">predict_overhead_probe.py</w:t>
      </w:r>
      <w:r>
        <w:t xml:space="preserve">),</w:t>
      </w:r>
      <w:r>
        <w:t xml:space="preserve"> </w:t>
      </w:r>
      <w:r>
        <w:t xml:space="preserve">so roughly 0.12–0.17 s is compilation and warm-up — about half the first call at 1,332 cells</w:t>
      </w:r>
      <w:r>
        <w:t xml:space="preserve"> </w:t>
      </w:r>
      <w:r>
        <w:t xml:space="preserve">and a tenth of it at 13,550. The harness times the first call, which is what a one-shot</w:t>
      </w:r>
      <w:r>
        <w:t xml:space="preserve"> </w:t>
      </w:r>
      <w:r>
        <w:t xml:space="preserve">annotation costs.</w:t>
      </w:r>
    </w:p>
    <w:p>
      <w:pPr>
        <w:pStyle w:val="BodyText"/>
      </w:pPr>
      <w:r>
        <w:t xml:space="preserve">The large-query end has a different mechanism. actinn-jax’s throughput rises with the query,</w:t>
      </w:r>
      <w:r>
        <w:t xml:space="preserve"> </w:t>
      </w:r>
      <w:r>
        <w:t xml:space="preserve">from 7,900 cells/s at 657 cells to 24,000 at 13,550, settling at 16,800–21,500 across the atlas</w:t>
      </w:r>
      <w:r>
        <w:t xml:space="preserve"> </w:t>
      </w:r>
      <w:r>
        <w:t xml:space="preserve">sweep; the linear pipeline holds 11,500–14,000 on the small queries and falls to 7,900–8,700 at</w:t>
      </w:r>
      <w:r>
        <w:t xml:space="preserve"> </w:t>
      </w:r>
      <w:r>
        <w:t xml:space="preserve">atlas scale, because its dense feature block leaves cache: 20,000 genes over 1,332 cells is</w:t>
      </w:r>
      <w:r>
        <w:t xml:space="preserve"> </w:t>
      </w:r>
      <w:r>
        <w:t xml:space="preserve">107 MB, and the same 20,000 genes over a 50,000-cell block is 4 GB and bounded by memory</w:t>
      </w:r>
      <w:r>
        <w:t xml:space="preserve"> </w:t>
      </w:r>
      <w:r>
        <w:t xml:space="preserve">bandwidth. A benchmark reporting one query size cannot show any of this.</w:t>
      </w:r>
    </w:p>
    <w:p>
      <w:pPr>
        <w:pStyle w:val="BodyText"/>
      </w:pPr>
      <w:r>
        <w:rPr>
          <w:b/>
          <w:bCs/>
        </w:rPr>
        <w:t xml:space="preserve">Peak memory does not separate them at all.</w:t>
      </w:r>
      <w:r>
        <w:t xml:space="preserve"> </w:t>
      </w:r>
      <w:r>
        <w:t xml:space="preserve">Both land at 33.2 GB on the full atlas</w:t>
      </w:r>
      <w:r>
        <w:t xml:space="preserve"> </w:t>
      </w:r>
      <w:r>
        <w:t xml:space="preserve">(Figure 4C), because on this axis peak memory measures holding the query rather than running</w:t>
      </w:r>
      <w:r>
        <w:t xml:space="preserve"> </w:t>
      </w:r>
      <w:r>
        <w:t xml:space="preserve">the method: at the largest size, prediction added nothing measurable on top of the resident</w:t>
      </w:r>
      <w:r>
        <w:t xml:space="preserve"> </w:t>
      </w:r>
      <w:r>
        <w:t xml:space="preserve">query for either. A caller streaming from disk would pay less, and would pay it equally. The</w:t>
      </w:r>
      <w:r>
        <w:t xml:space="preserve"> </w:t>
      </w:r>
      <w:r>
        <w:t xml:space="preserve">~2× memory band reported above is likewise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does not carry to</w:t>
      </w:r>
      <w:r>
        <w:t xml:space="preserve"> </w:t>
      </w:r>
      <w:r>
        <w:t xml:space="preserve">this one; only the reference axis separates these methods on memory.</w:t>
      </w:r>
    </w:p>
    <w:p>
      <w:pPr>
        <w:pStyle w:val="BodyText"/>
      </w:pPr>
      <w:r>
        <w:t xml:space="preserve">Two conditions of this measurement. Prediction in our linear adapter blocks the query into</w:t>
      </w:r>
      <w:r>
        <w:t xml:space="preserve"> </w:t>
      </w:r>
      <w:r>
        <w:t xml:space="preserve">50,000-cell chunks. Unblocked, it densifies 20,000 genes for the whole query at once, which</w:t>
      </w:r>
      <w:r>
        <w:t xml:space="preserve"> </w:t>
      </w:r>
      <w:r>
        <w:t xml:space="preserve">needs roughly 126 GB at the full atlas and does not complete on a 51 GB machine — a property of</w:t>
      </w:r>
      <w:r>
        <w:t xml:space="preserve"> </w:t>
      </w:r>
      <w:r>
        <w:t xml:space="preserve">the wrapper rather than of the recipe. Blocking leaves every prediction bit-identical, and is</w:t>
      </w:r>
      <w:r>
        <w:t xml:space="preserve"> </w:t>
      </w:r>
      <w:r>
        <w:t xml:space="preserve">verified to. Second, these are laptop numbers, so each point is the fastest of three runs: a competing process can only add time, and stalls on this</w:t>
      </w:r>
      <w:r>
        <w:t xml:space="preserve"> </w:t>
      </w:r>
      <w:r>
        <w:t xml:space="preserve">machine are large and sporadic rather than small and Gaussian – one repeat turned a 50 s fit</w:t>
      </w:r>
      <w:r>
        <w:t xml:space="preserve"> </w:t>
      </w:r>
      <w:r>
        <w:t xml:space="preserve">into 975 s, and no mean over three runs would survive that. Peak memory takes the largest of</w:t>
      </w:r>
      <w:r>
        <w:t xml:space="preserve"> </w:t>
      </w:r>
      <w:r>
        <w:t xml:space="preserve">three instead, since</w:t>
      </w:r>
      <w:r>
        <w:t xml:space="preserve"> </w:t>
      </w:r>
      <w:r>
        <w:rPr>
          <w:rStyle w:val="VerbatimChar"/>
        </w:rPr>
        <w:t xml:space="preserve">ru_maxrss</w:t>
      </w:r>
      <w:r>
        <w:t xml:space="preserve"> </w:t>
      </w:r>
      <w:r>
        <w:t xml:space="preserve">counts resident pages and therefore reports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 run</w:t>
      </w:r>
      <w:r>
        <w:t xml:space="preserve"> </w:t>
      </w:r>
      <w:r>
        <w:t xml:space="preserve">needed whenever the OS evicts under pressure. Per-run values are released with the harness so</w:t>
      </w:r>
      <w:r>
        <w:t xml:space="preserve"> </w:t>
      </w:r>
      <w:r>
        <w:t xml:space="preserve">the spread is inspectable rather than summarised away.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: cost against query size" title="" id="6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cells. Table 3’s queries are all smaller than the leftmost point here (657 to 13,550</w:t>
      </w:r>
      <w:r>
        <w:t xml:space="preserve"> </w:t>
      </w:r>
      <w:r>
        <w:t xml:space="preserve">cells), so the two do not overlap.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21% for actinn-jax and</w:t>
      </w:r>
      <w:r>
        <w:t xml:space="preserve"> </w:t>
      </w:r>
      <w:r>
        <w:t xml:space="preserve">10% for the linear pipeline, narrowing the advantage from 2.4× to 2.1×.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 which</w:t>
      </w:r>
      <w:r>
        <w:t xml:space="preserve"> </w:t>
      </w:r>
      <w:r>
        <w:t xml:space="preserve">does not distinguish them — on this axis it measures holding the query, not running the method. Three</w:t>
      </w:r>
      <w:r>
        <w:t xml:space="preserve"> </w:t>
      </w:r>
      <w:r>
        <w:t xml:space="preserve">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 contention can</w:t>
      </w:r>
      <w:r>
        <w:t xml:space="preserve"> </w:t>
      </w:r>
      <w:r>
        <w:t xml:space="preserve">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 run that the OS</w:t>
      </w:r>
      <w:r>
        <w:t xml:space="preserve"> </w:t>
      </w:r>
      <w:r>
        <w:t xml:space="preserve">has partly evicted. Per-run values are in</w:t>
      </w:r>
      <w:r>
        <w:t xml:space="preserve"> </w:t>
      </w:r>
      <w:r>
        <w:rPr>
          <w:rStyle w:val="VerbatimChar"/>
        </w:rPr>
        <w:t xml:space="preserve">results_query_scaling.csv</w:t>
      </w:r>
      <w:r>
        <w:t xml:space="preserve">.</w:t>
      </w:r>
    </w:p>
    <w:bookmarkEnd w:id="66"/>
    <w:bookmarkStart w:id="74" w:name="Xc9dceee078609b29b94d39a6e7152d1db72365a"/>
    <w:p>
      <w:pPr>
        <w:pStyle w:val="Heading2"/>
      </w:pPr>
      <w:r>
        <w:t xml:space="preserve">Building references, and the broad→focused workflow</w:t>
      </w:r>
    </w:p>
    <w:p>
      <w:pPr>
        <w:pStyle w:val="FirstParagraph"/>
      </w:pPr>
      <w:r>
        <w:t xml:space="preserve">What actinn-jax is built around is not a single classifier but a</w:t>
      </w:r>
      <w:r>
        <w:t xml:space="preserve"> </w:t>
      </w:r>
      <w:r>
        <w:rPr>
          <w:b/>
          <w:bCs/>
        </w:rPr>
        <w:t xml:space="preserve">two-pass workflow</w:t>
      </w:r>
      <w:r>
        <w:t xml:space="preserve"> </w:t>
      </w:r>
      <w:r>
        <w:t xml:space="preserve">that</w:t>
      </w:r>
      <w:r>
        <w:t xml:space="preserve"> </w:t>
      </w:r>
      <w:r>
        <w:t xml:space="preserve">matches how annotation is actually done: get a broad call fast, then sharpen it where it</w:t>
      </w:r>
      <w:r>
        <w:t xml:space="preserve"> </w:t>
      </w:r>
      <w:r>
        <w:t xml:space="preserve">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 memory-bounded</w:t>
      </w:r>
      <w:r>
        <w:t xml:space="preserve"> </w:t>
      </w:r>
      <w:r>
        <w:t xml:space="preserve">inference (§3.1, §3.4), the whole workflow runs on a laptop.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the broad pass and the focused pass on one query" title="" id="6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The workflow on a withheld HLiCA liver study (3,396 cells), same embedding</w:t>
      </w:r>
      <w:r>
        <w:t xml:space="preserve"> </w:t>
      </w:r>
      <w:r>
        <w:t xml:space="preserve">throughout.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census reference spreads 144 of its 798 labels over the query</w:t>
      </w:r>
      <w:r>
        <w:t xml:space="preserve"> </w:t>
      </w:r>
      <w:r>
        <w:t xml:space="preserve">(concordance</w:t>
      </w:r>
      <w:r>
        <w:t xml:space="preserve"> </w:t>
      </w:r>
      <w:r>
        <w:rPr>
          <w:b/>
          <w:bCs/>
        </w:rPr>
        <w:t xml:space="preserve">0.34</w:t>
      </w:r>
      <w:r>
        <w:t xml:space="preserve">) — it is not trying to name subtypes.</w:t>
      </w:r>
      <w:r>
        <w:t xml:space="preserve"> </w:t>
      </w:r>
      <w:r>
        <w:rPr>
          <w:i/>
          <w:iCs/>
        </w:rPr>
        <w:t xml:space="preserve">Center:</w:t>
      </w:r>
      <w:r>
        <w:t xml:space="preserve"> </w:t>
      </w:r>
      <w:r>
        <w:t xml:space="preserve">those calls resolved to</w:t>
      </w:r>
      <w:r>
        <w:t xml:space="preserve"> </w:t>
      </w:r>
      <w:r>
        <w:t xml:space="preserve">tissue through the reference’s per-class tissue map;</w:t>
      </w:r>
      <w:r>
        <w:t xml:space="preserve"> </w:t>
      </w:r>
      <w:r>
        <w:rPr>
          <w:b/>
          <w:bCs/>
        </w:rPr>
        <w:t xml:space="preserve">76%</w:t>
      </w:r>
      <w:r>
        <w:t xml:space="preserve"> </w:t>
      </w:r>
      <w:r>
        <w:t xml:space="preserve">of tissue-specific calls say</w:t>
      </w:r>
      <w:r>
        <w:t xml:space="preserve"> </w:t>
      </w:r>
      <w:r>
        <w:t xml:space="preserve">liver against 4% for the next candidate, which is the decision that selects the next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Right of center:</w:t>
      </w:r>
      <w:r>
        <w:t xml:space="preserve"> </w:t>
      </w:r>
      <w:r>
        <w:t xml:space="preserve">the 36-type liver reference re-annotates the same 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now tracking the clusters.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study’s own labels on the shared palette.</w:t>
      </w:r>
      <w:r>
        <w:t xml:space="preserve"> </w:t>
      </w:r>
      <w:r>
        <w:t xml:space="preserve">Both models are leakage-free for this query: the focused reference is trained only on the six</w:t>
      </w:r>
      <w:r>
        <w:t xml:space="preserve"> </w:t>
      </w:r>
      <w:r>
        <w:t xml:space="preserve">non-withheld studies. Abstention is off in all panels, so the numbers measure labeling</w:t>
      </w:r>
      <w:r>
        <w:t xml:space="preserve"> </w:t>
      </w:r>
      <w:r>
        <w:t xml:space="preserve">rather than coverage; §3.6 covers abstain separately.</w:t>
      </w:r>
    </w:p>
    <w:p>
      <w:pPr>
        <w:pStyle w:val="BodyText"/>
      </w:pPr>
      <w:r>
        <w:rPr>
          <w:b/>
          <w:bCs/>
        </w:rPr>
        <w:t xml:space="preserve">The broad pass — census-scale.</w:t>
      </w:r>
      <w:r>
        <w:t xml:space="preserve"> </w:t>
      </w:r>
      <w:r>
        <w:t xml:space="preserve">A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(§3.6). This is the orientation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The broad pass can be built from a model instead of from labels.</w:t>
      </w:r>
      <w:r>
        <w:t xml:space="preserve"> </w:t>
      </w:r>
      <w:r>
        <w:t xml:space="preserve">The census route above needs a</w:t>
      </w:r>
      <w:r>
        <w:t xml:space="preserve"> </w:t>
      </w:r>
      <w:r>
        <w:t xml:space="preserve">foundation model on a GPU to discover its hierarchy. A pretrained pan-human annotator</w:t>
      </w:r>
      <w:r>
        <w:t xml:space="preserve"> </w:t>
      </w:r>
      <w:r>
        <w:t xml:space="preserve">already has one — Pan-human Azimuth publishes an 8-level typology with every node mapped to</w:t>
      </w:r>
      <w:r>
        <w:t xml:space="preserve"> </w:t>
      </w:r>
      <w:r>
        <w:t xml:space="preserve">a Cell Ontology term — so labeling a corpus with it and training actinn-jax on those labels</w:t>
      </w:r>
      <w:r>
        <w:t xml:space="preserve"> </w:t>
      </w:r>
      <w:r>
        <w:t xml:space="preserve">transfers both the vocabulary and the structure. That build needs</w:t>
      </w:r>
      <w:r>
        <w:t xml:space="preserve"> </w:t>
      </w:r>
      <w:r>
        <w:rPr>
          <w:b/>
          <w:bCs/>
        </w:rPr>
        <w:t xml:space="preserve">no GPU and no</w:t>
      </w:r>
      <w:r>
        <w:rPr>
          <w:b/>
          <w:bCs/>
        </w:rPr>
        <w:t xml:space="preserve"> </w:t>
      </w:r>
      <w:r>
        <w:rPr>
          <w:b/>
          <w:bCs/>
        </w:rPr>
        <w:t xml:space="preserve">labeled input</w:t>
      </w:r>
      <w:r>
        <w:t xml:space="preserve">, only raw human counts: under ten minutes of CPU on 85k cells drawn from</w:t>
      </w:r>
      <w:r>
        <w:t xml:space="preserve"> </w:t>
      </w:r>
      <w:r>
        <w:t xml:space="preserve">three atlases plus a census-wide sample. On</w:t>
      </w:r>
      <w:r>
        <w:t xml:space="preserve"> </w:t>
      </w:r>
      <w:r>
        <w:t xml:space="preserve">3,396 withheld cross-study liver cells: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3"/>
        <w:gridCol w:w="1046"/>
        <w:gridCol w:w="1046"/>
        <w:gridCol w:w="1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 (</w:t>
            </w:r>
            <w:r>
              <w:rPr>
                <w:rStyle w:val="VerbatimChar"/>
              </w:rPr>
              <w:t xml:space="preserve">broad_human_v1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(</w:t>
            </w:r>
            <w:r>
              <w:rPr>
                <w:rStyle w:val="VerbatimChar"/>
                <w:b/>
                <w:bCs/>
              </w:rPr>
              <w:t xml:space="preserve">panhuman_distill_v1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Three broad-pass entry points on 3,396 withheld cross-study liver cells: the</w:t>
      </w:r>
      <w:r>
        <w:t xml:space="preserve"> </w:t>
      </w:r>
      <w:r>
        <w:t xml:space="preserve">census-built reference, the Pan-human Azimuth teacher, and the model distilled from that</w:t>
      </w:r>
      <w:r>
        <w:t xml:space="preserve"> </w:t>
      </w:r>
      <w:r>
        <w:t xml:space="preserve">teacher. All three are scored on identical cells through one script (below), with every call</w:t>
      </w:r>
      <w:r>
        <w:t xml:space="preserve"> </w:t>
      </w:r>
      <w:r>
        <w:t xml:space="preserve">mapped to a Cell Ontology id at prediction time: scoring a cached prediction dump instead</w:t>
      </w:r>
      <w:r>
        <w:t xml:space="preserve"> </w:t>
      </w:r>
      <w:r>
        <w:t xml:space="preserve">leaves 9.5% of Azimuth’s calls unmapped, and an unmapped call scores as wrong, which costs it</w:t>
      </w:r>
      <w:r>
        <w:t xml:space="preserve"> </w:t>
      </w:r>
      <w:r>
        <w:t xml:space="preserve">0.028 concordance it did not lose to the student.</w:t>
      </w:r>
    </w:p>
    <w:p>
      <w:pPr>
        <w:pStyle w:val="BodyText"/>
      </w:pPr>
      <w:r>
        <w:t xml:space="preserve">This makes the entry point as accurate as its teacher and ~6–9× faster, and more accurate</w:t>
      </w:r>
      <w:r>
        <w:t xml:space="preserve"> </w:t>
      </w:r>
      <w:r>
        <w:t xml:space="preserve">than building it from the census directly, and it answers in a harmonized, ontology-mapped vocabulary rather than raw census</w:t>
      </w:r>
      <w:r>
        <w:t xml:space="preserve"> </w:t>
      </w:r>
      <w:r>
        <w:t xml:space="preserve">strings. Withholding a whole atlas from the corpus, the distilled model tracks the one it</w:t>
      </w:r>
      <w:r>
        <w:t xml:space="preserve"> </w:t>
      </w:r>
      <w:r>
        <w:t xml:space="preserve">was distilled from to within</w:t>
      </w:r>
      <w:r>
        <w:t xml:space="preserve"> </w:t>
      </w:r>
      <w:r>
        <w:rPr>
          <w:b/>
          <w:bCs/>
        </w:rPr>
        <w:t xml:space="preserve">1.5 points</w:t>
      </w:r>
      <w:r>
        <w:t xml:space="preserve"> </w:t>
      </w:r>
      <w:r>
        <w:t xml:space="preserve">on lung (0.695 vs 0.710) and</w:t>
      </w:r>
      <w:r>
        <w:t xml:space="preserve"> </w:t>
      </w:r>
      <w:r>
        <w:rPr>
          <w:b/>
          <w:bCs/>
        </w:rPr>
        <w:t xml:space="preserve">3.0</w:t>
      </w:r>
      <w:r>
        <w:t xml:space="preserve"> </w:t>
      </w:r>
      <w:r>
        <w:t xml:space="preserve">on liver</w:t>
      </w:r>
      <w:r>
        <w:t xml:space="preserve"> </w:t>
      </w:r>
      <w:r>
        <w:t xml:space="preserve">(0.481 vs 0.511). Distillation itself therefore costs very little: on data neither model was</w:t>
      </w:r>
      <w:r>
        <w:t xml:space="preserve"> </w:t>
      </w:r>
      <w:r>
        <w:t xml:space="preserve">built for, the student stays within a few points of its teacher. What holds the student back</w:t>
      </w:r>
      <w:r>
        <w:t xml:space="preserve"> </w:t>
      </w:r>
      <w:r>
        <w:t xml:space="preserve">is which tissues and studies its training corpus happened to contain — widening the corpus</w:t>
      </w:r>
      <w:r>
        <w:t xml:space="preserve"> </w:t>
      </w:r>
      <w:r>
        <w:t xml:space="preserve">should move these numbers, changing the distillation procedure should not. Two caveats keep this</w:t>
      </w:r>
      <w:r>
        <w:t xml:space="preserve"> </w:t>
      </w:r>
      <w:r>
        <w:t xml:space="preserve">modest. Student and teacher are level on this query (0.406 against 0.408), and both</w:t>
      </w:r>
      <w:r>
        <w:t xml:space="preserve"> </w:t>
      </w:r>
      <w:r>
        <w:t xml:space="preserve">actinn-jax models draw on a census sample that may include these studies while Pan-human</w:t>
      </w:r>
      <w:r>
        <w:t xml:space="preserve"> </w:t>
      </w:r>
      <w:r>
        <w:t xml:space="preserve">Azimuth does not, so read the distilled model as</w:t>
      </w:r>
      <w:r>
        <w:t xml:space="preserve"> </w:t>
      </w:r>
      <w:r>
        <w:rPr>
          <w:i/>
          <w:iCs/>
        </w:rPr>
        <w:t xml:space="preserve">comparable to</w:t>
      </w:r>
      <w:r>
        <w:t xml:space="preserve"> </w:t>
      </w:r>
      <w:r>
        <w:t xml:space="preserve">the one it distills rather</w:t>
      </w:r>
      <w:r>
        <w:t xml:space="preserve"> </w:t>
      </w:r>
      <w:r>
        <w:t xml:space="preserve">than better.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</w:t>
      </w:r>
      <w:r>
        <w:t xml:space="preserve"> </w:t>
      </w:r>
      <w:r>
        <w:t xml:space="preserve">that model’s trained abstention: its confidence separates right from wrong poorly (keeping the 90.5% of</w:t>
      </w:r>
      <w:r>
        <w:t xml:space="preserve"> </w:t>
      </w:r>
      <w:r>
        <w:t xml:space="preserve">cells it calls with probability at least 0.5 moves concordance only 0.406 → 0.427), so the calibrated broad-pass abstain</w:t>
      </w:r>
      <w:r>
        <w:t xml:space="preserve"> </w:t>
      </w:r>
      <w:r>
        <w:t xml:space="preserve">of §3.6 belongs to the census-built reference until this one is recalibrated.</w:t>
      </w:r>
    </w:p>
    <w:p>
      <w:pPr>
        <w:pStyle w:val="BodyText"/>
      </w:pPr>
      <w:r>
        <w:rPr>
          <w:b/>
          <w:bCs/>
        </w:rPr>
        <w:t xml:space="preserve">The focused pass — tissue-specific.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Holding out a whole HLiCA</w:t>
      </w:r>
      <w:r>
        <w:t xml:space="preserve"> </w:t>
      </w:r>
      <w:r>
        <w:t xml:space="preserve">study (56,545 cells, a different research center’s protocol), the broad census model scores</w:t>
      </w:r>
      <w:r>
        <w:t xml:space="preserve"> </w:t>
      </w:r>
      <w:r>
        <w:t xml:space="preserve">exact-match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38-type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A better broad call does not make the focused call better.</w:t>
      </w:r>
      <w:r>
        <w:t xml:space="preserve"> </w:t>
      </w:r>
      <w:r>
        <w:t xml:space="preserve">On the leakage-free</w:t>
      </w:r>
      <w:r>
        <w:t xml:space="preserve"> </w:t>
      </w:r>
      <w:r>
        <w:t xml:space="preserve">cross-study liver split, substituting the stronger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for the broad pass</w:t>
      </w:r>
      <w:r>
        <w:t xml:space="preserve"> </w:t>
      </w:r>
      <w:r>
        <w:t xml:space="preserve">raises the broad score (ontology 0.408 against 0.338) and leaves the focused score</w:t>
      </w:r>
      <w:r>
        <w:t xml:space="preserve"> </w:t>
      </w:r>
      <w:r>
        <w:t xml:space="preserve">unchanged. Using that</w:t>
      </w:r>
      <w:r>
        <w:t xml:space="preserve"> </w:t>
      </w:r>
      <w:r>
        <w:t xml:space="preserve">broad call to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the focused pass’s classes — the zero-retrain masking actinn-jax provides — makes</w:t>
      </w:r>
      <w:r>
        <w:t xml:space="preserve"> </w:t>
      </w:r>
      <w:r>
        <w:t xml:space="preserve">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, 0.731 → 0.708: the broad call matches the true lineage on 85.8%</w:t>
      </w:r>
      <w:r>
        <w:t xml:space="preserve"> </w:t>
      </w:r>
      <w:r>
        <w:t xml:space="preserve">of cells, and the 14% it misses cost more than the 86% it gets right can gain, since a wrong</w:t>
      </w:r>
      <w:r>
        <w:t xml:space="preserve"> </w:t>
      </w:r>
      <w:r>
        <w:t xml:space="preserve">mask discards the correct class outright. A</w:t>
      </w:r>
      <w:r>
        <w:t xml:space="preserve"> </w:t>
      </w:r>
      <w:r>
        <w:rPr>
          <w:b/>
          <w:bCs/>
        </w:rPr>
        <w:t xml:space="preserve">perfect</w:t>
      </w:r>
      <w:r>
        <w:t xml:space="preserve"> </w:t>
      </w:r>
      <w:r>
        <w:t xml:space="preserve">broad call would add only</w:t>
      </w:r>
      <w:r>
        <w:t xml:space="preserve"> </w:t>
      </w:r>
      <w:r>
        <w:rPr>
          <w:b/>
          <w:bCs/>
        </w:rPr>
        <w:t xml:space="preserve">+2.8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(0.759). Once the focused pass covers the tissue, there is almost no accuracy left for a broad</w:t>
      </w:r>
      <w:r>
        <w:t xml:space="preserve"> </w:t>
      </w:r>
      <w:r>
        <w:t xml:space="preserve">model to contribute; its value is choosing which focused reference to load, and catching cells</w:t>
      </w:r>
      <w:r>
        <w:t xml:space="preserve"> </w:t>
      </w:r>
      <w:r>
        <w:t xml:space="preserve">that fall outside every focused reference’s scope.</w:t>
      </w:r>
    </w:p>
    <w:p>
      <w:pPr>
        <w:pStyle w:val="BodyText"/>
      </w:pPr>
      <w:r>
        <w:rPr>
          <w:b/>
          <w:bCs/>
        </w:rPr>
        <w:t xml:space="preserve">Can a broad reference be built for an organism with no pretrained annotator?</w:t>
      </w:r>
      <w:r>
        <w:t xml:space="preserve"> </w:t>
      </w:r>
      <w:r>
        <w:t xml:space="preserve">For mouse,</w:t>
      </w:r>
      <w:r>
        <w:t xml:space="preserve"> </w:t>
      </w:r>
      <w:r>
        <w:t xml:space="preserve">neither human route carries over intact, but for different reasons. Distillation needs a</w:t>
      </w:r>
      <w:r>
        <w:t xml:space="preserve"> </w:t>
      </w:r>
      <w:r>
        <w:t xml:space="preserve">teacher, and Pan-human Azimuth is human-only — there is no mouse model to distill. The census</w:t>
      </w:r>
      <w:r>
        <w:t xml:space="preserve"> </w:t>
      </w:r>
      <w:r>
        <w:t xml:space="preserve">route does apply to mouse, but its one expensive step does not travel cheaply: the coarse</w:t>
      </w:r>
      <w:r>
        <w:t xml:space="preserve"> </w:t>
      </w:r>
      <w:r>
        <w:t xml:space="preserve">groups are found by Ward-clustering scPRINT embeddings of per-type expression centroids, which</w:t>
      </w:r>
      <w:r>
        <w:t xml:space="preserve"> </w:t>
      </w:r>
      <w:r>
        <w:t xml:space="preserve">wants a GPU, and scPRINT’s mouse support is untested here.</w:t>
      </w:r>
    </w:p>
    <w:p>
      <w:pPr>
        <w:pStyle w:val="BodyText"/>
      </w:pPr>
      <w:r>
        <w:t xml:space="preserve">That clustering step is the only one that has to be replaced (Figure 6A). The census already</w:t>
      </w:r>
      <w:r>
        <w:t xml:space="preserve"> </w:t>
      </w:r>
      <w:r>
        <w:t xml:space="preserve">labels every cell with a Cell Ontology term, and CL encodes the relation the embedding</w:t>
      </w:r>
      <w:r>
        <w:t xml:space="preserve"> </w:t>
      </w:r>
      <w:r>
        <w:t xml:space="preserve">clustering is recovering — which cell types are kinds of the same thing. Describing each type</w:t>
      </w:r>
      <w:r>
        <w:t xml:space="preserve"> </w:t>
      </w:r>
      <w:r>
        <w:t xml:space="preserve">by the CL terms it descends from and clustering</w:t>
      </w:r>
      <w:r>
        <w:t xml:space="preserve"> </w:t>
      </w:r>
      <w:r>
        <w:rPr>
          <w:i/>
          <w:iCs/>
        </w:rPr>
        <w:t xml:space="preserve">those</w:t>
      </w:r>
      <w:r>
        <w:t xml:space="preserve">, with the same Ward linkage, gives a</w:t>
      </w:r>
      <w:r>
        <w:t xml:space="preserve"> </w:t>
      </w:r>
      <w:r>
        <w:t xml:space="preserve">hierarchy that is free, deterministic and species-independent.</w:t>
      </w:r>
    </w:p>
    <w:p>
      <w:pPr>
        <w:pStyle w:val="BodyText"/>
      </w:pPr>
      <w:r>
        <w:drawing>
          <wp:inline>
            <wp:extent cx="5334000" cy="3459955"/>
            <wp:effectExtent b="0" l="0" r="0" t="0"/>
            <wp:docPr descr="building a coarse hierarchy without a GPU" title="" id="7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ontology_hierarchy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Replacing the one step of the reference build that needs a GPU.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both routes</w:t>
      </w:r>
      <w:r>
        <w:t xml:space="preserve"> </w:t>
      </w:r>
      <w:r>
        <w:t xml:space="preserve">to the coarse groups; only the middle step differs.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21 coarse groups of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, each named by the Cell Ontology term its members share, with a percentage</w:t>
      </w:r>
      <w:r>
        <w:t xml:space="preserve"> </w:t>
      </w:r>
      <w:r>
        <w:t xml:space="preserve">where that term covers most but not all of the group; the gray bar is the single group whose</w:t>
      </w:r>
      <w:r>
        <w:t xml:space="preserve"> </w:t>
      </w:r>
      <w:r>
        <w:t xml:space="preserve">members share no term below the generic ones.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the ontology grouping against no hierarchy and</w:t>
      </w:r>
      <w:r>
        <w:t xml:space="preserve"> </w:t>
      </w:r>
      <w:r>
        <w:t xml:space="preserve">against a random grouping with the same group sizes, scored by ontology concordance on the</w:t>
      </w:r>
      <w:r>
        <w:t xml:space="preserve"> </w:t>
      </w:r>
      <w:r>
        <w:t xml:space="preserve">held-out human lung atlas. Bars start at zero and error bars are 95% binomial intervals on the</w:t>
      </w:r>
      <w:r>
        <w:t xml:space="preserve"> </w:t>
      </w:r>
      <w:r>
        <w:t xml:space="preserve">2,161 scored cells; the gain over no hierarchy clears that interval and the gap between the two</w:t>
      </w:r>
      <w:r>
        <w:t xml:space="preserve"> </w:t>
      </w:r>
      <w:r>
        <w:t xml:space="preserve">controls does not.</w:t>
      </w:r>
    </w:p>
    <w:p>
      <w:pPr>
        <w:pStyle w:val="BodyText"/>
      </w:pPr>
      <w:r>
        <w:rPr>
          <w:b/>
          <w:bCs/>
        </w:rPr>
        <w:t xml:space="preserve">The groups it produces are lineages.</w:t>
      </w:r>
      <w:r>
        <w:t xml:space="preserve"> </w:t>
      </w:r>
      <w:r>
        <w:t xml:space="preserve">Twenty of the 21 mouse groups resolve to one CL</w:t>
      </w:r>
      <w:r>
        <w:t xml:space="preserve"> </w:t>
      </w:r>
      <w:r>
        <w:t xml:space="preserve">lineage each — lymphocytes, neurons, epithelium, endothelium, mononuclear phagocytes, kidney</w:t>
      </w:r>
      <w:r>
        <w:t xml:space="preserve"> </w:t>
      </w:r>
      <w:r>
        <w:t xml:space="preserve">tubule — and the twenty-first is a catch-all of 48 types whose census labels (</w:t>
      </w:r>
      <w:r>
        <w:rPr>
          <w:rStyle w:val="VerbatimChar"/>
        </w:rPr>
        <w:t xml:space="preserve">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blood cell</w:t>
      </w:r>
      <w:r>
        <w:t xml:space="preserve">) are too vague to place anywhere (Figure 6B).</w:t>
      </w:r>
    </w:p>
    <w:p>
      <w:pPr>
        <w:pStyle w:val="BodyText"/>
      </w:pPr>
      <w:r>
        <w:rPr>
          <w:b/>
          <w:bCs/>
        </w:rPr>
        <w:t xml:space="preserve">The grouping is doing the work, not the splitting.</w:t>
      </w:r>
      <w:r>
        <w:t xml:space="preserve"> </w:t>
      </w:r>
      <w:r>
        <w:t xml:space="preserve">Any partition gives each fine</w:t>
      </w:r>
      <w:r>
        <w:t xml:space="preserve"> </w:t>
      </w:r>
      <w:r>
        <w:t xml:space="preserve">classifier a smaller problem, so the substitution needs a control. Built from one human corpus</w:t>
      </w:r>
      <w:r>
        <w:t xml:space="preserve"> </w:t>
      </w:r>
      <w:r>
        <w:t xml:space="preserve">(51,346 cells / 867 types) and scored on the held-out lung atlas, the ontology grouping reaches</w:t>
      </w:r>
      <w:r>
        <w:t xml:space="preserve"> </w:t>
      </w:r>
      <w:r>
        <w:rPr>
          <w:b/>
          <w:bCs/>
        </w:rPr>
        <w:t xml:space="preserve">0.616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0.547</w:t>
      </w:r>
      <w:r>
        <w:t xml:space="preserve"> </w:t>
      </w:r>
      <w:r>
        <w:t xml:space="preserve">for no hierarchy at all — a gain of</w:t>
      </w:r>
      <w:r>
        <w:t xml:space="preserve"> </w:t>
      </w:r>
      <w:r>
        <w:rPr>
          <w:b/>
          <w:bCs/>
        </w:rPr>
        <w:t xml:space="preserve">0.069</w:t>
      </w:r>
      <w:r>
        <w:t xml:space="preserve">, or 13% relative,</w:t>
      </w:r>
      <w:r>
        <w:t xml:space="preserve"> </w:t>
      </w:r>
      <w:r>
        <w:t xml:space="preserve">which on 2,161 scored cells sits outside the 95% interval of ±0.029. A random grouping with the</w:t>
      </w:r>
      <w:r>
        <w:t xml:space="preserve"> </w:t>
      </w:r>
      <w:r>
        <w:t xml:space="preserve">same group sizes scores</w:t>
      </w:r>
      <w:r>
        <w:t xml:space="preserve"> </w:t>
      </w:r>
      <w:r>
        <w:rPr>
          <w:b/>
          <w:bCs/>
        </w:rPr>
        <w:t xml:space="preserve">0.539</w:t>
      </w:r>
      <w:r>
        <w:t xml:space="preserve">, which is 0.008 from the no-hierarchy control and inside that</w:t>
      </w:r>
      <w:r>
        <w:t xml:space="preserve"> </w:t>
      </w:r>
      <w:r>
        <w:t xml:space="preserve">interval (Figure 6C). What matters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types share</w:t>
      </w:r>
      <w:r>
        <w:t xml:space="preserve"> </w:t>
      </w:r>
      <w:r>
        <w:t xml:space="preserve">a group. Each group has its own fine classifier and the coarse call decides which one ever</w:t>
      </w:r>
      <w:r>
        <w:t xml:space="preserve"> </w:t>
      </w:r>
      <w:r>
        <w:t xml:space="preserve">sees the cell, so a group pays off only if the coarse classifier can recognize the group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right answer is inside it. Lineage groups manage both; same-sized random groups manage</w:t>
      </w:r>
      <w:r>
        <w:t xml:space="preserve"> </w:t>
      </w:r>
      <w:r>
        <w:t xml:space="preserve">neither.</w:t>
      </w:r>
    </w:p>
    <w:p>
      <w:pPr>
        <w:pStyle w:val="BodyText"/>
      </w:pPr>
      <w:r>
        <w:t xml:space="preserve">On that basis,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: 27,026 cells →</w:t>
      </w:r>
      <w:r>
        <w:t xml:space="preserve"> </w:t>
      </w:r>
      <w:r>
        <w:rPr>
          <w:b/>
          <w:bCs/>
        </w:rPr>
        <w:t xml:space="preserve">453 cell types across 85 tissues</w:t>
      </w:r>
      <w:r>
        <w:t xml:space="preserve">,</w:t>
      </w:r>
      <w:r>
        <w:t xml:space="preserve"> </w:t>
      </w:r>
      <w:r>
        <w:t xml:space="preserve">305 CL terms collapsed to 21 coarse groups,</w:t>
      </w:r>
      <w:r>
        <w:t xml:space="preserve"> </w:t>
      </w:r>
      <w:r>
        <w:rPr>
          <w:b/>
          <w:bCs/>
        </w:rPr>
        <w:t xml:space="preserve">17 seconds of CPU</w:t>
      </w:r>
      <w:r>
        <w:t xml:space="preserve"> </w:t>
      </w:r>
      <w:r>
        <w:t xml:space="preserve">to train, 38 MB. Two mouse</w:t>
      </w:r>
      <w:r>
        <w:t xml:space="preserve"> </w:t>
      </w:r>
      <w:r>
        <w:t xml:space="preserve">datasets were excluded from the reference entirely and used as the test set — 12,646 cells,</w:t>
      </w:r>
      <w:r>
        <w:t xml:space="preserve"> </w:t>
      </w:r>
      <w:r>
        <w:t xml:space="preserve">137 truth types, 41 tissues, none of it seen in training: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≥ 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on 12,646 held-out mouse cells (137 truth types, 41 tissues, none</w:t>
      </w:r>
      <w:r>
        <w:t xml:space="preserve"> </w:t>
      </w:r>
      <w:r>
        <w:t xml:space="preserve">of it in the reference), with and without abstain.</w:t>
      </w:r>
    </w:p>
    <w:p>
      <w:pPr>
        <w:pStyle w:val="BodyText"/>
      </w:pPr>
      <w:r>
        <w:t xml:space="preserve">Its abstain calibration is also better behaved than the human census model’s: at the same</w:t>
      </w:r>
      <w:r>
        <w:t xml:space="preserve"> </w:t>
      </w:r>
      <w:r>
        <w:rPr>
          <w:rStyle w:val="VerbatimChar"/>
        </w:rPr>
        <w:t xml:space="preserve">p ≥ 0.5</w:t>
      </w:r>
      <w:r>
        <w:t xml:space="preserve"> </w:t>
      </w:r>
      <w:r>
        <w:t xml:space="preserve">threshold it still answers for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of cells (Table 8), against</w:t>
      </w:r>
      <w:r>
        <w:t xml:space="preserve"> </w:t>
      </w:r>
      <w:r>
        <w:rPr>
          <w:b/>
          <w:bCs/>
        </w:rPr>
        <w:t xml:space="preserve">38%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 </w:t>
      </w:r>
      <w:r>
        <w:t xml:space="preserve">on its own held-out atlas, because mouse census carries fewer near-duplicate</w:t>
      </w:r>
      <w:r>
        <w:t xml:space="preserve"> </w:t>
      </w:r>
      <w:r>
        <w:t xml:space="preserve">subtypes than human’s ~800-way vocabulary. Coverage at a fixed threshold is the part that</w:t>
      </w:r>
      <w:r>
        <w:t xml:space="preserve"> </w:t>
      </w:r>
      <w:r>
        <w:t xml:space="preserve">compares across the two; the accuracies come from different queries. Two limits apply. The ablation above was run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and applied to mouse; CL is species-neutral by construction, but nothing here</w:t>
      </w:r>
      <w:r>
        <w:t xml:space="preserve"> </w:t>
      </w:r>
      <w:r>
        <w:t xml:space="preserve">shows it groups mouse types as well. And mouse census is shallow in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— 51 in total,</w:t>
      </w:r>
      <w:r>
        <w:t xml:space="preserve"> </w:t>
      </w:r>
      <w:r>
        <w:t xml:space="preserve">one embryo atlas holding 11.4M of 18.4M cells — so tissue breadth is good while lab and</w:t>
      </w:r>
      <w:r>
        <w:t xml:space="preserve"> </w:t>
      </w:r>
      <w:r>
        <w:t xml:space="preserve">protocol breadth is far below human’s 487 datasets.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The</w:t>
      </w:r>
      <w:r>
        <w:t xml:space="preserve"> </w:t>
      </w:r>
      <w:r>
        <w:rPr>
          <w:b/>
          <w:bCs/>
        </w:rPr>
        <w:t xml:space="preserve">embedding route to the same hierarchy</w:t>
      </w:r>
      <w:r>
        <w:t xml:space="preserve">, evaluated</w:t>
      </w:r>
      <w:r>
        <w:t xml:space="preserve"> </w:t>
      </w:r>
      <w:r>
        <w:t xml:space="preserve">separately from the ontology route above: a foundation model discovers the coarse→fine</w:t>
      </w:r>
      <w:r>
        <w:t xml:space="preserve"> </w:t>
      </w:r>
      <w:r>
        <w:t xml:space="preserve">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and the CPU model uses it at inference. It beats a flat classifier on</w:t>
      </w:r>
      <w:r>
        <w:t xml:space="preserve"> </w:t>
      </w:r>
      <w:r>
        <w:t xml:space="preserve">three of four datasets, matches a hand-built expert hierarchy, and beats a random-grouping</w:t>
      </w:r>
      <w:r>
        <w:t xml:space="preserve"> </w:t>
      </w:r>
      <w:r>
        <w:t xml:space="preserve">control, while never calling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0.99</w:t>
      </w:r>
      <w:r>
        <w:t xml:space="preserve"> </w:t>
      </w:r>
      <w:r>
        <w:t xml:space="preserve">within-one-zone across held-out donors, and 0.88–0.92 transferring between datasets — a</w:t>
      </w:r>
      <w:r>
        <w:t xml:space="preserve"> </w:t>
      </w:r>
      <w:r>
        <w:t xml:space="preserve">third stage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p>
      <w:pPr>
        <w:pStyle w:val="BodyText"/>
      </w:pPr>
      <w:r>
        <w:rPr>
          <w:b/>
          <w:bCs/>
        </w:rPr>
        <w:t xml:space="preserve">Running all three: where independent references agree.</w:t>
      </w:r>
      <w:r>
        <w:t xml:space="preserve"> </w:t>
      </w:r>
      <w:r>
        <w:t xml:space="preserve">The three entry points are</w:t>
      </w:r>
      <w:r>
        <w:t xml:space="preserve"> </w:t>
      </w:r>
      <w:r>
        <w:t xml:space="preserve">interchangeable, so we ran all of them over the same query. They answer in three different</w:t>
      </w:r>
      <w:r>
        <w:t xml:space="preserve"> </w:t>
      </w:r>
      <w:r>
        <w:t xml:space="preserve">vocabularies (798, 382 and 324 classes), so agreement is defined in the Cell Ontology where all</w:t>
      </w:r>
      <w:r>
        <w:t xml:space="preserve"> </w:t>
      </w:r>
      <w:r>
        <w:t xml:space="preserve">three map: two</w:t>
      </w:r>
      <w:r>
        <w:t xml:space="preserve"> </w:t>
      </w:r>
      <w:r>
        <w:t xml:space="preserve">calls agree when they are the same term or one is an ancestor of the other, the relation the</w:t>
      </w:r>
      <w:r>
        <w:t xml:space="preserve"> </w:t>
      </w:r>
      <w:r>
        <w:t xml:space="preserve">concordance metric already uses. Partitioning by how many of the three mutually agree, on the</w:t>
      </w:r>
      <w:r>
        <w:t xml:space="preserve"> </w:t>
      </w:r>
      <w:r>
        <w:t xml:space="preserve">withheld cross-study liver query and on the 65,662-cell Krasnow lung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Azimuth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</w:t>
      </w:r>
      <w:r>
        <w:t xml:space="preserve"> </w:t>
      </w:r>
      <w:r>
        <w:t xml:space="preserve">Ontology concordance within each agreement tier, three broad references on</w:t>
      </w:r>
      <w:r>
        <w:t xml:space="preserve"> </w:t>
      </w:r>
      <w:r>
        <w:t xml:space="preserve">identical cells, in three tissues: withheld cross-study liver (3,396 cells, 34 truth types),</w:t>
      </w:r>
      <w:r>
        <w:t xml:space="preserve"> </w:t>
      </w:r>
      <w:r>
        <w:t xml:space="preserve">the Krasnow lung atlas (65,662, 46) and the Allen human middle temporal gyrus (156,285, 18).</w:t>
      </w:r>
    </w:p>
    <w:p>
      <w:pPr>
        <w:pStyle w:val="BodyText"/>
      </w:pPr>
      <w:r>
        <w:t xml:space="preserve">One thing replicates in all three tissues: cells the references disagree about are annotated</w:t>
      </w:r>
      <w:r>
        <w:t xml:space="preserve"> </w:t>
      </w:r>
      <w:r>
        <w:t xml:space="preserve">far less reliably than cells they concur on, for every reference. The census model spans 0.690</w:t>
      </w:r>
      <w:r>
        <w:t xml:space="preserve"> </w:t>
      </w:r>
      <w:r>
        <w:t xml:space="preserve">to 0.212 across the liver partition, 0.934 to 0.059 across lung and 0.839 to 0.117 across</w:t>
      </w:r>
      <w:r>
        <w:t xml:space="preserve"> </w:t>
      </w:r>
      <w:r>
        <w:t xml:space="preserve">brain, with the same direction for the other two. That all three improve</w:t>
      </w:r>
      <w:r>
        <w:t xml:space="preserve"> </w:t>
      </w:r>
      <w:r>
        <w:rPr>
          <w:i/>
          <w:iCs/>
        </w:rPr>
        <w:t xml:space="preserve">together</w:t>
      </w:r>
      <w:r>
        <w:t xml:space="preserve"> </w:t>
      </w:r>
      <w:r>
        <w:t xml:space="preserve">is what</w:t>
      </w:r>
      <w:r>
        <w:t xml:space="preserve"> </w:t>
      </w:r>
      <w:r>
        <w:t xml:space="preserve">makes the partition useful — agreement selects cells that are unambiguous rather than cells one</w:t>
      </w:r>
      <w:r>
        <w:t xml:space="preserve"> </w:t>
      </w:r>
      <w:r>
        <w:t xml:space="preserve">model happens to get right — and unlike accuracy it can be computed on a query whose answers</w:t>
      </w:r>
      <w:r>
        <w:t xml:space="preserve"> </w:t>
      </w:r>
      <w:r>
        <w:t xml:space="preserve">are unknown, for the price of three sub-second calls.</w:t>
      </w:r>
    </w:p>
    <w:p>
      <w:pPr>
        <w:pStyle w:val="BodyText"/>
      </w:pPr>
      <w:r>
        <w:t xml:space="preserve">What does not replicate is how much of a query the agreeing set covers: 23% on liver, 48% on</w:t>
      </w:r>
      <w:r>
        <w:t xml:space="preserve"> </w:t>
      </w:r>
      <w:r>
        <w:t xml:space="preserve">lung, 94% on brain. Brain explains the spread rather than extending it. That query’s Cell</w:t>
      </w:r>
      <w:r>
        <w:t xml:space="preserve"> </w:t>
      </w:r>
      <w:r>
        <w:t xml:space="preserve">Ontology annotation uses</w:t>
      </w:r>
      <w:r>
        <w:t xml:space="preserve"> </w:t>
      </w:r>
      <w:r>
        <w:rPr>
          <w:b/>
          <w:bCs/>
        </w:rPr>
        <w:t xml:space="preserve">18 terms for a region whose own taxonomy,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CCN201908210</w:t>
      </w:r>
      <w:r>
        <w:rPr>
          <w:b/>
          <w:bCs/>
        </w:rPr>
        <w:t xml:space="preserve">, defines</w:t>
      </w:r>
      <w:r>
        <w:rPr>
          <w:b/>
          <w:bCs/>
        </w:rPr>
        <w:t xml:space="preserve"> </w:t>
      </w:r>
      <w:r>
        <w:rPr>
          <w:b/>
          <w:bCs/>
        </w:rPr>
        <w:t xml:space="preserve">154 cell sets</w:t>
      </w:r>
      <w:r>
        <w:t xml:space="preserve"> </w:t>
      </w:r>
      <w:r>
        <w:t xml:space="preserve">— 151 of them present in this data, and the label set of the fine brain split</w:t>
      </w:r>
      <w:r>
        <w:t xml:space="preserve"> </w:t>
      </w:r>
      <w:r>
        <w:t xml:space="preserve">in §3.1 — while 55% of its cells fall in one class,</w:t>
      </w:r>
      <w:r>
        <w:t xml:space="preserve"> </w:t>
      </w:r>
      <w:r>
        <w:rPr>
          <w:rStyle w:val="VerbatimChar"/>
        </w:rPr>
        <w:t xml:space="preserve">L2/3-6 intratelencephalic projecting glutamatergic neuron</w:t>
      </w:r>
      <w:r>
        <w:t xml:space="preserve">. Concordances near 0.98 and agreement at 94% are what a coarse truth</w:t>
      </w:r>
      <w:r>
        <w:t xml:space="preserve"> </w:t>
      </w:r>
      <w:r>
        <w:t xml:space="preserve">vocabulary produces, not what an easy tissue produces. The partition reports the resolution of</w:t>
      </w:r>
      <w:r>
        <w:t xml:space="preserve"> </w:t>
      </w:r>
      <w:r>
        <w:t xml:space="preserve">the annotation it is scored against, which is a property of the query rather than of the</w:t>
      </w:r>
      <w:r>
        <w:t xml:space="preserve"> </w:t>
      </w:r>
      <w:r>
        <w:t xml:space="preserve">method: it reports how much of a query is unambiguous at the resolution that query is</w:t>
      </w:r>
      <w:r>
        <w:t xml:space="preserve"> </w:t>
      </w:r>
      <w:r>
        <w:t xml:space="preserve">annotated to.</w:t>
      </w:r>
    </w:p>
    <w:p>
      <w:pPr>
        <w:pStyle w:val="BodyText"/>
      </w:pPr>
      <w:r>
        <w:t xml:space="preserve">The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three, and brain shows why the rule</w:t>
      </w:r>
      <w:r>
        <w:t xml:space="preserve"> </w:t>
      </w:r>
      <w:r>
        <w:t xml:space="preserve">itself is weak. Taking the most specific call the agreeing references support scores 0.365 on</w:t>
      </w:r>
      <w:r>
        <w:t xml:space="preserve"> </w:t>
      </w:r>
      <w:r>
        <w:t xml:space="preserve">liver against the best single reference’s 0.408, 0.828 on lung against 0.831, and 0.837 on</w:t>
      </w:r>
      <w:r>
        <w:t xml:space="preserve"> </w:t>
      </w:r>
      <w:r>
        <w:t xml:space="preserve">brain against 0.987. That last gap is large because</w:t>
      </w:r>
      <w:r>
        <w:t xml:space="preserve"> </w:t>
      </w:r>
      <w:r>
        <w:t xml:space="preserve">“most specific agreeing call”</w:t>
      </w:r>
      <w:r>
        <w:t xml:space="preserve"> </w:t>
      </w:r>
      <w:r>
        <w:t xml:space="preserve">lets one</w:t>
      </w:r>
      <w:r>
        <w:t xml:space="preserve"> </w:t>
      </w:r>
      <w:r>
        <w:t xml:space="preserve">reference’s confident, lineage-compatible but wrong specificity override two correct coarser</w:t>
      </w:r>
      <w:r>
        <w:t xml:space="preserve"> </w:t>
      </w:r>
      <w:r>
        <w:t xml:space="preserve">calls: on the 94% of brain cells where all three agree, the two strong references score 0.997</w:t>
      </w:r>
      <w:r>
        <w:t xml:space="preserve"> </w:t>
      </w:r>
      <w:r>
        <w:t xml:space="preserve">and the consensus built from them scores 0.837. The partition separates reliable calls from unreliable ones on all three queries; the</w:t>
      </w:r>
      <w:r>
        <w:t xml:space="preserve"> </w:t>
      </w:r>
      <w:r>
        <w:t xml:space="preserve">consensus label does not beat a single reference on any of them, under this rule.</w:t>
      </w:r>
    </w:p>
    <w:p>
      <w:pPr>
        <w:pStyle w:val="BodyText"/>
      </w:pPr>
      <w:r>
        <w:rPr>
          <w:b/>
          <w:bCs/>
        </w:rPr>
        <w:t xml:space="preserve">Agreement is defined by the Cell Ontology.</w:t>
      </w:r>
      <w:r>
        <w:t xml:space="preserve"> </w:t>
      </w:r>
      <w:r>
        <w:t xml:space="preserve">Two calls agree when CL says one subsumes the</w:t>
      </w:r>
      <w:r>
        <w:t xml:space="preserve"> </w:t>
      </w:r>
      <w:r>
        <w:t xml:space="preserve">other, a relation this analysis inherits rather than sets. Where CL is coarse or incomplete, two references naming the same population can be</w:t>
      </w:r>
      <w:r>
        <w:t xml:space="preserve"> </w:t>
      </w:r>
      <w:r>
        <w:t xml:space="preserve">scored as disagreeing; where it is deep, a pair of calls can agree at a resolution neither</w:t>
      </w:r>
      <w:r>
        <w:t xml:space="preserve"> </w:t>
      </w:r>
      <w:r>
        <w:t xml:space="preserve">reference meant to assert. The comparison was</w:t>
      </w:r>
      <w:r>
        <w:t xml:space="preserve"> </w:t>
      </w:r>
      <w:r>
        <w:t xml:space="preserve">possible at all only because Pan-human Azimuth publishes a CL term for every node of its</w:t>
      </w:r>
      <w:r>
        <w:t xml:space="preserve"> </w:t>
      </w:r>
      <w:r>
        <w:t xml:space="preserve">typology; an annotator with no crosswalk cannot enter this analysis regardless of how</w:t>
      </w:r>
      <w:r>
        <w:t xml:space="preserve"> </w:t>
      </w:r>
      <w:r>
        <w:t xml:space="preserve">good its labels are.</w:t>
      </w:r>
    </w:p>
    <w:p>
      <w:pPr>
        <w:pStyle w:val="BodyText"/>
      </w:pPr>
      <w:r>
        <w:t xml:space="preserve">The alternative design targets exactly this problem, and looking at it closely shows why the</w:t>
      </w:r>
      <w:r>
        <w:t xml:space="preserve"> </w:t>
      </w:r>
      <w:r>
        <w:t xml:space="preserve">substitution is not free. The Common Cell type Nomenclature</w:t>
      </w:r>
      <w:r>
        <w:t xml:space="preserve"> </w:t>
      </w:r>
      <w:hyperlink r:id="rId73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gives each taxonomy’s</w:t>
      </w:r>
      <w:r>
        <w:t xml:space="preserve"> </w:t>
      </w:r>
      <w:r>
        <w:t xml:space="preserve">cell sets stable accessions (</w:t>
      </w:r>
      <w:r>
        <w:rPr>
          <w:rStyle w:val="VerbatimChar"/>
        </w:rPr>
        <w:t xml:space="preserve">CS[taxonomy id]_[n]</w:t>
      </w:r>
      <w:r>
        <w:t xml:space="preserve">) plus a curated alias layer, treating CL as</w:t>
      </w:r>
      <w:r>
        <w:t xml:space="preserve"> </w:t>
      </w:r>
      <w:r>
        <w:t xml:space="preserve">one alignment target rather than as the coordinate system. In the published human middle</w:t>
      </w:r>
      <w:r>
        <w:t xml:space="preserve"> </w:t>
      </w:r>
      <w:r>
        <w:t xml:space="preserve">temporal gyrus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 154 cell sets carry an accession and a structure tag —</w:t>
      </w:r>
      <w:r>
        <w:t xml:space="preserve"> </w:t>
      </w:r>
      <w:r>
        <w:rPr>
          <w:rStyle w:val="VerbatimChar"/>
        </w:rPr>
        <w:t xml:space="preserve">UBERON:0002771</w:t>
      </w:r>
      <w:r>
        <w:t xml:space="preserve">, the gyrus itself — but</w:t>
      </w:r>
      <w:r>
        <w:t xml:space="preserve"> </w:t>
      </w:r>
      <w:r>
        <w:rPr>
          <w:b/>
          <w:bCs/>
        </w:rPr>
        <w:t xml:space="preserve">no cell-type ontology id at all</w:t>
      </w:r>
      <w:r>
        <w:t xml:space="preserve">; the field that</w:t>
      </w:r>
      <w:r>
        <w:t xml:space="preserve"> </w:t>
      </w:r>
      <w:r>
        <w:t xml:space="preserve">matches cell sets across taxonomies, the aligned alias, is populated for</w:t>
      </w:r>
      <w:r>
        <w:t xml:space="preserve"> </w:t>
      </w:r>
      <w:r>
        <w:rPr>
          <w:b/>
          <w:bCs/>
        </w:rPr>
        <w:t xml:space="preserve">23 of the 154</w:t>
      </w:r>
      <w:r>
        <w:t xml:space="preserve">. Of</w:t>
      </w:r>
      <w:r>
        <w:t xml:space="preserve"> </w:t>
      </w:r>
      <w:r>
        <w:t xml:space="preserve">those 23, eight match a CL term name or synonym by exact string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L5/6 NP</w:t>
      </w:r>
      <w:r>
        <w:t xml:space="preserve">,</w:t>
      </w:r>
      <w:r>
        <w:t xml:space="preserve"> </w:t>
      </w:r>
      <w:r>
        <w:rPr>
          <w:rStyle w:val="VerbatimChar"/>
        </w:rPr>
        <w:t xml:space="preserve">L6 CT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,</w:t>
      </w:r>
      <w:r>
        <w:t xml:space="preserve"> </w:t>
      </w:r>
      <w:r>
        <w:rPr>
          <w:rStyle w:val="VerbatimChar"/>
        </w:rPr>
        <w:t xml:space="preserve">OPC</w:t>
      </w:r>
      <w:r>
        <w:t xml:space="preserve">,</w:t>
      </w:r>
      <w:r>
        <w:t xml:space="preserve"> </w:t>
      </w:r>
      <w:r>
        <w:rPr>
          <w:rStyle w:val="VerbatimChar"/>
        </w:rPr>
        <w:t xml:space="preserve">Sst Chodl</w:t>
      </w:r>
      <w:r>
        <w:t xml:space="preserve">); most of the rest are abbreviations such as</w:t>
      </w:r>
      <w:r>
        <w:t xml:space="preserve"> </w:t>
      </w:r>
      <w:r>
        <w:rPr>
          <w:rStyle w:val="VerbatimChar"/>
        </w:rPr>
        <w:t xml:space="preserve">Astro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Oligo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Endo</w:t>
      </w:r>
      <w:r>
        <w:t xml:space="preserve"> </w:t>
      </w:r>
      <w:r>
        <w:t xml:space="preserve">whose expansions do exist in CL, so the true overlap is larger than</w:t>
      </w:r>
      <w:r>
        <w:t xml:space="preserve"> </w:t>
      </w:r>
      <w:r>
        <w:t xml:space="preserve">a string test finds and is exactly as large as someone is willing to curate.</w:t>
      </w:r>
    </w:p>
    <w:p>
      <w:pPr>
        <w:pStyle w:val="BodyText"/>
      </w:pPr>
      <w:r>
        <w:t xml:space="preserve">The 151-type brain split of §3.1 uses those cell sets as its label set. Because they carry no</w:t>
      </w:r>
      <w:r>
        <w:t xml:space="preserve"> </w:t>
      </w:r>
      <w:r>
        <w:t xml:space="preserve">ontology id, calls at that resolution can only be checked against the taxonomy’s own strings:</w:t>
      </w:r>
      <w:r>
        <w:t xml:space="preserve"> </w:t>
      </w:r>
      <w:r>
        <w:t xml:space="preserve">that split is scored by exact match alone, and the ranking it produces — correlation methods</w:t>
      </w:r>
      <w:r>
        <w:t xml:space="preserve"> </w:t>
      </w:r>
      <w:r>
        <w:t xml:space="preserve">first, trained classifiers last — cannot be cross-checked against the ontology-aware column</w:t>
      </w:r>
      <w:r>
        <w:t xml:space="preserve"> </w:t>
      </w:r>
      <w:r>
        <w:t xml:space="preserve">used elsewhere in this paper.</w:t>
      </w:r>
    </w:p>
    <w:p>
      <w:pPr>
        <w:pStyle w:val="BodyText"/>
      </w:pPr>
      <w:r>
        <w:t xml:space="preserve">That is the substantive difference. CL supplies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 relation — every pair of</w:t>
      </w:r>
      <w:r>
        <w:t xml:space="preserve"> </w:t>
      </w:r>
      <w:r>
        <w:t xml:space="preserve">terms is comparable, at whatever granularity CL happens to encode — which is what makes an</w:t>
      </w:r>
      <w:r>
        <w:t xml:space="preserve"> </w:t>
      </w:r>
      <w:r>
        <w:t xml:space="preserve">agreement partition computable at all. CCN supplies exact provenance, which CL cannot: it</w:t>
      </w:r>
      <w:r>
        <w:t xml:space="preserve"> </w:t>
      </w:r>
      <w:r>
        <w:t xml:space="preserve">records which taxonomy, which algorithm and which publication a label came from. An agreement</w:t>
      </w:r>
      <w:r>
        <w:t xml:space="preserve"> </w:t>
      </w:r>
      <w:r>
        <w:t xml:space="preserve">relation built on CCN accessions alone would be undefined for most pairs of cell sets, because</w:t>
      </w:r>
      <w:r>
        <w:t xml:space="preserve"> </w:t>
      </w:r>
      <w:r>
        <w:t xml:space="preserve">accessions are deliberately taxonomy-scoped rather than shared. The two systems answer</w:t>
      </w:r>
      <w:r>
        <w:t xml:space="preserve"> </w:t>
      </w:r>
      <w:r>
        <w:t xml:space="preserve">different questions, and a workflow that compares annotations across references needs both: CL</w:t>
      </w:r>
      <w:r>
        <w:t xml:space="preserve"> </w:t>
      </w:r>
      <w:r>
        <w:t xml:space="preserve">to decide whether two calls are compatible, CCN to say what each call actually was.</w:t>
      </w:r>
    </w:p>
    <w:bookmarkEnd w:id="74"/>
    <w:bookmarkStart w:id="81" w:name="abstention-and-novel-cell-types"/>
    <w:p>
      <w:pPr>
        <w:pStyle w:val="Heading2"/>
      </w:pPr>
      <w:r>
        <w:t xml:space="preserve">Abstention and novel cell types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we sweep a confidence threshold over every method</w:t>
      </w:r>
      <w:r>
        <w:t xml:space="preserve"> </w:t>
      </w:r>
      <w:r>
        <w:t xml:space="preserve">that returns a per-cell confidence. Eight do; for scANVI and scArches the confidence is the</w:t>
      </w:r>
      <w:r>
        <w:t xml:space="preserve"> </w:t>
      </w:r>
      <w:r>
        <w:t xml:space="preserve">maximum class posterior from the model’s soft prediction. SVM, SingleR and scPRINT return no</w:t>
      </w:r>
      <w:r>
        <w:t xml:space="preserve"> </w:t>
      </w:r>
      <w:r>
        <w:t xml:space="preserve">per-cell confidence and cannot be swept, and scmap-cluster has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rather than a threshold.</w:t>
      </w:r>
    </w:p>
    <w:p>
      <w:pPr>
        <w:pStyle w:val="BodyText"/>
      </w:pPr>
      <w:r>
        <w:drawing>
          <wp:inline>
            <wp:extent cx="5334000" cy="2684806"/>
            <wp:effectExtent b="0" l="0" r="0" t="0"/>
            <wp:docPr descr="what a threshold does to each method" title="" id="7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axis:</w:t>
      </w:r>
      <w:r>
        <w:t xml:space="preserve"> </w:t>
      </w:r>
      <w:r>
        <w:t xml:space="preserve">accuracy on kept cells, coverage, and the share of held-out-type cells flagged. The five that</w:t>
      </w:r>
      <w:r>
        <w:t xml:space="preserve"> </w:t>
      </w:r>
      <w:r>
        <w:t xml:space="preserve">work share a shape — accuracy and novelty rising as coverage falls — and the three that do not</w:t>
      </w:r>
      <w:r>
        <w:t xml:space="preserve"> </w:t>
      </w:r>
      <w:r>
        <w:t xml:space="preserve">each fail visibly and differently. Per-threshold values are in</w:t>
      </w:r>
      <w:r>
        <w:t xml:space="preserve"> </w:t>
      </w:r>
      <w:r>
        <w:rPr>
          <w:rStyle w:val="VerbatimChar"/>
        </w:rPr>
        <w:t xml:space="preserve">results_rejection.csv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Five of the eight give a threshold that does something; three do not.</w:t>
      </w:r>
      <w:r>
        <w:t xml:space="preserve"> </w:t>
      </w:r>
      <w:r>
        <w:t xml:space="preserve">actinn-jax,</w:t>
      </w:r>
      <w:r>
        <w:t xml:space="preserve"> </w:t>
      </w:r>
      <w:r>
        <w:t xml:space="preserve">scArches, scANVI, the linear pipeline and kNN all trade coverage for accuracy across the</w:t>
      </w:r>
      <w:r>
        <w:t xml:space="preserve"> </w:t>
      </w:r>
      <w:r>
        <w:t xml:space="preserve">range. The other three fail in different ways: CellTypist’s probabilities are saturated near 0</w:t>
      </w:r>
      <w:r>
        <w:t xml:space="preserve"> </w:t>
      </w:r>
      <w:r>
        <w:t xml:space="preserve">or 1, so every threshold from 0.3 to 0.9 lands on one operating point; scTOP’s projection score</w:t>
      </w:r>
      <w:r>
        <w:t xml:space="preserve"> </w:t>
      </w:r>
      <w:r>
        <w:t xml:space="preserve">is not a calibrated probability and discards all but 6% of the query by p≥0.5; ProtoCloud’s</w:t>
      </w:r>
      <w:r>
        <w:t xml:space="preserve"> </w:t>
      </w:r>
      <w:r>
        <w:t xml:space="preserve">ambiguity flag barely moves until 0.9.</w:t>
      </w:r>
    </w:p>
    <w:p>
      <w:pPr>
        <w:pStyle w:val="BodyText"/>
      </w:pPr>
      <w:r>
        <w:t xml:space="preserve">Among the five that work, abstain quality does not separate them the way cost does</w:t>
      </w:r>
      <w:r>
        <w:t xml:space="preserve"> </w:t>
      </w:r>
      <w:r>
        <w:t xml:space="preserve">(Figure 8). actinn-jax and scArches are effectively tied — at p≥0.9, 0.969 accuracy on 66% of cells with</w:t>
      </w:r>
      <w:r>
        <w:t xml:space="preserve"> </w:t>
      </w:r>
      <w:r>
        <w:t xml:space="preserve">73% of novel cells flagged against 0.983 on 61% with 71% flagged — and scANVI is close behind.</w:t>
      </w:r>
      <w:r>
        <w:t xml:space="preserve"> </w:t>
      </w:r>
      <w:r>
        <w:t xml:space="preserve">kNN reaches the highest novelty detection (83%) by keeping only 36% of the query, which is a</w:t>
      </w:r>
      <w:r>
        <w:t xml:space="preserve"> </w:t>
      </w:r>
      <w:r>
        <w:t xml:space="preserve">different operating regime rather than a better one, and the linear pipeline is the weakest</w:t>
      </w:r>
      <w:r>
        <w:t xml:space="preserve"> </w:t>
      </w:r>
      <w:r>
        <w:t xml:space="preserve">here, flagging 46% of novel cells at the threshold where actinn-jax flags 73%. The distinction</w:t>
      </w:r>
      <w:r>
        <w:t xml:space="preserve"> </w:t>
      </w:r>
      <w:r>
        <w:t xml:space="preserve">worth drawing is therefore not that actinn-jax abstains better than the deep methods but that</w:t>
      </w:r>
      <w:r>
        <w:t xml:space="preserve"> </w:t>
      </w:r>
      <w:r>
        <w:t xml:space="preserve">it abstains as well for 0.24 s of predict time against scArches’s 11.9 s and scANVI’s 58.7 s</w:t>
      </w:r>
      <w:r>
        <w:t xml:space="preserve"> </w:t>
      </w:r>
      <w:r>
        <w:t xml:space="preserve">(Table 3) — the same accuracy-at-a-fraction-of-the-cost pattern §3.1 reports, applied to the</w:t>
      </w:r>
      <w:r>
        <w:t xml:space="preserve"> </w:t>
      </w:r>
      <w:r>
        <w:t xml:space="preserve">mechanism the workflow of §3.5 routes on.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7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The same sweep read as a trade-off, which is what compares methods to each</w:t>
      </w:r>
      <w:r>
        <w:t xml:space="preserve"> </w:t>
      </w:r>
      <w:r>
        <w:t xml:space="preserve">other 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</w:t>
      </w:r>
      <w:r>
        <w:t xml:space="preserve"> </w:t>
      </w:r>
      <w:r>
        <w:t xml:space="preserve">five usable methods lie along one band, which is the basis for calling their abstain quality</w:t>
      </w:r>
      <w:r>
        <w:t xml:space="preserve"> </w:t>
      </w:r>
      <w:r>
        <w:t xml:space="preserve">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 The three</w:t>
      </w:r>
      <w:r>
        <w:t xml:space="preserve"> </w:t>
      </w:r>
      <w:r>
        <w:t xml:space="preserve">methods Figure 7 shows failing appear here as curves that go nowhere along one axis or the</w:t>
      </w:r>
      <w:r>
        <w:t xml:space="preserve"> </w:t>
      </w:r>
      <w:r>
        <w:t xml:space="preserve">other.</w:t>
      </w:r>
    </w:p>
    <w:bookmarkEnd w:id="81"/>
    <w:bookmarkEnd w:id="82"/>
    <w:bookmarkStart w:id="8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Method choice is now dominated by cost, not accuracy.</w:t>
      </w:r>
      <w:r>
        <w:t xml:space="preserve"> </w:t>
      </w:r>
      <w:r>
        <w:t xml:space="preserve">The four leading methods are</w:t>
      </w:r>
      <w:r>
        <w:t xml:space="preserve"> </w:t>
      </w:r>
      <w:r>
        <w:t xml:space="preserve">separated by 0.008 in mean accuracy and by ~250× in predict time (§3.1), so for most</w:t>
      </w:r>
      <w:r>
        <w:t xml:space="preserve"> </w:t>
      </w:r>
      <w:r>
        <w:t xml:space="preserve">annotation jobs the decision is made on the cost axes. On laptop-sized references the tuned</w:t>
      </w:r>
      <w:r>
        <w:t xml:space="preserve"> </w:t>
      </w:r>
      <w:r>
        <w:t xml:space="preserve">linear pipeline is the best of them on accuracy-per-second (0.839, fitting in 2.5 s); at</w:t>
      </w:r>
      <w:r>
        <w:t xml:space="preserve"> </w:t>
      </w:r>
      <w:r>
        <w:t xml:space="preserve">atlas scale ProtoCloud is the most accurate by a clear margin (0.976 vs 0.936 at 49k lung</w:t>
      </w:r>
      <w:r>
        <w:t xml:space="preserve"> </w:t>
      </w:r>
      <w:r>
        <w:t xml:space="preserve">cells; 0.905 vs 0.824 at 47k liver cells; 0.998 vs 0.992 at 46k brain cells), having been</w:t>
      </w:r>
      <w:r>
        <w:t xml:space="preserve"> </w:t>
      </w:r>
      <w:r>
        <w:t xml:space="preserve">below the cluster on the subsampled matrix. actinn-jax’s place in that picture rests on a cost</w:t>
      </w:r>
      <w:r>
        <w:t xml:space="preserve"> </w:t>
      </w:r>
      <w:r>
        <w:t xml:space="preserve">profile with two properties that matter for repeated use rather than for a single labeling run.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 </w:t>
      </w:r>
      <w:r>
        <w:t xml:space="preserve">— flat in reference size, and rising 3.1× with</w:t>
      </w:r>
      <w:r>
        <w:t xml:space="preserve"> </w:t>
      </w:r>
      <w:r>
        <w:t xml:space="preserve">cardinality while staying under a quarter of a second (§3.4) — so a query costs the same</w:t>
      </w:r>
      <w:r>
        <w:t xml:space="preserve"> </w:t>
      </w:r>
      <w:r>
        <w:t xml:space="preserve">against a 1k-cell reference and a 49k-cell one. Peak memory is unremarkable: 2.4 GB mean on</w:t>
      </w:r>
      <w:r>
        <w:t xml:space="preserve"> </w:t>
      </w:r>
      <w:r>
        <w:t xml:space="preserve">small references, where seven of the ten other methods are lighter, and at</w:t>
      </w:r>
      <w:r>
        <w:t xml:space="preserve"> </w:t>
      </w:r>
      <w:r>
        <w:rPr>
          <w:b/>
          <w:bCs/>
        </w:rPr>
        <w:t xml:space="preserve">atlas scale</w:t>
      </w:r>
      <w:r>
        <w:t xml:space="preserve"> </w:t>
      </w:r>
      <w:r>
        <w:t xml:space="preserve">it</w:t>
      </w:r>
      <w:r>
        <w:t xml:space="preserve"> </w:t>
      </w:r>
      <w:r>
        <w:t xml:space="preserve">is the third of four we carried there — ProtoCloud is the lightest on all three tissues</w:t>
      </w:r>
      <w:r>
        <w:t xml:space="preserve"> </w:t>
      </w:r>
      <w:r>
        <w:t xml:space="preserve">(7.3 GB at 49k lung, 8.6 at 47k liver, 9.1 at 46k brain), then scTOP (7.5 / 9.3 / 10.6), then</w:t>
      </w:r>
      <w:r>
        <w:t xml:space="preserve"> </w:t>
      </w:r>
      <w:r>
        <w:t xml:space="preserve">actinn-jax (8.8 / 9.6 / 14.5), with the linear pipeline last (16.6 / 17.0 / 20.9). What</w:t>
      </w:r>
      <w:r>
        <w:t xml:space="preserve"> </w:t>
      </w:r>
      <w:r>
        <w:t xml:space="preserve">actinn-jax has on that axis is a</w:t>
      </w:r>
      <w:r>
        <w:t xml:space="preserve"> </w:t>
      </w:r>
      <w:r>
        <w:rPr>
          <w:b/>
          <w:bCs/>
        </w:rPr>
        <w:t xml:space="preserve">1.4–1.9× margin over the linear pipeline</w:t>
      </w:r>
      <w:r>
        <w:t xml:space="preserve">, bounded rather</w:t>
      </w:r>
      <w:r>
        <w:t xml:space="preserve"> </w:t>
      </w:r>
      <w:r>
        <w:t xml:space="preserve">than widening, and a profile that stays flat where the linear pipeline’s densified feature</w:t>
      </w:r>
      <w:r>
        <w:t xml:space="preserve"> </w:t>
      </w:r>
      <w:r>
        <w:t xml:space="preserve">block grows. Combined with the train-once/map-many cache, a reused reference pays fit once and</w:t>
      </w:r>
      <w:r>
        <w:t xml:space="preserve"> </w:t>
      </w:r>
      <w:r>
        <w:t xml:space="preserve">then only the flat predict cost, where the linear pipeline refits scaler/PCA/classifier for</w:t>
      </w:r>
      <w:r>
        <w:t xml:space="preserve"> </w:t>
      </w:r>
      <w:r>
        <w:t xml:space="preserve">every query.</w:t>
      </w:r>
    </w:p>
    <w:p>
      <w:pPr>
        <w:pStyle w:val="BodyText"/>
      </w:pPr>
      <w:r>
        <w:rPr>
          <w:i/>
          <w:iCs/>
        </w:rPr>
        <w:t xml:space="preserve">Those two properties are what the workflows are built on.</w:t>
      </w:r>
      <w:r>
        <w:t xml:space="preserve"> </w:t>
      </w:r>
      <w:r>
        <w:t xml:space="preserve">The practical gains come not from</w:t>
      </w:r>
      <w:r>
        <w:t xml:space="preserve"> </w:t>
      </w:r>
      <w:r>
        <w:t xml:space="preserve">the flat classifier but from the</w:t>
      </w:r>
      <w:r>
        <w:t xml:space="preserve"> </w:t>
      </w:r>
      <w:r>
        <w:rPr>
          <w:b/>
          <w:bCs/>
        </w:rPr>
        <w:t xml:space="preserve">broad→focused</w:t>
      </w:r>
      <w:r>
        <w:t xml:space="preserve"> </w:t>
      </w:r>
      <w:r>
        <w:t xml:space="preserve">pipeline (§3.5): a census-scale broad model</w:t>
      </w:r>
      <w:r>
        <w:t xml:space="preserve"> </w:t>
      </w:r>
      <w:r>
        <w:t xml:space="preserve">with a calibrated abstain routes a query to a small focused reference that re-annotates at</w:t>
      </w:r>
      <w:r>
        <w:t xml:space="preserve"> </w:t>
      </w:r>
      <w:r>
        <w:t xml:space="preserve">full resolution (cross-study liver 0.23/0.58 → 0.72/0.86), with zonation as a further stage.</w:t>
      </w:r>
      <w:r>
        <w:t xml:space="preserve"> </w:t>
      </w:r>
      <w:r>
        <w:t xml:space="preserve">The pipeline is only usable because each hop is cheap — a flat sub-second call against a</w:t>
      </w:r>
      <w:r>
        <w:t xml:space="preserve"> </w:t>
      </w:r>
      <w:r>
        <w:t xml:space="preserve">cached model, at bounded memory — so several models can be chained, and a large reference</w:t>
      </w:r>
      <w:r>
        <w:t xml:space="preserve"> </w:t>
      </w:r>
      <w:r>
        <w:t xml:space="preserve">kept resident, on a laptop without a GPU. A method that is a few points more accurate but</w:t>
      </w:r>
      <w:r>
        <w:t xml:space="preserve"> </w:t>
      </w:r>
      <w:r>
        <w:t xml:space="preserve">pays a full fit per query, or a multi-gigabyte dense expansion per stage, does not compose the</w:t>
      </w:r>
      <w:r>
        <w:t xml:space="preserve"> </w:t>
      </w:r>
      <w:r>
        <w:t xml:space="preserve">same way.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Much of what looked like a deficit of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on Open Problems</w:t>
      </w:r>
      <w:r>
        <w:t xml:space="preserve"> </w:t>
      </w:r>
      <w:r>
        <w:t xml:space="preserve">was a deficit of its</w:t>
      </w:r>
      <w:r>
        <w:t xml:space="preserve"> </w:t>
      </w:r>
      <w:r>
        <w:rPr>
          <w:b/>
          <w:bCs/>
        </w:rPr>
        <w:t xml:space="preserve">input</w:t>
      </w:r>
      <w:r>
        <w:t xml:space="preserve">. The benchmark hands every method 1,000 highly variable genes,</w:t>
      </w:r>
      <w:r>
        <w:t xml:space="preserve"> </w:t>
      </w:r>
      <w:r>
        <w:t xml:space="preserve">a far harsher constraint on a model reading gene space directly than on one that learns a</w:t>
      </w:r>
      <w:r>
        <w:t xml:space="preserve"> </w:t>
      </w:r>
      <w:r>
        <w:t xml:space="preserve">compressed representation first, and at a fair gene budget the gene-space MLP</w:t>
      </w:r>
      <w:r>
        <w:t xml:space="preserve"> </w:t>
      </w:r>
      <w:r>
        <w:rPr>
          <w:i/>
          <w:iCs/>
        </w:rPr>
        <w:t xml:space="preserve">matches the</w:t>
      </w:r>
      <w:r>
        <w:rPr>
          <w:i/>
          <w:iCs/>
        </w:rPr>
        <w:t xml:space="preserve"> </w:t>
      </w:r>
      <w:r>
        <w:rPr>
          <w:i/>
          <w:iCs/>
        </w:rPr>
        <w:t xml:space="preserve">leaderboard’s top method</w:t>
      </w:r>
      <w:r>
        <w:t xml:space="preserve"> </w:t>
      </w:r>
      <w:r>
        <w:t xml:space="preserve">on the datasets both complete. Widen the gene panel and most of the</w:t>
      </w:r>
      <w:r>
        <w:t xml:space="preserve"> </w:t>
      </w:r>
      <w:r>
        <w:t xml:space="preserve">gap closes, so the quantity being measured was partly</w:t>
      </w:r>
      <w:r>
        <w:t xml:space="preserve"> </w:t>
      </w:r>
      <w:r>
        <w:t xml:space="preserve">“how well does each method tolerate a</w:t>
      </w:r>
      <w:r>
        <w:t xml:space="preserve"> </w:t>
      </w:r>
      <w:r>
        <w:t xml:space="preserve">narrow input”</w:t>
      </w:r>
      <w:r>
        <w:t xml:space="preserve">, not</w:t>
      </w:r>
      <w:r>
        <w:t xml:space="preserve"> </w:t>
      </w:r>
      <w:r>
        <w:t xml:space="preserve">“which model class is stronger”</w:t>
      </w:r>
      <w:r>
        <w:t xml:space="preserve">.</w:t>
      </w:r>
    </w:p>
    <w:p>
      <w:pPr>
        <w:pStyle w:val="BodyText"/>
      </w:pPr>
      <w:r>
        <w:t xml:space="preserve">The genuine weaknesses are narrower. actinn-jax trails on small references and</w:t>
      </w:r>
      <w:r>
        <w:t xml:space="preserve"> </w:t>
      </w:r>
      <w:r>
        <w:t xml:space="preserve">very-few-cells-per-type sets (§3.1, §5), and it is sensitive to input budget under domain</w:t>
      </w:r>
      <w:r>
        <w:t xml:space="preserve"> </w:t>
      </w:r>
      <w:r>
        <w:t xml:space="preserve">shift: more genes help most datasets but overfit a tiny, fine-grained, shifted query</w:t>
      </w:r>
      <w:r>
        <w:t xml:space="preserve"> </w:t>
      </w:r>
      <w:r>
        <w:t xml:space="preserve">(tabula_sapiens). The two cheapest levers are principled and label-free —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gene budget chosen by cross-validation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alone</w:t>
      </w:r>
      <w:r>
        <w:t xml:space="preserve"> </w:t>
      </w:r>
      <w:r>
        <w:t xml:space="preserve">— and neither peeks at test labels.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(§3.3), underscoring that the</w:t>
      </w:r>
      <w:r>
        <w:t xml:space="preserve"> </w:t>
      </w:r>
      <w:r>
        <w:t xml:space="preserve">value is in the trained transformer, not a portable trick. The concurrent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effort reaches the same conclusion from a far larger curated corpus. Their</w:t>
      </w:r>
      <w:r>
        <w:t xml:space="preserve"> </w:t>
      </w:r>
      <w:r>
        <w:t xml:space="preserve">7M-parameter supervised hierarchical MLP over a 5,055-gene panel yields cleaner annotations</w:t>
      </w:r>
      <w:r>
        <w:t xml:space="preserve"> </w:t>
      </w:r>
      <w:r>
        <w:t xml:space="preserve">than scGPT and SCimilarity; they report those models’ labels as fragmented and</w:t>
      </w:r>
      <w:r>
        <w:t xml:space="preserve"> </w:t>
      </w:r>
      <w:r>
        <w:t xml:space="preserve">mis-transferred. Their stated theme — that training-data quality and organization matter as</w:t>
      </w:r>
      <w:r>
        <w:t xml:space="preserve"> </w:t>
      </w:r>
      <w:r>
        <w:t xml:space="preserve">much as architecture or scale — is one of the two claims we draw here, and their finding that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saturates past ~5M training cells</w:t>
      </w:r>
      <w:r>
        <w:t xml:space="preserve"> </w:t>
      </w:r>
      <w:r>
        <w:t xml:space="preserve">supports it further. The other claim, that</w:t>
      </w:r>
      <w:r>
        <w:t xml:space="preserve"> </w:t>
      </w:r>
      <w:r>
        <w:t xml:space="preserve">zero-shot foundation-model labels are the weaker option, they reach independently. Both come</w:t>
      </w:r>
      <w:r>
        <w:t xml:space="preserve"> </w:t>
      </w:r>
      <w:r>
        <w:t xml:space="preserve">from a group with no stake in our conclusion.</w:t>
      </w:r>
    </w:p>
    <w:p>
      <w:pPr>
        <w:pStyle w:val="BodyText"/>
      </w:pPr>
      <w:r>
        <w:rPr>
          <w:i/>
          <w:iCs/>
        </w:rPr>
        <w:t xml:space="preserve">When extra expressivity pays.</w:t>
      </w:r>
      <w:r>
        <w:t xml:space="preserve"> </w:t>
      </w:r>
      <w:r>
        <w:t xml:space="preserve">Two lines of evidence bear on this. First,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</w:t>
      </w:r>
      <w:r>
        <w:t xml:space="preserve"> </w:t>
      </w:r>
      <w:r>
        <w:t xml:space="preserve">a prototype-based, self-explaining VAE with built-in uncertainty and gene-level attribution,</w:t>
      </w:r>
      <w:r>
        <w:t xml:space="preserve"> </w:t>
      </w:r>
      <w:r>
        <w:t xml:space="preserve">a strictly richer model than ours — does not sit a fixed distance above or below us. Where it</w:t>
      </w:r>
      <w:r>
        <w:t xml:space="preserve"> </w:t>
      </w:r>
      <w:r>
        <w:t xml:space="preserve">lands depends on how much reference data it is given: below the top cluster on the subsampled</w:t>
      </w:r>
      <w:r>
        <w:t xml:space="preserve"> </w:t>
      </w:r>
      <w:r>
        <w:t xml:space="preserve">matrix, ahead on lung, and the strongest method of all at atlas scale (§3.1, §3.4), at ~8× actinn-jax’s CPU fit time (176 vs 22 s mean).</w:t>
      </w:r>
      <w:r>
        <w:t xml:space="preserve"> </w:t>
      </w:r>
      <w:r>
        <w:t xml:space="preserve">The richer model pays off where it has the data to</w:t>
      </w:r>
      <w:r>
        <w:t xml:space="preserve"> </w:t>
      </w:r>
      <w:r>
        <w:t xml:space="preserve">support it, and not before — which is an argument for matching model capacity to reference</w:t>
      </w:r>
      <w:r>
        <w:t xml:space="preserve"> </w:t>
      </w:r>
      <w:r>
        <w:t xml:space="preserve">size, not for preferring small models everywhere. Second, and more broadly,</w:t>
      </w:r>
      <w:r>
        <w:t xml:space="preserve"> </w:t>
      </w:r>
      <w:r>
        <w:t xml:space="preserve">Souza &amp; Mehta</w:t>
      </w:r>
      <w:r>
        <w:t xml:space="preserve"> </w:t>
      </w:r>
      <w:hyperlink r:id="rId83">
        <w:r>
          <w:rPr>
            <w:rStyle w:val="Hyperlink"/>
          </w:rPr>
          <w:t xml:space="preserve">[Souza &amp; Mehta 2026]</w:t>
        </w:r>
      </w:hyperlink>
      <w:r>
        <w:t xml:space="preserve"> </w:t>
      </w:r>
      <w:r>
        <w:t xml:space="preserve">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prediction.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0.899, against 0.907–0.910 for TranscriptFormer variants. Their explanation is</w:t>
      </w:r>
      <w:r>
        <w:t xml:space="preserve"> </w:t>
      </w:r>
      <w:r>
        <w:t xml:space="preserve">geometric: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the size of the input each method was given rather than the class of model</w:t>
      </w:r>
      <w:r>
        <w:t xml:space="preserve"> </w:t>
      </w:r>
      <w:r>
        <w:t xml:space="preserve">(§3.3). They</w:t>
      </w:r>
      <w:r>
        <w:t xml:space="preserve"> </w:t>
      </w:r>
      <w:r>
        <w:t xml:space="preserve">further find that simple methods hold</w:t>
      </w:r>
      <w:r>
        <w:t xml:space="preserve"> </w:t>
      </w:r>
      <w:r>
        <w:t xml:space="preserve">up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on novel cell types and unseen organisms. That matters for the</w:t>
      </w:r>
      <w:r>
        <w:t xml:space="preserve"> </w:t>
      </w:r>
      <w:r>
        <w:t xml:space="preserve">abstain mechanism of §3.6, which is only useful if low confidence tracks genuine novelty</w:t>
      </w:r>
      <w:r>
        <w:t xml:space="preserve"> </w:t>
      </w:r>
      <w:r>
        <w:t xml:space="preserve">rather than model noise. A method that degrades gradually on unfamiliar data still assigns</w:t>
      </w:r>
      <w:r>
        <w:t xml:space="preserve"> </w:t>
      </w:r>
      <w:r>
        <w:t xml:space="preserve">lower confidence to the cells it is getting wrong, so a threshold separates them; a method</w:t>
      </w:r>
      <w:r>
        <w:t xml:space="preserve"> </w:t>
      </w:r>
      <w:r>
        <w:t xml:space="preserve">that degrades abruptly can be confidently wrong, and no threshold helps.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use the</w:t>
      </w:r>
      <w:r>
        <w:t xml:space="preserve"> </w:t>
      </w:r>
      <w:r>
        <w:rPr>
          <w:b/>
          <w:bCs/>
        </w:rPr>
        <w:t xml:space="preserve">tuned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here. With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</w:t>
      </w:r>
      <w:r>
        <w:t xml:space="preserve"> </w:t>
      </w:r>
      <w:r>
        <w:t xml:space="preserve">the most accurate method we benchmarked (0.976 at 49k cells), and the GPU it targets makes</w:t>
      </w:r>
      <w:r>
        <w:t xml:space="preserve"> </w:t>
      </w:r>
      <w:r>
        <w:t xml:space="preserve">its 19× CPU fit cost much less 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suits small, low-cardinality</w:t>
      </w:r>
      <w:r>
        <w:t xml:space="preserve"> </w:t>
      </w:r>
      <w:r>
        <w:t xml:space="preserve">problems, where it is by far the cheapest (~1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fits the</w:t>
      </w:r>
      <w:r>
        <w:t xml:space="preserve"> </w:t>
      </w:r>
      <w:r>
        <w:t xml:space="preserve">cases its cost profile is shaped for: 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(~2× lighter</w:t>
      </w:r>
      <w:r>
        <w:t xml:space="preserve"> </w:t>
      </w:r>
      <w:r>
        <w:t xml:space="preserve">than the linear pipeline at scale, with memory-bounded chunked inference), when a reference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 (the cached model amortizes the fit), and when the job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multi-stage workflow</w:t>
      </w:r>
      <w:r>
        <w:t xml:space="preserve"> </w:t>
      </w:r>
      <w:r>
        <w:t xml:space="preserve">rather than a single label — broad→focused hand-off, tissue-aware</w:t>
      </w:r>
      <w:r>
        <w:t xml:space="preserve"> </w:t>
      </w:r>
      <w:r>
        <w:t xml:space="preserve">refinement, calibrated abstain, novel-cell-type screening.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b/>
          <w:bCs/>
        </w:rPr>
        <w:t xml:space="preserve">broad pass specifically, prefer a purpose-built pan-human model</w:t>
      </w:r>
      <w:r>
        <w:t xml:space="preserve">: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is a pretrained hierarchical</w:t>
      </w:r>
      <w:r>
        <w:t xml:space="preserve"> </w:t>
      </w:r>
      <w:r>
        <w:t xml:space="preserve">classifier over a harmonized organism-wide typology (8 levels, 382 leaf types, trained on</w:t>
      </w:r>
      <w:r>
        <w:t xml:space="preserve"> </w:t>
      </w:r>
      <w:r>
        <w:t xml:space="preserve">9.7M curated cells), with abstention learned rather than thresholded and an</w:t>
      </w:r>
      <w:r>
        <w:t xml:space="preserve"> </w:t>
      </w:r>
      <w:r>
        <w:rPr>
          <w:b/>
          <w:bCs/>
        </w:rPr>
        <w:t xml:space="preserve">expected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error (ECE)</w:t>
      </w:r>
      <w:r>
        <w:t xml:space="preserve"> </w:t>
      </w:r>
      <w:r>
        <w:t xml:space="preserve">of 0.0044 — meaning its stated confidence sits within half a</w:t>
      </w:r>
      <w:r>
        <w:t xml:space="preserve"> </w:t>
      </w:r>
      <w:r>
        <w:t xml:space="preserve">percentage point of its observed accuracy — running at ~1,000 cells/s on a laptop. It is better resourced than</w:t>
      </w:r>
      <w:r>
        <w:t xml:space="preserve"> </w:t>
      </w:r>
      <w:r>
        <w:t xml:space="preserve">our census-built reference and we make no claim to improve on its annotations. What we do</w:t>
      </w:r>
      <w:r>
        <w:t xml:space="preserve"> </w:t>
      </w:r>
      <w:r>
        <w:t xml:space="preserve">with it instead is</w:t>
      </w:r>
      <w:r>
        <w:t xml:space="preserve"> </w:t>
      </w:r>
      <w:r>
        <w:rPr>
          <w:b/>
          <w:bCs/>
        </w:rPr>
        <w:t xml:space="preserve">use it</w:t>
      </w:r>
      <w:r>
        <w:t xml:space="preserve">: distilling its labels and its hierarchy into actinn-jax</w:t>
      </w:r>
      <w:r>
        <w:t xml:space="preserve"> </w:t>
      </w:r>
      <w:r>
        <w:t xml:space="preserve">produces a broad-pass model of comparable accuracy at six to nine times its throughput, built</w:t>
      </w:r>
      <w:r>
        <w:t xml:space="preserve"> </w:t>
      </w:r>
      <w:r>
        <w:t xml:space="preserve">without a GPU and without labeled data (§3.5). A curated pan-human model is the right thing</w:t>
      </w:r>
      <w:r>
        <w:t xml:space="preserve"> </w:t>
      </w:r>
      <w:r>
        <w:t xml:space="preserve">to start from; a small fast model is the right thing to iterate with.</w:t>
      </w:r>
    </w:p>
    <w:p>
      <w:pPr>
        <w:pStyle w:val="BodyText"/>
      </w:pPr>
      <w:r>
        <w:t xml:space="preserve">What no fixed typology can do is the</w:t>
      </w:r>
      <w:r>
        <w:t xml:space="preserve"> </w:t>
      </w:r>
      <w:r>
        <w:rPr>
          <w:b/>
          <w:bCs/>
        </w:rPr>
        <w:t xml:space="preserve">hand-off</w:t>
      </w:r>
      <w:r>
        <w:t xml:space="preserve">: it cannot</w:t>
      </w:r>
      <w:r>
        <w:t xml:space="preserve"> </w:t>
      </w:r>
      <w:r>
        <w:t xml:space="preserve">re-annotate into a user’s own focused label set (the HLiCA liver reference, cross-study</w:t>
      </w:r>
      <w:r>
        <w:t xml:space="preserve"> </w:t>
      </w:r>
      <w:r>
        <w:t xml:space="preserve">0.23/0.58 → 0.72/0.86) or resolve states below a leaf (hepatocyte zonation). ProtoCloud</w:t>
      </w:r>
      <w:r>
        <w:t xml:space="preserve"> </w:t>
      </w:r>
      <w:r>
        <w:t xml:space="preserve">likewise provides uncertainty, gene attribution and a refinement path (fine-tuning a</w:t>
      </w:r>
      <w:r>
        <w:t xml:space="preserve"> </w:t>
      </w:r>
      <w:r>
        <w:t xml:space="preserve">pretrained model). What survives as distinct to actinn-jax is therefore not the breadth of</w:t>
      </w:r>
      <w:r>
        <w:t xml:space="preserve"> </w:t>
      </w:r>
      <w:r>
        <w:t xml:space="preserve">the broad reference but</w:t>
      </w:r>
      <w:r>
        <w:t xml:space="preserve"> </w:t>
      </w:r>
      <w:r>
        <w:rPr>
          <w:b/>
          <w:bCs/>
        </w:rPr>
        <w:t xml:space="preserve">the chain it enables</w:t>
      </w:r>
      <w:r>
        <w:t xml:space="preserve"> </w:t>
      </w:r>
      <w:r>
        <w:t xml:space="preserve">— start pan-human, re-annotate into label</w:t>
      </w:r>
      <w:r>
        <w:t xml:space="preserve"> </w:t>
      </w:r>
      <w:r>
        <w:t xml:space="preserve">sets no pretrained model carries, screen what none of them claims — at a cost that keeps</w:t>
      </w:r>
      <w:r>
        <w:t xml:space="preserve"> </w:t>
      </w:r>
      <w:r>
        <w:t xml:space="preserve">every stage on a laptop. The distillation recipe is not specific to this teacher or to</w:t>
      </w:r>
      <w:r>
        <w:t xml:space="preserve"> </w:t>
      </w:r>
      <w:r>
        <w:t xml:space="preserve">humans: it needs a pretrained annotator whose typology can be read off its outputs, so</w:t>
      </w:r>
      <w:r>
        <w:t xml:space="preserve"> </w:t>
      </w:r>
      <w:r>
        <w:t xml:space="preserve">extending the same entry point to other organisms is a matter of finding one (or building</w:t>
      </w:r>
      <w:r>
        <w:t xml:space="preserve"> </w:t>
      </w:r>
      <w:r>
        <w:t xml:space="preserve">the broad-pass reference from a labeled census slice, as §3.5’s census route does).</w:t>
      </w:r>
    </w:p>
    <w:p>
      <w:pPr>
        <w:pStyle w:val="BodyText"/>
      </w:pPr>
      <w:r>
        <w:rPr>
          <w:b/>
          <w:bCs/>
        </w:rPr>
        <w:t xml:space="preserve">What the speed is for.</w:t>
      </w:r>
      <w:r>
        <w:t xml:space="preserve"> </w:t>
      </w:r>
      <w:r>
        <w:t xml:space="preserve">Annotation is almost never the result; it is the step before the</w:t>
      </w:r>
      <w:r>
        <w:t xml:space="preserve"> </w:t>
      </w:r>
      <w:r>
        <w:t xml:space="preserve">biology, and it is usually run more than once — the labels change when a reference is</w:t>
      </w:r>
      <w:r>
        <w:t xml:space="preserve"> </w:t>
      </w:r>
      <w:r>
        <w:t xml:space="preserve">swapped, a threshold moves, a new sample arrives, or a cluster turns out to be two things.</w:t>
      </w:r>
      <w:r>
        <w:t xml:space="preserve"> </w:t>
      </w:r>
      <w:r>
        <w:t xml:space="preserve">The argument of this paper is not that a faster classifier produces better labels; at equal</w:t>
      </w:r>
      <w:r>
        <w:t xml:space="preserve"> </w:t>
      </w:r>
      <w:r>
        <w:t xml:space="preserve">data the leading methods differ by at most 0.008 in accuracy (§3.1). It is that when a stage costs</w:t>
      </w:r>
      <w:r>
        <w:t xml:space="preserve"> </w:t>
      </w:r>
      <w:r>
        <w:t xml:space="preserve">a second instead of a minute, and a chain of stages fits in memory on the machine already on</w:t>
      </w:r>
      <w:r>
        <w:t xml:space="preserve"> </w:t>
      </w:r>
      <w:r>
        <w:t xml:space="preserve">the desk, the loop from question to annotated data to the next question closes in an</w:t>
      </w:r>
      <w:r>
        <w:t xml:space="preserve"> </w:t>
      </w:r>
      <w:r>
        <w:t xml:space="preserve">afternoon rather than across a queue. That is the contribution we would defend: not a better</w:t>
      </w:r>
      <w:r>
        <w:t xml:space="preserve"> </w:t>
      </w:r>
      <w:r>
        <w:t xml:space="preserve">number in a table, but a workflow — start from the best pan-human model available, refine</w:t>
      </w:r>
      <w:r>
        <w:t xml:space="preserve"> </w:t>
      </w:r>
      <w:r>
        <w:t xml:space="preserve">into the labels a given study actually uses, and flag what neither covers — that a working</w:t>
      </w:r>
      <w:r>
        <w:t xml:space="preserve"> </w:t>
      </w:r>
      <w:r>
        <w:t xml:space="preserve">scientist can run, inspect, and run again.</w:t>
      </w:r>
    </w:p>
    <w:bookmarkEnd w:id="84"/>
    <w:bookmarkStart w:id="85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7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there. The deep and foundation methods are written for CUDA and we would expect them to be</w:t>
      </w:r>
      <w:r>
        <w:t xml:space="preserve"> </w:t>
      </w:r>
      <w:r>
        <w:t xml:space="preserve">faster on it, but we did not measure that — it is outside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question,</w:t>
      </w:r>
      <w:r>
        <w:t xml:space="preserve"> </w:t>
      </w:r>
      <w:r>
        <w:t xml:space="preserve">and every timing here should be read as this hardware’s. The §3.3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Wall-clock comparisons across methods are only meaningful at matched concurrency.</w:t>
      </w:r>
      <w:r>
        <w:t xml:space="preserve"> </w:t>
      </w:r>
      <w:r>
        <w:t xml:space="preserve">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on the OP harness spans 49% to 2338% across methods — some are</w:t>
      </w:r>
      <w:r>
        <w:t xml:space="preserve"> </w:t>
      </w:r>
      <w:r>
        <w:t xml:space="preserve">single-threaded, some saturate 23 cores — so the same method timed at two concurrency</w:t>
      </w:r>
      <w:r>
        <w:t xml:space="preserve"> </w:t>
      </w:r>
      <w:r>
        <w:t xml:space="preserve">settings differs by up to 12×, and any wall-clock ranking taken at high concurrency</w:t>
      </w:r>
      <w:r>
        <w:t xml:space="preserve"> </w:t>
      </w:r>
      <w:r>
        <w:t xml:space="preserve">silently ranks threading and scheduler contention alongside algorithm. Table 6 therefore</w:t>
      </w:r>
      <w:r>
        <w:t xml:space="preserve"> </w:t>
      </w:r>
      <w:r>
        <w:t xml:space="preserve">reports cost as a ratio within a run, anchored by a method common to both (§2.10) — the</w:t>
      </w:r>
      <w:r>
        <w:t xml:space="preserve"> </w:t>
      </w:r>
      <w:r>
        <w:t xml:space="preserve">anchor itself moved 165 s → 87 s between them, which is the size of the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cross-method comparison is human only</w:t>
      </w:r>
      <w:r>
        <w:t xml:space="preserve">; eight splits per benchmark; GPU foundation</w:t>
      </w:r>
      <w:r>
        <w:t xml:space="preserve"> </w:t>
      </w:r>
      <w:r>
        <w:t xml:space="preserve">models beyond scPRINT/UCE (scGPT, Geneformer, popV) not run locally. The bundled references</w:t>
      </w:r>
      <w:r>
        <w:t xml:space="preserve"> </w:t>
      </w:r>
      <w:r>
        <w:t xml:space="preserve">now cover mouse (§3.5), but no</w:t>
      </w:r>
      <w:r>
        <w:t xml:space="preserve"> </w:t>
      </w:r>
      <w:r>
        <w:rPr>
          <w:i/>
          <w:iCs/>
        </w:rPr>
        <w:t xml:space="preserve">method comparison</w:t>
      </w:r>
      <w:r>
        <w:t xml:space="preserve"> </w:t>
      </w:r>
      <w:r>
        <w:t xml:space="preserve">was run on mouse data — the pan-mouse</w:t>
      </w:r>
      <w:r>
        <w:t xml:space="preserve"> </w:t>
      </w:r>
      <w:r>
        <w:t xml:space="preserve">result establishes that the reference-building route works on a second organism, not that</w:t>
      </w:r>
      <w:r>
        <w:t xml:space="preserve"> </w:t>
      </w:r>
      <w:r>
        <w:t xml:space="preserve">actinn-jax’s standing against other methods carries over to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standing is worse at very fine granularity.</w:t>
      </w:r>
      <w:r>
        <w:t xml:space="preserve"> </w:t>
      </w:r>
      <w:r>
        <w:t xml:space="preserve">On the 151-type brain cluster</w:t>
      </w:r>
      <w:r>
        <w:t xml:space="preserve"> </w:t>
      </w:r>
      <w:r>
        <w:t xml:space="preserve">split it places tenth of eleven (0.741 against SingleR’s 0.845, §3.1), and the two</w:t>
      </w:r>
      <w:r>
        <w:t xml:space="preserve"> </w:t>
      </w:r>
      <w:r>
        <w:t xml:space="preserve">correlation methods that trail everywhere else lead there. The panel covers one split at that</w:t>
      </w:r>
      <w:r>
        <w:t xml:space="preserve"> </w:t>
      </w:r>
      <w:r>
        <w:t xml:space="preserve">cardinality, and it runs opposite to the 86-type blood+gut result; Table 3’s aggregate does</w:t>
      </w:r>
      <w:r>
        <w:t xml:space="preserve"> </w:t>
      </w:r>
      <w:r>
        <w:t xml:space="preserve">not cover annotation at cluster resolution.</w:t>
      </w:r>
    </w:p>
    <w:p>
      <w:pPr>
        <w:pStyle w:val="Compact"/>
        <w:numPr>
          <w:ilvl w:val="0"/>
          <w:numId w:val="1007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distilled broad-pass reference inherits a vocabulary, not a calibration.</w:t>
      </w:r>
      <w:r>
        <w:t xml:space="preserve"> </w:t>
      </w:r>
      <w:r>
        <w:t xml:space="preserve">Pan-human</w:t>
      </w:r>
      <w:r>
        <w:t xml:space="preserve"> </w:t>
      </w:r>
      <w:r>
        <w:t xml:space="preserve">Azimuth’s abstention is trained (and its ECE measured at 0.0044); the distilled student</w:t>
      </w:r>
      <w:r>
        <w:t xml:space="preserve"> </w:t>
      </w:r>
      <w:r>
        <w:t xml:space="preserve">learns hard labels only, so it carries none of that — its confidence barely separates right</w:t>
      </w:r>
      <w:r>
        <w:t xml:space="preserve"> </w:t>
      </w:r>
      <w:r>
        <w:t xml:space="preserve">from wrong (§3.5). Recalibrating it, or distilling from soft targets, is the obvious next</w:t>
      </w:r>
      <w:r>
        <w:t xml:space="preserve"> </w:t>
      </w:r>
      <w:r>
        <w:t xml:space="preserve">step and would need a loss change in the package. Its evaluation is also two withheld</w:t>
      </w:r>
      <w:r>
        <w:t xml:space="preserve"> </w:t>
      </w:r>
      <w:r>
        <w:rPr>
          <w:i/>
          <w:iCs/>
        </w:rPr>
        <w:t xml:space="preserve">atlases</w:t>
      </w:r>
      <w:r>
        <w:t xml:space="preserve">, not withheld tissue: the census-wide corpus spans 376 tissues, so nothing here</w:t>
      </w:r>
      <w:r>
        <w:t xml:space="preserve"> </w:t>
      </w:r>
      <w:r>
        <w:t xml:space="preserve">measures behavior on biology the corpus never saw.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reference-cross-validation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Standardization is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Our classical tier (SVM, kNN, CellTypist) is untuned, and a tuned linear baseline 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actinn-jax.</w:t>
      </w:r>
      <w:r>
        <w:t xml:space="preserve"> </w:t>
      </w:r>
      <w:r>
        <w:t xml:space="preserve">Souza &amp; Mehta’s pipeline (normalize → ANOVA → standardize → PCA(220) →</w:t>
      </w:r>
      <w:r>
        <w:t xml:space="preserve"> </w:t>
      </w:r>
      <w:r>
        <w:t xml:space="preserve">logistic regression) leads the matrix on accuracy (0.839 vs 0.831) and macro-F1 (0.699 vs</w:t>
      </w:r>
      <w:r>
        <w:t xml:space="preserve"> </w:t>
      </w:r>
      <w:r>
        <w:t xml:space="preserve">0.683) while fitting 7× faster on this panel’s hardware (§2.5), with its largest margin</w:t>
      </w:r>
      <w:r>
        <w:t xml:space="preserve"> </w:t>
      </w:r>
      <w:r>
        <w:t xml:space="preserve">on the 86-type blood+gut set (+4.2 pt).</w:t>
      </w:r>
      <w:r>
        <w:t xml:space="preserve"> </w:t>
      </w:r>
      <w:r>
        <w:t xml:space="preserve">Wall-clock ratios between a JAX model and a scikit-learn pipeline shift with the CPU and</w:t>
      </w:r>
      <w:r>
        <w:t xml:space="preserve"> </w:t>
      </w:r>
      <w:r>
        <w:t xml:space="preserve">the threading available, so read them as this machine’s, not as constants. The §3.1</w:t>
      </w:r>
      <w:r>
        <w:t xml:space="preserve"> </w:t>
      </w:r>
      <w:r>
        <w:t xml:space="preserve">margins over the</w:t>
      </w:r>
      <w:r>
        <w:t xml:space="preserve"> </w:t>
      </w:r>
      <w:r>
        <w:t xml:space="preserve">classical tier should therefore be read as margins over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baselines; a like-for-like</w:t>
      </w:r>
      <w:r>
        <w:t xml:space="preserve"> </w:t>
      </w:r>
      <w:r>
        <w:t xml:space="preserve">tuning effort on SVM or CellTypist would likely narrow them further. scTOP is cheaper</w:t>
      </w:r>
      <w:r>
        <w:t xml:space="preserve"> </w:t>
      </w:r>
      <w:r>
        <w:t xml:space="preserve">still to fit but competitive only at small, low cardinality — its own best macro-F1 on</w:t>
      </w:r>
      <w:r>
        <w:t xml:space="preserve"> </w:t>
      </w:r>
      <w:r>
        <w:t xml:space="preserve">pbmc (0.837), degrading to 0.644 on liver.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memory advantage is bounded, and the linear pipeline scales further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naive extrapolation implies</w:t>
      </w:r>
      <w:r>
        <w:t xml:space="preserve">. Extrapolating the</w:t>
      </w:r>
      <w:r>
        <w:t xml:space="preserve"> </w:t>
      </w:r>
      <w:r>
        <w:t xml:space="preserve">linear pipeline’s small-reference footprint overstates its atlas-scale peak by ~2.4× — the</w:t>
      </w:r>
      <w:r>
        <w:t xml:space="preserve"> </w:t>
      </w:r>
      <w:r>
        <w:t xml:space="preserve">measured figure is</w:t>
      </w:r>
      <w:r>
        <w:t xml:space="preserve"> </w:t>
      </w:r>
      <w:r>
        <w:rPr>
          <w:b/>
          <w:bCs/>
        </w:rPr>
        <w:t xml:space="preserve">13.2 GB</w:t>
      </w:r>
      <w:r>
        <w:t xml:space="preserve"> </w:t>
      </w:r>
      <w:r>
        <w:t xml:space="preserve">at 49k reference cells — because its feature-selection step</w:t>
      </w:r>
      <w:r>
        <w:t xml:space="preserve"> </w:t>
      </w:r>
      <w:r>
        <w:t xml:space="preserve">caps the dense matrix at 20,000 genes rather than the full gene set. The linear/actinn-jax</w:t>
      </w:r>
      <w:r>
        <w:t xml:space="preserve"> </w:t>
      </w:r>
      <w:r>
        <w:t xml:space="preserve">memory ratio is likewise</w:t>
      </w:r>
      <w:r>
        <w:t xml:space="preserve"> </w:t>
      </w:r>
      <w:r>
        <w:rPr>
          <w:b/>
          <w:bCs/>
        </w:rPr>
        <w:t xml:space="preserve">bounded at ~2–3×</w:t>
      </w:r>
      <w:r>
        <w:t xml:space="preserve"> </w:t>
      </w:r>
      <w:r>
        <w:t xml:space="preserve">(2.15× at full scale) rather than widening with data, so there is no</w:t>
      </w:r>
      <w:r>
        <w:t xml:space="preserve"> </w:t>
      </w:r>
      <w:r>
        <w:t xml:space="preserve">scaling cliff and no regime tested where the linear pipeline stops being usable. Memory</w:t>
      </w:r>
      <w:r>
        <w:t xml:space="preserve"> </w:t>
      </w:r>
      <w:r>
        <w:t xml:space="preserve">in this setting should be measured, not extrapolated.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main matrix uses subsampled references, and its ranking does not survive atlas scale.</w:t>
      </w:r>
      <w:r>
        <w:t xml:space="preserve"> </w:t>
      </w:r>
      <w:r>
        <w:t xml:space="preserve">Carried to 49k lung and 47k liver reference cells, ProtoCloud moves from the weakest method</w:t>
      </w:r>
      <w:r>
        <w:t xml:space="preserve"> </w:t>
      </w:r>
      <w:r>
        <w:t xml:space="preserve">to the strongest and scTOP crosses from the lightest to heavier than actinn-jax (§3.4,</w:t>
      </w:r>
      <w:r>
        <w:t xml:space="preserve"> </w:t>
      </w:r>
      <w:r>
        <w:t xml:space="preserve">Figure 3). The accuracy ordering of Table 3 describes laptop-sized references, which is the</w:t>
      </w:r>
      <w:r>
        <w:t xml:space="preserve"> </w:t>
      </w:r>
      <w:r>
        <w:t xml:space="preserve">regime this paper is about; at atlas scale the ordering is the one in Figure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85"/>
    <w:bookmarkStart w:id="92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Two repositories hold everything needed to reproduce this work. The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benchmark repository</w:t>
        </w:r>
      </w:hyperlink>
      <w:r>
        <w:t xml:space="preserve"> </w:t>
      </w:r>
      <w:r>
        <w:t xml:space="preserve">carries the harness, the per-method adapters, the run</w:t>
      </w:r>
      <w:r>
        <w:t xml:space="preserve"> </w:t>
      </w:r>
      <w:r>
        <w:t xml:space="preserve">configurations that produce every number reported here, the environment lockfiles, the</w:t>
      </w:r>
      <w:r>
        <w:t xml:space="preserve"> </w:t>
      </w:r>
      <w:r>
        <w:t xml:space="preserve">result tables including the unified eleven-method matrix, and the figure scripts. It is</w:t>
      </w:r>
      <w:r>
        <w:t xml:space="preserve"> </w:t>
      </w:r>
      <w:r>
        <w:t xml:space="preserve">archived at</w:t>
      </w:r>
      <w:r>
        <w:t xml:space="preserve"> </w:t>
      </w:r>
      <w:hyperlink r:id="rId86">
        <w:r>
          <w:rPr>
            <w:rStyle w:val="Hyperlink"/>
          </w:rPr>
          <w:t xml:space="preserve">doi:10.5281/zenodo.21911372</w:t>
        </w:r>
      </w:hyperlink>
      <w:r>
        <w:t xml:space="preserve"> </w:t>
      </w:r>
      <w:r>
        <w:t xml:space="preserve">(MIT; a</w:t>
      </w:r>
      <w:r>
        <w:t xml:space="preserve"> </w:t>
      </w:r>
      <w:r>
        <w:t xml:space="preserve">concept DOI that resolves to the most recent release), which is what to cite for reproduction</w:t>
      </w:r>
      <w:r>
        <w:t xml:space="preserve"> </w:t>
      </w:r>
      <w:r>
        <w:t xml:space="preserve">rather than the default branch, since the branch may move on. The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actinn-jax package</w:t>
        </w:r>
      </w:hyperlink>
      <w:r>
        <w:t xml:space="preserve"> </w:t>
      </w:r>
      <w:r>
        <w:t xml:space="preserve">is on PyPI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actinn-jax</w:t>
      </w:r>
      <w:r>
        <w:t xml:space="preserve">). Rebuilding the broad reference is a single documented</w:t>
      </w:r>
      <w:r>
        <w:t xml:space="preserve"> </w:t>
      </w:r>
      <w:r>
        <w:t xml:space="preserve">command; the distilled broad-pass reference, the pan-mouse reference and the Cell-Ontology</w:t>
      </w:r>
      <w:r>
        <w:t xml:space="preserve"> </w:t>
      </w:r>
      <w:r>
        <w:t xml:space="preserve">hierarchy it depends on each have their own build documentation in the benchmark</w:t>
      </w:r>
      <w:r>
        <w:t xml:space="preserve"> </w:t>
      </w:r>
      <w:r>
        <w:t xml:space="preserve">repository, and the file-level detail lives there rather than here.</w:t>
      </w:r>
    </w:p>
    <w:p>
      <w:pPr>
        <w:pStyle w:val="BodyText"/>
      </w:pPr>
      <w:r>
        <w:rPr>
          <w:b/>
          <w:bCs/>
        </w:rPr>
        <w:t xml:space="preserve">Pre-trained references</w:t>
      </w:r>
      <w:r>
        <w:t xml:space="preserve"> </w:t>
      </w:r>
      <w:r>
        <w:t xml:space="preserve">— human (</w:t>
      </w:r>
      <w:r>
        <w:rPr>
          <w:rStyle w:val="VerbatimChar"/>
        </w:rPr>
        <w:t xml:space="preserve">broad_human_v1</w:t>
      </w:r>
      <w:r>
        <w:t xml:space="preserve">,</w:t>
      </w:r>
      <w:r>
        <w:t xml:space="preserve"> </w:t>
      </w:r>
      <w:r>
        <w:rPr>
          <w:rStyle w:val="VerbatimChar"/>
        </w:rPr>
        <w:t xml:space="preserve">panhuman_distill_v1</w:t>
      </w:r>
      <w:r>
        <w:t xml:space="preserve">),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broad_mouse_v1</w:t>
      </w:r>
      <w:r>
        <w:t xml:space="preserve">) and focused liver (</w:t>
      </w:r>
      <w:r>
        <w:rPr>
          <w:rStyle w:val="VerbatimChar"/>
        </w:rPr>
        <w:t xml:space="preserve">liver_hlica_v1</w:t>
      </w:r>
      <w:r>
        <w:t xml:space="preserve">/</w:t>
      </w:r>
      <w:r>
        <w:rPr>
          <w:rStyle w:val="VerbatimChar"/>
        </w:rPr>
        <w:t xml:space="preserve">v2</w:t>
      </w:r>
      <w:r>
        <w:t xml:space="preserve">) — are archived at</w:t>
      </w:r>
      <w:r>
        <w:t xml:space="preserve"> </w:t>
      </w:r>
      <w:hyperlink r:id="rId88">
        <w:r>
          <w:rPr>
            <w:rStyle w:val="Hyperlink"/>
          </w:rPr>
          <w:t xml:space="preserve">doi:10.5281/zenodo.21688151</w:t>
        </w:r>
      </w:hyperlink>
      <w:r>
        <w:t xml:space="preserve"> </w:t>
      </w:r>
      <w:r>
        <w:t xml:space="preserve">(CC BY 4.0; cite the</w:t>
      </w:r>
      <w:r>
        <w:t xml:space="preserve"> </w:t>
      </w:r>
      <w:r>
        <w:t xml:space="preserve">concept DOI</w:t>
      </w:r>
      <w:r>
        <w:t xml:space="preserve"> </w:t>
      </w:r>
      <w:hyperlink r:id="rId89">
        <w:r>
          <w:rPr>
            <w:rStyle w:val="Hyperlink"/>
          </w:rPr>
          <w:t xml:space="preserve">10.5281/zenodo.21688150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latest version). The package downloads and caches them on first use, so no manual</w:t>
      </w:r>
      <w:r>
        <w:t xml:space="preserve"> </w:t>
      </w:r>
      <w:r>
        <w:t xml:space="preserve">retrieval is needed, and can pre-download them for offline use.</w:t>
      </w:r>
    </w:p>
    <w:p>
      <w:pPr>
        <w:pStyle w:val="BodyText"/>
      </w:pPr>
      <w:r>
        <w:t xml:space="preserve">HLiCA data © Edgar et al. 2026 (CC-BY 4.0),</w:t>
      </w:r>
      <w:r>
        <w:t xml:space="preserve"> </w:t>
      </w:r>
      <w:hyperlink r:id="rId30">
        <w:r>
          <w:rPr>
            <w:rStyle w:val="Hyperlink"/>
          </w:rPr>
          <w:t xml:space="preserve">[doi:10.64898/2026.06.30.735539]</w:t>
        </w:r>
      </w:hyperlink>
      <w:r>
        <w:t xml:space="preserve">. The distilled</w:t>
      </w:r>
      <w:r>
        <w:t xml:space="preserve"> </w:t>
      </w:r>
      <w:r>
        <w:t xml:space="preserve">reference derives from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(Sarkar, Li, Molla, … Satija, bioRxiv 2026,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); its weights are</w:t>
      </w:r>
      <w:r>
        <w:t xml:space="preserve"> </w:t>
      </w:r>
      <w:r>
        <w:t xml:space="preserve">© the authors under</w:t>
      </w:r>
      <w:r>
        <w:t xml:space="preserve"> </w:t>
      </w:r>
      <w:hyperlink r:id="rId90">
        <w:r>
          <w:rPr>
            <w:rStyle w:val="Hyperlink"/>
          </w:rPr>
          <w:t xml:space="preserve">CC BY 4.0</w:t>
        </w:r>
      </w:hyperlink>
      <w:r>
        <w:t xml:space="preserve">, obtained via</w:t>
      </w:r>
      <w:r>
        <w:t xml:space="preserve"> </w:t>
      </w:r>
      <w:r>
        <w:rPr>
          <w:rStyle w:val="VerbatimChar"/>
        </w:rPr>
        <w:t xml:space="preserve">panhumanpy</w:t>
      </w:r>
      <w:r>
        <w:t xml:space="preserve"> </w:t>
      </w:r>
      <w:r>
        <w:t xml:space="preserve">(MIT) and</w:t>
      </w:r>
      <w:r>
        <w:t xml:space="preserve"> </w:t>
      </w:r>
      <w:hyperlink r:id="rId91">
        <w:r>
          <w:rPr>
            <w:rStyle w:val="Hyperlink"/>
          </w:rPr>
          <w:t xml:space="preserve">Zenodo</w:t>
        </w:r>
      </w:hyperlink>
      <w:r>
        <w:t xml:space="preserve">. Attribution is a</w:t>
      </w:r>
      <w:r>
        <w:t xml:space="preserve"> </w:t>
      </w:r>
      <w:r>
        <w:t xml:space="preserve">condition of that licence and travels inside each model’s build record.</w:t>
      </w:r>
    </w:p>
    <w:p>
      <w:pPr>
        <w:pStyle w:val="BodyText"/>
      </w:pPr>
      <w:r>
        <w:rPr>
          <w:b/>
          <w:bCs/>
        </w:rPr>
        <w:t xml:space="preserve">Additional documentation.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 </w:t>
      </w:r>
      <w:r>
        <w:t xml:space="preserve">carries detailed notes for each result — tuned linear pipeline and sctop baselines; protocloud comparison; scaling and memory to atlas size; survey of cell-type annotation methods; rebuilding the broad reference; distilling pan-human azimuth; and 9 more.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contains Figures S1–S13 — confusion matrices</w:t>
      </w:r>
      <w:r>
        <w:t xml:space="preserve"> </w:t>
      </w:r>
      <w:r>
        <w:t xml:space="preserve">with ontology-equivalent errors outlined, per-class recall across eleven methods on four</w:t>
      </w:r>
      <w:r>
        <w:t xml:space="preserve"> </w:t>
      </w:r>
      <w:r>
        <w:t xml:space="preserve">splits, the cost and scaling studies, the abstain sweeps, the per-split view behind Figure 1,</w:t>
      </w:r>
      <w:r>
        <w:t xml:space="preserve"> </w:t>
      </w:r>
      <w:r>
        <w:t xml:space="preserve">and the gene-budget curves for §3.3 — and Tables S1–S3, the method and dataset descriptions</w:t>
      </w:r>
      <w:r>
        <w:t xml:space="preserve"> </w:t>
      </w:r>
      <w:r>
        <w:t xml:space="preserve">and per-dataset accuracy.</w:t>
      </w:r>
    </w:p>
    <w:bookmarkEnd w:id="92"/>
    <w:bookmarkStart w:id="93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9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1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20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15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CZI Cell Science Program. CZ CELLxGENE Discover Census, LTS release 2025-11-08.</w:t>
      </w:r>
      <w:r>
        <w:t xml:space="preserve"> </w:t>
      </w:r>
      <w:hyperlink r:id="rId38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55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18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30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10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24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Jorstad NL, Song JHT, Exposito-Alonso D, et al. Comparative transcriptomics reveals human-specific cortical features.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382(6667):eade9516 (2023).</w:t>
      </w:r>
      <w:r>
        <w:t xml:space="preserve"> </w:t>
      </w:r>
      <w:hyperlink r:id="rId33">
        <w:r>
          <w:rPr>
            <w:rStyle w:val="Hyperlink"/>
          </w:rPr>
          <w:t xml:space="preserve">doi:10.1126/science.ade9516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25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Kedzierska KZ, Crawford L, Amini AP, Lu AX. Zero-shot evaluation reveals limitations of single-cell foundation models.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26:101 (2025).</w:t>
      </w:r>
      <w:r>
        <w:t xml:space="preserve"> </w:t>
      </w:r>
      <w:hyperlink r:id="rId11">
        <w:r>
          <w:rPr>
            <w:rStyle w:val="Hyperlink"/>
          </w:rPr>
          <w:t xml:space="preserve">doi:10.1186/s13059-025-03574-x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21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6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23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4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73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3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17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5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29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83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28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22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19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12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75" Target="media/rId75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7" Target="media/rId57.png" /><Relationship Type="http://schemas.openxmlformats.org/officeDocument/2006/relationships/image" Id="rId67" Target="media/rId67.png" /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0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55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1" Target="https://doi.org/10.5281/zenodo.20401417" TargetMode="External" /><Relationship Type="http://schemas.openxmlformats.org/officeDocument/2006/relationships/hyperlink" Id="rId89" Target="https://doi.org/10.5281/zenodo.21688150" TargetMode="External" /><Relationship Type="http://schemas.openxmlformats.org/officeDocument/2006/relationships/hyperlink" Id="rId88" Target="https://doi.org/10.5281/zenodo.21688151" TargetMode="External" /><Relationship Type="http://schemas.openxmlformats.org/officeDocument/2006/relationships/hyperlink" Id="rId86" Target="https://doi.org/10.5281/zenodo.21911372" TargetMode="External" /><Relationship Type="http://schemas.openxmlformats.org/officeDocument/2006/relationships/hyperlink" Id="rId83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3" Target="https://doi.org/10.7554/eLife.59928" TargetMode="External" /><Relationship Type="http://schemas.openxmlformats.org/officeDocument/2006/relationships/hyperlink" Id="rId87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54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0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55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1" Target="https://doi.org/10.5281/zenodo.20401417" TargetMode="External" /><Relationship Type="http://schemas.openxmlformats.org/officeDocument/2006/relationships/hyperlink" Id="rId89" Target="https://doi.org/10.5281/zenodo.21688150" TargetMode="External" /><Relationship Type="http://schemas.openxmlformats.org/officeDocument/2006/relationships/hyperlink" Id="rId88" Target="https://doi.org/10.5281/zenodo.21688151" TargetMode="External" /><Relationship Type="http://schemas.openxmlformats.org/officeDocument/2006/relationships/hyperlink" Id="rId86" Target="https://doi.org/10.5281/zenodo.21911372" TargetMode="External" /><Relationship Type="http://schemas.openxmlformats.org/officeDocument/2006/relationships/hyperlink" Id="rId83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3" Target="https://doi.org/10.7554/eLife.59928" TargetMode="External" /><Relationship Type="http://schemas.openxmlformats.org/officeDocument/2006/relationships/hyperlink" Id="rId87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54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2026-08-19T08:20:45Z</dcterms:created>
  <dcterms:modified xsi:type="dcterms:W3CDTF">2026-08-19T08:20:45Z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