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4.png" ContentType="image/png"/>
  <Override PartName="/word/media/rId58.png" ContentType="image/png"/>
  <Override PartName="/word/media/rId50.png" ContentType="image/png"/>
  <Override PartName="/word/media/rId62.png" ContentType="image/png"/>
  <Override PartName="/word/media/rId72.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13-method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thirteen</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four-way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and actinn-jax (0.831) alongside it.</w:t>
      </w:r>
      <w:r>
        <w:t xml:space="preserve"> </w:t>
      </w:r>
      <w:r>
        <w:rPr>
          <w:b/>
          <w:bCs/>
        </w:rPr>
        <w:t xml:space="preserve">Those same four methods differ by ~130× in inference time</w:t>
      </w:r>
      <w:r>
        <w:t xml:space="preserve"> </w:t>
      </w:r>
      <w:r>
        <w:t xml:space="preserve">(0.34 s to 89 s)</w:t>
      </w:r>
      <w:r>
        <w:t xml:space="preserve"> </w:t>
      </w:r>
      <w:r>
        <w:rPr>
          <w:b/>
          <w:bCs/>
        </w:rPr>
        <w:t xml:space="preserve">and 2.4× in peak memory</w:t>
      </w:r>
      <w:r>
        <w:t xml:space="preserve"> </w:t>
      </w:r>
      <w:r>
        <w:t xml:space="preserve">(1.8 to 4.3 GB). The linear pipeline is the most accurate-per-second option on laptop-sized data, fitting 7× faster than actinn-jax (3.0 vs. 21.9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on human data and — via a hierarchy derived from the Cell Ontology, which removes the GPU step from building a reference — on mouse: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tier than ours, and one we can</w:t>
      </w:r>
      <w:r>
        <w:t xml:space="preserve"> </w:t>
      </w:r>
      <w:r>
        <w:rPr>
          <w:b/>
          <w:bCs/>
        </w:rPr>
        <w:t xml:space="preserve">distill into a broad-pass model of comparable accuracy at ~9×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favourable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unfavourable direction (§5). Metrics are</w:t>
      </w:r>
      <w:r>
        <w:t xml:space="preserve"> </w:t>
      </w:r>
      <w:r>
        <w:t xml:space="preserve">fixed across all methods and reported in full. Most importantly, the</w:t>
      </w:r>
      <w:r>
        <w:t xml:space="preserve"> </w:t>
      </w:r>
      <w:r>
        <w:rPr>
          <w:b/>
          <w:bCs/>
        </w:rPr>
        <w:t xml:space="preserve">external validation is</w:t>
      </w:r>
      <w:r>
        <w:rPr>
          <w:b/>
          <w:bCs/>
        </w:rPr>
        <w:t xml:space="preserve"> </w:t>
      </w:r>
      <w:r>
        <w:rPr>
          <w:b/>
          <w:bCs/>
        </w:rPr>
        <w:t xml:space="preserve">somebody 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bounded</w:t>
      </w:r>
      <w:r>
        <w:t xml:space="preserve"> </w:t>
      </w:r>
      <w:r>
        <w:t xml:space="preserve">rather than widening memory advantage, a better-resourced broad annotator than our own — they</w:t>
      </w:r>
      <w:r>
        <w:t xml:space="preserve"> </w:t>
      </w:r>
      <w:r>
        <w:t xml:space="preserve">are reported in those terms.</w:t>
      </w:r>
    </w:p>
    <w:p>
      <w:pPr>
        <w:pStyle w:val="BodyText"/>
      </w:pPr>
      <w:r>
        <w:rPr>
          <w:b/>
          <w:bCs/>
        </w:rPr>
        <w:t xml:space="preserve">On adding another method to a crowded field.</w:t>
      </w:r>
      <w:r>
        <w:t xml:space="preserve"> </w:t>
      </w:r>
      <w:r>
        <w:t xml:space="preserve">We are adding one, and we think it earns</w:t>
      </w:r>
      <w:r>
        <w:t xml:space="preserve"> </w:t>
      </w:r>
      <w:r>
        <w:t xml:space="preserve">its place: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What we are</w:t>
      </w:r>
      <w:r>
        <w:t xml:space="preserve"> </w:t>
      </w:r>
      <w:r>
        <w:rPr>
          <w:i/>
          <w:iCs/>
        </w:rPr>
        <w:t xml:space="preserve">not</w:t>
      </w:r>
      <w:r>
        <w:t xml:space="preserve"> </w:t>
      </w:r>
      <w:r>
        <w:t xml:space="preserve">doing is the</w:t>
      </w:r>
      <w:r>
        <w:t xml:space="preserve"> </w:t>
      </w:r>
      <w:r>
        <w:t xml:space="preserve">move that makes method papers hard to trust — concluding that the new method wins. It does</w:t>
      </w:r>
      <w:r>
        <w:t xml:space="preserve"> </w:t>
      </w:r>
      <w:r>
        <w:t xml:space="preserve">not: on accuracy it sits inside a four-way cluster it does not lead, the panel was assembled</w:t>
      </w:r>
      <w:r>
        <w:t xml:space="preserve"> </w:t>
      </w:r>
      <w:r>
        <w:t xml:space="preserve">to include the baselines most likely to beat it, and they do.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tier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 which beats the embedding-derived hierarchy on the human</w:t>
      </w:r>
      <w:r>
        <w:t xml:space="preserve"> </w:t>
      </w:r>
      <w:r>
        <w:t xml:space="preserve">corpus it was validated against, and 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no</w:t>
      </w:r>
      <w:r>
        <w:t xml:space="preserve"> </w:t>
      </w:r>
      <w:r>
        <w:rPr>
          <w:rStyle w:val="VerbatimChar"/>
        </w:rPr>
        <w:t xml:space="preserve">adata.to_df</w:t>
      </w:r>
      <w:r>
        <w:t xml:space="preserve"> </w:t>
      </w:r>
      <w:r>
        <w:t xml:space="preserve">densification; CP10k+log2</w:t>
      </w:r>
      <w:r>
        <w:t xml:space="preserve"> </w:t>
      </w:r>
      <w:r>
        <w:t xml:space="preserve">normalization and the expression / coefficient-of-variation gene filter run on sparse</w:t>
      </w:r>
      <w:r>
        <w:t xml:space="preserve"> </w:t>
      </w:r>
      <w:r>
        <w:t xml:space="preserve">matrices; only the selected-gene</w:t>
      </w:r>
      <w:r>
        <w:t xml:space="preserve"> </w:t>
      </w:r>
      <w:r>
        <w:t xml:space="preserve">columns of each minibatch are densified.</w:t>
      </w:r>
    </w:p>
    <w:p>
      <w:pPr>
        <w:pStyle w:val="Compact"/>
        <w:numPr>
          <w:ilvl w:val="0"/>
          <w:numId w:val="1002"/>
        </w:numPr>
      </w:pPr>
      <w:r>
        <w:rPr>
          <w:b/>
          <w:bCs/>
        </w:rPr>
        <w:t xml:space="preserve">Cached reference model</w:t>
      </w:r>
      <w:r>
        <w:t xml:space="preserve"> </w:t>
      </w:r>
      <w:r>
        <w:t xml:space="preserve">(</w:t>
      </w:r>
      <w:r>
        <w:rPr>
          <w:rStyle w:val="VerbatimChar"/>
        </w:rPr>
        <w:t xml:space="preserve">ReferenceModel</w:t>
      </w:r>
      <w:r>
        <w:t xml:space="preserve">): train once,</w:t>
      </w:r>
      <w:r>
        <w:t xml:space="preserve"> </w:t>
      </w:r>
      <w:r>
        <w:rPr>
          <w:rStyle w:val="VerbatimChar"/>
        </w:rPr>
        <w:t xml:space="preserve">save</w:t>
      </w:r>
      <w:r>
        <w:t xml:space="preserve">/</w:t>
      </w:r>
      <w:r>
        <w:rPr>
          <w:rStyle w:val="VerbatimChar"/>
        </w:rPr>
        <w:t xml:space="preserve">load</w:t>
      </w:r>
      <w:r>
        <w:t xml:space="preserve">, map many</w:t>
      </w:r>
      <w:r>
        <w:t xml:space="preserve"> </w:t>
      </w:r>
      <w:r>
        <w:t xml:space="preserve">queries — the amortized cost of repeated annotation against a fixed reference drops to</w:t>
      </w:r>
      <w:r>
        <w:t xml:space="preserve"> </w:t>
      </w:r>
      <w:r>
        <w:t xml:space="preserve">the inference cost alone.</w:t>
      </w:r>
    </w:p>
    <w:p>
      <w:pPr>
        <w:pStyle w:val="Compact"/>
        <w:numPr>
          <w:ilvl w:val="0"/>
          <w:numId w:val="1002"/>
        </w:numPr>
      </w:pPr>
      <w:r>
        <w:rPr>
          <w:b/>
          <w:bCs/>
        </w:rPr>
        <w:t xml:space="preserve">Chunked prediction</w:t>
      </w:r>
      <w:r>
        <w:t xml:space="preserve"> </w:t>
      </w:r>
      <w:r>
        <w:t xml:space="preserve">for atlas-scale queries;</w:t>
      </w:r>
      <w:r>
        <w:t xml:space="preserve"> </w:t>
      </w:r>
      <w:r>
        <w:rPr>
          <w:rStyle w:val="VerbatimChar"/>
          <w:b/>
          <w:bCs/>
        </w:rPr>
        <w:t xml:space="preserve">use_raw='auto'</w:t>
      </w:r>
      <w:r>
        <w:t xml:space="preserve"> </w:t>
      </w:r>
      <w:r>
        <w:t xml:space="preserve">to pick raw counts</w:t>
      </w:r>
      <w:r>
        <w:t xml:space="preserve"> </w:t>
      </w:r>
      <w:r>
        <w:t xml:space="preserve">from</w:t>
      </w:r>
      <w:r>
        <w:t xml:space="preserve"> </w:t>
      </w:r>
      <w:r>
        <w:rPr>
          <w:rStyle w:val="VerbatimChar"/>
        </w:rPr>
        <w:t xml:space="preserve">.raw</w:t>
      </w:r>
      <w:r>
        <w:t xml:space="preserve"> </w:t>
      </w:r>
      <w:r>
        <w:t xml:space="preserve">(CELLxGENE convention).</w:t>
      </w:r>
    </w:p>
    <w:p>
      <w:pPr>
        <w:pStyle w:val="Compact"/>
        <w:numPr>
          <w:ilvl w:val="0"/>
          <w:numId w:val="1002"/>
        </w:numPr>
      </w:pPr>
      <w:r>
        <w:rPr>
          <w:b/>
          <w:bCs/>
        </w:rPr>
        <w:t xml:space="preserve">Optional reference-fit standardization</w:t>
      </w:r>
      <w:r>
        <w:t xml:space="preserve"> </w:t>
      </w:r>
      <w:r>
        <w:t xml:space="preserve">(</w:t>
      </w:r>
      <w:r>
        <w:rPr>
          <w:rStyle w:val="VerbatimChar"/>
        </w:rPr>
        <w:t xml:space="preserve">standardize=True</w:t>
      </w:r>
      <w:r>
        <w:t xml:space="preserve">): z-score each selected</w:t>
      </w:r>
      <w:r>
        <w:t xml:space="preserve"> </w:t>
      </w:r>
      <w:r>
        <w:t xml:space="preserve">gene by the reference’s frozen mean/std and apply it to the query — a cheap domain</w:t>
      </w:r>
      <w:r>
        <w:t xml:space="preserve"> </w:t>
      </w:r>
      <w:r>
        <w:t xml:space="preserve">alignment (§3.7). Opt-in, with a saved scaler that projects with the model; μ/σ persist in</w:t>
      </w:r>
      <w:r>
        <w:t xml:space="preserve"> </w:t>
      </w:r>
      <w:r>
        <w:t xml:space="preserve">the</w:t>
      </w:r>
      <w:r>
        <w:t xml:space="preserve"> </w:t>
      </w:r>
      <w:r>
        <w:rPr>
          <w:rStyle w:val="VerbatimChar"/>
        </w:rPr>
        <w:t xml:space="preserve">.npz</w:t>
      </w:r>
      <w:r>
        <w:t xml:space="preserve"> </w:t>
      </w:r>
      <w:r>
        <w:t xml:space="preserve">(old models load standardization-off, backward-compatible).</w:t>
      </w:r>
      <w:r>
        <w:t xml:space="preserve"> </w:t>
      </w: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w:t>
      </w:r>
      <w:r>
        <w:t xml:space="preserve"> </w:t>
      </w:r>
      <w:r>
        <w:rPr>
          <w:rStyle w:val="VerbatimChar"/>
        </w:rPr>
        <w:t xml:space="preserve">tf.compat.v1</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5"/>
    <w:bookmarkStart w:id="27"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292"/>
        <w:gridCol w:w="1042"/>
        <w:gridCol w:w="1042"/>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env</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abstain (</w:t>
            </w:r>
            <w:r>
              <w:rPr>
                <w:rStyle w:val="VerbatimChar"/>
              </w:rPr>
              <w:t xml:space="preserve">min_prob</w:t>
            </w:r>
            <w:r>
              <w:t xml:space="preserve">)</w:t>
            </w:r>
          </w:p>
        </w:tc>
        <w:tc>
          <w:tcPr/>
          <w:p>
            <w:pPr>
              <w:pStyle w:val="Compact"/>
            </w:pPr>
            <w:r>
              <w:t xml:space="preserve">core</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core</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core</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core</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core</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protocloud</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R/.Rlib</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R/.Rlib</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 (MPS)</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 (MPS)</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protocloud</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scprint (MPS)</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panhuman</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pinned environment it was run in</w:t>
      </w:r>
      <w:r>
        <w:t xml:space="preserve"> </w:t>
      </w:r>
      <w:r>
        <w:t xml:space="preserve">(§2.7).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favourable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being the standard controlled vocabulary of cell types, used throughout as the common</w:t>
      </w:r>
      <w:r>
        <w:t xml:space="preserve"> </w:t>
      </w:r>
      <w:r>
        <w:t xml:space="preserve">ground between datasets that name the same cell differently; it cannot</w:t>
      </w:r>
      <w:r>
        <w:t xml:space="preserve"> </w:t>
      </w:r>
      <w:r>
        <w:t xml:space="preserve">emit labels 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 Adapter:</w:t>
      </w:r>
      <w:r>
        <w:t xml:space="preserve"> </w:t>
      </w:r>
      <w:hyperlink r:id="rId26">
        <w:r>
          <w:rPr>
            <w:rStyle w:val="VerbatimChar"/>
          </w:rPr>
          <w:t xml:space="preserve">panhuman_adapter.py</w:t>
        </w:r>
      </w:hyperlink>
      <w:r>
        <w:t xml:space="preserve">.</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27"/>
    <w:bookmarkStart w:id="33"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8">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9">
              <w:r>
                <w:rPr>
                  <w:rStyle w:val="Hyperlink"/>
                </w:rPr>
                <w:t xml:space="preserve">Sikkema 2023</w:t>
              </w:r>
            </w:hyperlink>
            <w:r>
              <w:t xml:space="preserve"> </w:t>
            </w:r>
            <w:r>
              <w:t xml:space="preserve">→</w:t>
            </w:r>
            <w:r>
              <w:t xml:space="preserve"> </w:t>
            </w:r>
            <w:hyperlink r:id="rId28">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30">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30">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1">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2">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which decides who can read it.</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3"/>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RSS</w:t>
      </w:r>
      <w:r>
        <w:t xml:space="preserve"> </w:t>
      </w:r>
      <w:r>
        <w:t xml:space="preserve">(resident set size — the maximum physical memory the process 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which exact match scores as a total failure</w:t>
      </w:r>
      <w:r>
        <w:t xml:space="preserve"> </w:t>
      </w:r>
      <w:r>
        <w:t xml:space="preserve">and a working scientist would accept.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w:t>
      </w:r>
      <w:r>
        <w:t xml:space="preserve"> </w:t>
      </w:r>
      <w:r>
        <w:rPr>
          <w:rStyle w:val="VerbatimChar"/>
          <w:b/>
          <w:bCs/>
        </w:rPr>
        <w:t xml:space="preserve">cl-basic.obo</w:t>
      </w:r>
      <w:r>
        <w:rPr>
          <w:b/>
          <w:bCs/>
        </w:rPr>
        <w:t xml:space="preserve">, CL release 2026-06-08</w:t>
      </w:r>
      <w:r>
        <w:t xml:space="preserve"> </w:t>
      </w:r>
      <w:r>
        <w:t xml:space="preserve">(sha256</w:t>
      </w:r>
      <w:r>
        <w:t xml:space="preserve"> </w:t>
      </w:r>
      <w:r>
        <w:rPr>
          <w:rStyle w:val="VerbatimChar"/>
        </w:rPr>
        <w:t xml:space="preserve">73996c63…</w:t>
      </w:r>
      <w:r>
        <w:t xml:space="preserve">), resolved once and reused by every scoring pass (</w:t>
      </w:r>
      <w:r>
        <w:rPr>
          <w:rStyle w:val="VerbatimChar"/>
        </w:rPr>
        <w:t xml:space="preserve">benchmark/metrics.py</w:t>
      </w:r>
      <w:r>
        <w:t xml:space="preserve">,</w:t>
      </w:r>
      <w:r>
        <w:t xml:space="preserve"> </w:t>
      </w:r>
      <w:r>
        <w:t xml:space="preserve">via</w:t>
      </w:r>
      <w:r>
        <w:t xml:space="preserve"> </w:t>
      </w:r>
      <w:r>
        <w:rPr>
          <w:rStyle w:val="VerbatimChar"/>
        </w:rPr>
        <w:t xml:space="preserve">pronto</w:t>
      </w:r>
      <w:r>
        <w:t xml:space="preserve">). This is not a hypothetical concern: re-running</w:t>
      </w:r>
      <w:r>
        <w:t xml:space="preserve"> </w:t>
      </w:r>
      <w:r>
        <w:rPr>
          <w:rStyle w:val="VerbatimChar"/>
        </w:rPr>
        <w:t xml:space="preserve">lung_cross</w:t>
      </w:r>
      <w:r>
        <w:t xml:space="preserve"> </w:t>
      </w:r>
      <w:r>
        <w:t xml:space="preserve">against a</w:t>
      </w:r>
      <w:r>
        <w:t xml:space="preserve"> </w:t>
      </w:r>
      <w:r>
        <w:t xml:space="preserve">later-fetched release reproduced the splits exactly (14,390 reference / 13,550 query cells)</w:t>
      </w:r>
      <w:r>
        <w:t xml:space="preserve"> </w:t>
      </w:r>
      <w:r>
        <w:t xml:space="preserve">and still moved concordance by 0.003, with no model changing. The release, its checksum, and</w:t>
      </w:r>
      <w:r>
        <w:t xml:space="preserve"> </w:t>
      </w:r>
      <w:r>
        <w:t xml:space="preserve">exact versions for all six benchmark environments are recorded in</w:t>
      </w:r>
      <w:r>
        <w:t xml:space="preserve"> </w:t>
      </w:r>
      <w:r>
        <w:rPr>
          <w:rStyle w:val="VerbatimChar"/>
        </w:rPr>
        <w:t xml:space="preserve">envs/locks/</w:t>
      </w:r>
      <w:r>
        <w:t xml:space="preserve"> </w:t>
      </w:r>
      <w:r>
        <w:t xml:space="preserve">(</w:t>
      </w:r>
      <w:r>
        <w:rPr>
          <w:rStyle w:val="VerbatimChar"/>
        </w:rPr>
        <w:t xml:space="preserve">tools/freeze_envs.py --check</w:t>
      </w:r>
      <w:r>
        <w:t xml:space="preserve"> </w:t>
      </w:r>
      <w:r>
        <w:t xml:space="preserve">reports drift).</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The runner,</w:t>
      </w:r>
      <w:r>
        <w:t xml:space="preserve"> </w:t>
      </w:r>
      <w:r>
        <w:rPr>
          <w:rStyle w:val="VerbatimChar"/>
        </w:rPr>
        <w:t xml:space="preserve">benchmark/runner.py</w:t>
      </w:r>
      <w:r>
        <w:t xml:space="preserve">, executes each method in</w:t>
      </w:r>
      <w:r>
        <w:t xml:space="preserve"> </w:t>
      </w:r>
      <w:r>
        <w:rPr>
          <w:b/>
          <w:bCs/>
        </w:rPr>
        <w:t xml:space="preserve">its own virtual environment</w:t>
      </w:r>
      <w:r>
        <w:rPr>
          <w:b/>
          <w:bCs/>
        </w:rPr>
        <w:t xml:space="preserve"> </w:t>
      </w:r>
      <w:r>
        <w:rPr>
          <w:b/>
          <w:bCs/>
        </w:rPr>
        <w:t xml:space="preserve">under subprocess isolation</w:t>
      </w:r>
      <w:r>
        <w:t xml:space="preserve">, because the dependency sets are mutually unsatisfiable — scVI-based</w:t>
      </w:r>
      <w:r>
        <w:t xml:space="preserve"> </w:t>
      </w:r>
      <w:r>
        <w:t xml:space="preserve">methods, TensorFlow/Keras (Pan-human Azimuth), R (SingleR, scmap) and the JAX core cannot</w:t>
      </w:r>
      <w:r>
        <w:t xml:space="preserve"> </w:t>
      </w:r>
      <w:r>
        <w:t xml:space="preserve">coexist in one interpreter. The driver,</w:t>
      </w:r>
      <w:r>
        <w:t xml:space="preserve"> </w:t>
      </w:r>
      <w:r>
        <w:rPr>
          <w:rStyle w:val="VerbatimChar"/>
        </w:rPr>
        <w:t xml:space="preserve">benchmark/driver.py</w:t>
      </w:r>
      <w:r>
        <w:t xml:space="preserve">, builds the reference/query</w:t>
      </w:r>
      <w:r>
        <w:t xml:space="preserve"> </w:t>
      </w:r>
      <w:r>
        <w:t xml:space="preserve">split</w:t>
      </w:r>
      <w:r>
        <w:t xml:space="preserve"> </w:t>
      </w:r>
      <w:r>
        <w:rPr>
          <w:b/>
          <w:bCs/>
        </w:rPr>
        <w:t xml:space="preserve">once per dataset</w:t>
      </w:r>
      <w:r>
        <w:t xml:space="preserve"> </w:t>
      </w:r>
      <w:r>
        <w:t xml:space="preserve">from a fixed seed and hands the identical pair to every method, so</w:t>
      </w:r>
      <w:r>
        <w:t xml:space="preserve"> </w:t>
      </w:r>
      <w:r>
        <w:t xml:space="preserve">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RSS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matched</w:t>
      </w:r>
      <w:r>
        <w:t xml:space="preserve"> </w:t>
      </w:r>
      <w:r>
        <w:t xml:space="preserve">concurrency matters and is discussed (§2.10).</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w:t>
      </w:r>
      <w:r>
        <w:rPr>
          <w:rStyle w:val="VerbatimChar"/>
        </w:rPr>
        <w:t xml:space="preserve">update_broad_reference.sh</w:t>
      </w:r>
      <w:r>
        <w:t xml:space="preserve">;</w:t>
      </w:r>
      <w:r>
        <w:t xml:space="preserve"> </w:t>
      </w:r>
      <w:r>
        <w:t xml:space="preserve">).</w:t>
      </w:r>
    </w:p>
    <w:p>
      <w:pPr>
        <w:pStyle w:val="BodyText"/>
      </w:pPr>
      <w:r>
        <w:rPr>
          <w:b/>
          <w:bCs/>
        </w:rPr>
        <w:t xml:space="preserve">Sampling.</w:t>
      </w:r>
      <w:r>
        <w:t xml:space="preserve"> </w:t>
      </w:r>
      <w:r>
        <w:t xml:space="preserve">All primary cells for one organism in the CELLxGENE Census</w:t>
      </w:r>
      <w:r>
        <w:t xml:space="preserve"> </w:t>
      </w:r>
      <w:hyperlink r:id="rId36">
        <w:r>
          <w:rPr>
            <w:rStyle w:val="Hyperlink"/>
          </w:rPr>
          <w:t xml:space="preserve">CZI Census 2025</w:t>
        </w:r>
      </w:hyperlink>
      <w:r>
        <w:t xml:space="preserve"> </w:t>
      </w:r>
      <w:r>
        <w:t xml:space="preserve">(</w:t>
      </w:r>
      <w:r>
        <w:rPr>
          <w:rStyle w:val="VerbatimChar"/>
        </w:rPr>
        <w:t xml:space="preserve">is_primary_data == True</w:t>
      </w:r>
      <w:r>
        <w:t xml:space="preserve">), stratified by</w:t>
      </w:r>
      <w:r>
        <w:t xml:space="preserve"> </w:t>
      </w:r>
      <w:r>
        <w:rPr>
          <w:rStyle w:val="VerbatimChar"/>
        </w:rPr>
        <w:t xml:space="preserve">cell_type</w:t>
      </w:r>
      <w:r>
        <w:t xml:space="preserve"> </w:t>
      </w:r>
      <w:r>
        <w:t xml:space="preserve">at a fixed cap per type — 40 for</w:t>
      </w:r>
      <w:r>
        <w:t xml:space="preserve"> </w:t>
      </w:r>
      <w:r>
        <w:rPr>
          <w:rStyle w:val="VerbatimChar"/>
        </w:rPr>
        <w:t xml:space="preserve">broad_human_v1</w:t>
      </w:r>
      <w:r>
        <w:t xml:space="preserve">, 60 for the later human and mouse pulls — dropping types with fewer than 12</w:t>
      </w:r>
      <w:r>
        <w:t xml:space="preserve"> </w:t>
      </w:r>
      <w:r>
        <w:t xml:space="preserve">cells and the uninformative labels (</w:t>
      </w:r>
      <w:r>
        <w:rPr>
          <w:rStyle w:val="VerbatimChar"/>
        </w:rPr>
        <w:t xml:space="preserve">unknown</w:t>
      </w:r>
      <w:r>
        <w:t xml:space="preserve">,</w:t>
      </w:r>
      <w:r>
        <w:t xml:space="preserve"> </w:t>
      </w:r>
      <w:r>
        <w:rPr>
          <w:rStyle w:val="VerbatimChar"/>
        </w:rPr>
        <w:t xml:space="preserve">native cell</w:t>
      </w:r>
      <w:r>
        <w:t xml:space="preserve">,</w:t>
      </w:r>
      <w:r>
        <w:t xml:space="preserve"> </w:t>
      </w:r>
      <w:r>
        <w:rPr>
          <w:rStyle w:val="VerbatimChar"/>
        </w:rPr>
        <w:t xml:space="preserve">eukaryotic cell</w:t>
      </w:r>
      <w:r>
        <w:t xml:space="preserve">,</w:t>
      </w:r>
      <w:r>
        <w:t xml:space="preserve"> </w:t>
      </w:r>
      <w:r>
        <w:rPr>
          <w:rStyle w:val="VerbatimChar"/>
        </w:rPr>
        <w:t xml:space="preserve">animal cell</w:t>
      </w:r>
      <w:r>
        <w:t xml:space="preserve">). The pull is checkpointed per batch of ten datasets and retried, since transient</w:t>
      </w:r>
      <w:r>
        <w:t xml:space="preserve"> </w:t>
      </w:r>
      <w:r>
        <w:t xml:space="preserve">TileDB/S3 read errors are routine at this scale. Both</w:t>
      </w:r>
      <w:r>
        <w:t xml:space="preserve"> </w:t>
      </w:r>
      <w:r>
        <w:rPr>
          <w:rStyle w:val="VerbatimChar"/>
        </w:rPr>
        <w:t xml:space="preserve">feature_id</w:t>
      </w:r>
      <w:r>
        <w:t xml:space="preserve"> </w:t>
      </w:r>
      <w:r>
        <w:t xml:space="preserve">(Ensembl) and</w:t>
      </w:r>
      <w:r>
        <w:t xml:space="preserve"> </w:t>
      </w:r>
      <w:r>
        <w:rPr>
          <w:rStyle w:val="VerbatimChar"/>
        </w:rPr>
        <w:t xml:space="preserve">feature_name</w:t>
      </w:r>
      <w:r>
        <w:t xml:space="preserve"> </w:t>
      </w:r>
      <w:r>
        <w:t xml:space="preserve">(symbol) are carried, because symbol-keyed consumers cannot use an</w:t>
      </w:r>
      <w:r>
        <w:t xml:space="preserve"> </w:t>
      </w:r>
      <w:r>
        <w:t xml:space="preserve">Ensembl-only pull.</w:t>
      </w:r>
      <w:r>
        <w:t xml:space="preserve"> </w:t>
      </w:r>
      <w:r>
        <w:rPr>
          <w:rStyle w:val="VerbatimChar"/>
        </w:rPr>
        <w:t xml:space="preserve">stable</w:t>
      </w:r>
      <w:r>
        <w:t xml:space="preserve"> </w:t>
      </w:r>
      <w:r>
        <w:t xml:space="preserve">is a moving pointer, so the resolved release is recorded; every</w:t>
      </w:r>
      <w:r>
        <w:t xml:space="preserve"> </w:t>
      </w:r>
      <w:r>
        <w:t xml:space="preserve">reference here comes from</w:t>
      </w:r>
      <w:r>
        <w:t xml:space="preserve"> </w:t>
      </w:r>
      <w:r>
        <w:rPr>
          <w:b/>
          <w:bCs/>
        </w:rPr>
        <w:t xml:space="preserve">census 2025-11-08</w:t>
      </w:r>
      <w:r>
        <w:t xml:space="preserve">.</w:t>
      </w:r>
    </w:p>
    <w:p>
      <w:pPr>
        <w:pStyle w:val="BodyText"/>
      </w:pPr>
      <w:r>
        <w:rPr>
          <w:b/>
          <w:bCs/>
        </w:rPr>
        <w:t xml:space="preserve">Coarse hierarchy — two interchangeable routes.</w:t>
      </w:r>
      <w:r>
        <w:t xml:space="preserve"> </w:t>
      </w:r>
      <w:r>
        <w:t xml:space="preserve">The model is a coarse classifier over</w:t>
      </w:r>
      <w:r>
        <w:t xml:space="preserve"> </w:t>
      </w:r>
      <w:r>
        <w:t xml:space="preserve">groups plus one fine classifier per group, and the grouping comes from either:</w:t>
      </w:r>
    </w:p>
    <w:p>
      <w:pPr>
        <w:pStyle w:val="Compact"/>
        <w:numPr>
          <w:ilvl w:val="0"/>
          <w:numId w:val="1004"/>
        </w:numPr>
      </w:pPr>
      <w:r>
        <w:rPr>
          <w:b/>
          <w:bCs/>
        </w:rPr>
        <w:t xml:space="preserve">Foundation-model embeddings.</w:t>
      </w:r>
      <w:r>
        <w:t xml:space="preserve"> </w:t>
      </w:r>
      <w:r>
        <w:t xml:space="preserve">scPRINT (</w:t>
      </w:r>
      <w:r>
        <w:rPr>
          <w:rStyle w:val="VerbatimChar"/>
        </w:rPr>
        <w:t xml:space="preserve">medium-v1.5</w:t>
      </w:r>
      <w:r>
        <w:t xml:space="preserve">) embeds the reference once in</w:t>
      </w:r>
      <w:r>
        <w:t xml:space="preserve"> </w:t>
      </w:r>
      <w:r>
        <w:t xml:space="preserve">4,000-cell chunks; per-cell-type centroids are Ward-clustered into</w:t>
      </w:r>
      <w:r>
        <w:t xml:space="preserve"> </w:t>
      </w:r>
      <w:r>
        <w:rPr>
          <w:rStyle w:val="VerbatimChar"/>
        </w:rPr>
        <w:t xml:space="preserve">max(8, round(√n_types))</w:t>
      </w:r>
      <w:r>
        <w:t xml:space="preserve"> </w:t>
      </w:r>
      <w:r>
        <w:t xml:space="preserve">groups.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w:t>
      </w:r>
      <w:r>
        <w:rPr>
          <w:rStyle w:val="VerbatimChar"/>
        </w:rPr>
        <w:t xml:space="preserve">ontology_hierarchy.py</w:t>
      </w:r>
      <w:r>
        <w:t xml:space="preserve">). 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compares the two routes against a</w:t>
      </w:r>
      <w:r>
        <w:t xml:space="preserve"> </w:t>
      </w:r>
      <w:r>
        <w:t xml:space="preserve">random-grouping control.</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rPr>
          <w:rStyle w:val="VerbatimChar"/>
        </w:rPr>
        <w:t xml:space="preserve">min_prob</w:t>
      </w:r>
      <w:r>
        <w:t xml:space="preserve"> </w:t>
      </w:r>
      <w:r>
        <w:t xml:space="preserve">to</w:t>
      </w:r>
      <w:r>
        <w:t xml:space="preserve"> </w:t>
      </w:r>
      <w:r>
        <w:t xml:space="preserve">trade coverage against accuracy on kept cells — the table each shipped reference reports.</w:t>
      </w:r>
    </w:p>
    <w:p>
      <w:pPr>
        <w:pStyle w:val="BodyText"/>
      </w:pPr>
      <w:r>
        <w:rPr>
          <w:b/>
          <w:bCs/>
        </w:rPr>
        <w:t xml:space="preserve">Shipping and verification.</w:t>
      </w:r>
      <w:r>
        <w:t xml:space="preserve"> </w:t>
      </w:r>
      <w:r>
        <w:t xml:space="preserve">Each reference is written with a</w:t>
      </w:r>
      <w:r>
        <w:t xml:space="preserve"> </w:t>
      </w:r>
      <w:r>
        <w:rPr>
          <w:rStyle w:val="VerbatimChar"/>
        </w:rPr>
        <w:t xml:space="preserve">build_info.json</w:t>
      </w:r>
      <w:r>
        <w:t xml:space="preserve"> </w:t>
      </w:r>
      <w:r>
        <w:t xml:space="preserve">recording</w:t>
      </w:r>
      <w:r>
        <w:t xml:space="preserve"> </w:t>
      </w:r>
      <w:r>
        <w:t xml:space="preserve">census release, corpus sizes, hierarchy route, organism and calibration table. Because a</w:t>
      </w:r>
      <w:r>
        <w:t xml:space="preserve"> </w:t>
      </w:r>
      <w:r>
        <w:t xml:space="preserve">rebuild can train cleanly and annotate</w:t>
      </w:r>
      <w:r>
        <w:t xml:space="preserve"> </w:t>
      </w:r>
      <w:r>
        <w:rPr>
          <w:i/>
          <w:iCs/>
        </w:rPr>
        <w:t xml:space="preserve">worse</w:t>
      </w:r>
      <w:r>
        <w:t xml:space="preserve">, the previous reference is backed up and the</w:t>
      </w:r>
      <w:r>
        <w:t xml:space="preserve"> </w:t>
      </w:r>
      <w:r>
        <w:t xml:space="preserve">new one is scored on a held-out atlas before it is kept (</w:t>
      </w:r>
      <w:r>
        <w:rPr>
          <w:rStyle w:val="VerbatimChar"/>
        </w:rPr>
        <w:t xml:space="preserve">verify_reference.py</w:t>
      </w:r>
      <w:r>
        <w:t xml:space="preserve">). For</w:t>
      </w:r>
      <w:r>
        <w:t xml:space="preserve"> </w:t>
      </w:r>
      <w:r>
        <w:rPr>
          <w:rStyle w:val="VerbatimChar"/>
        </w:rPr>
        <w:t xml:space="preserve">broad_mouse_v1</w:t>
      </w:r>
      <w:r>
        <w:t xml:space="preserve"> </w:t>
      </w:r>
      <w:r>
        <w:t xml:space="preserve">the test set is carved from the census itself: two datasets are excluded from</w:t>
      </w:r>
      <w:r>
        <w:t xml:space="preserve"> </w:t>
      </w:r>
      <w:r>
        <w:t xml:space="preserve">the reference sample and re-pulled as the 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w:t>
      </w:r>
      <w:r>
        <w:t xml:space="preserve"> </w:t>
      </w:r>
      <w:r>
        <w:t xml:space="preserve">not merely held-out cells (</w:t>
      </w:r>
      <w:r>
        <w:rPr>
          <w:rStyle w:val="VerbatimChar"/>
        </w:rPr>
        <w:t xml:space="preserve">EXCLUDE_DATASETS</w:t>
      </w:r>
      <w:r>
        <w:t xml:space="preserve"> </w:t>
      </w:r>
      <w:r>
        <w:t xml:space="preserve">/</w:t>
      </w:r>
      <w:r>
        <w:t xml:space="preserve"> </w:t>
      </w:r>
      <w:r>
        <w:rPr>
          <w:rStyle w:val="VerbatimChar"/>
        </w:rPr>
        <w:t xml:space="preserve">ONLY_DATASETS</w:t>
      </w:r>
      <w:r>
        <w:t xml:space="preserve">).</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 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w:t>
      </w:r>
      <w:r>
        <w:rPr>
          <w:rStyle w:val="VerbatimChar"/>
        </w:rPr>
        <w:t xml:space="preserve">distill_dump.py</w:t>
      </w:r>
      <w:r>
        <w:t xml:space="preserve">,</w:t>
      </w:r>
      <w:r>
        <w:t xml:space="preserve"> </w:t>
      </w:r>
      <w:r>
        <w:rPr>
          <w:rStyle w:val="VerbatimChar"/>
        </w:rPr>
        <w:t xml:space="preserve">.venv-panhuman</w:t>
      </w:r>
      <w:r>
        <w:t xml:space="preserve">). Pan-human Azimuth labels a corpus of</w:t>
      </w:r>
      <w:r>
        <w:t xml:space="preserve"> </w:t>
      </w:r>
      <w:r>
        <w:t xml:space="preserve">raw counts through its low-level API (</w:t>
      </w:r>
      <w:r>
        <w:rPr>
          <w:rStyle w:val="VerbatimChar"/>
        </w:rPr>
        <w:t xml:space="preserve">AzimuthNN_base</w:t>
      </w:r>
      <w:r>
        <w:t xml:space="preserve">, batch 8,192), which loads weights once</w:t>
      </w:r>
      <w:r>
        <w:t xml:space="preserve"> </w:t>
      </w:r>
      <w:r>
        <w:t xml:space="preserve">rather than per call. All eight levels are retained. Where the package cannot reconcile a</w:t>
      </w:r>
      <w:r>
        <w:t xml:space="preserve"> </w:t>
      </w:r>
      <w:r>
        <w:t xml:space="preserve">refined level with its coarser ones it blanks that column to boolean</w:t>
      </w:r>
      <w:r>
        <w:t xml:space="preserve"> </w:t>
      </w:r>
      <w:r>
        <w:rPr>
          <w:rStyle w:val="VerbatimChar"/>
        </w:rPr>
        <w:t xml:space="preserve">False</w:t>
      </w:r>
      <w:r>
        <w:t xml:space="preserve">;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w:t>
      </w:r>
      <w:r>
        <w:rPr>
          <w:rStyle w:val="VerbatimChar"/>
        </w:rPr>
        <w:t xml:space="preserve">distill_train.py</w:t>
      </w:r>
      <w:r>
        <w:t xml:space="preserve">, core venv). The student is a</w:t>
      </w:r>
      <w:r>
        <w:t xml:space="preserve"> </w:t>
      </w:r>
      <w:r>
        <w:rPr>
          <w:rStyle w:val="VerbatimChar"/>
        </w:rPr>
        <w:t xml:space="preserve">HierarchicalReferenceModel</w:t>
      </w:r>
      <w:r>
        <w:t xml:space="preserve"> </w:t>
      </w:r>
      <w:r>
        <w:t xml:space="preserve">whose</w:t>
      </w:r>
      <w:r>
        <w:t xml:space="preserve"> </w:t>
      </w:r>
      <w:r>
        <w:rPr>
          <w:b/>
          <w:bCs/>
        </w:rPr>
        <w:t xml:space="preserve">classes</w:t>
      </w:r>
      <w:r>
        <w:t xml:space="preserve"> </w:t>
      </w:r>
      <w:r>
        <w:t xml:space="preserve">are the teacher’s refined fine labels</w:t>
      </w:r>
      <w:r>
        <w:t xml:space="preserve"> </w:t>
      </w:r>
      <w:r>
        <w:t xml:space="preserve">(including its trained</w:t>
      </w:r>
      <w:r>
        <w:t xml:space="preserve"> </w:t>
      </w:r>
      <w:r>
        <w:rPr>
          <w:rStyle w:val="VerbatimChar"/>
        </w:rPr>
        <w:t xml:space="preserve">Unassigned</w:t>
      </w:r>
      <w:r>
        <w:t xml:space="preserve"> </w:t>
      </w:r>
      <w:r>
        <w:t xml:space="preserve">quality-control class) 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Note</w:t>
      </w:r>
      <w:r>
        <w:t xml:space="preserve"> </w:t>
      </w:r>
      <w:r>
        <w:t xml:space="preserve">that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rStyle w:val="VerbatimChar"/>
          <w:b/>
          <w:bCs/>
        </w:rPr>
        <w:t xml:space="preserve">min_prob</w:t>
      </w:r>
      <w:r>
        <w:rPr>
          <w:b/>
          <w:bCs/>
        </w:rPr>
        <w:t xml:space="preserve"> </w:t>
      </w:r>
      <w:r>
        <w:rPr>
          <w:b/>
          <w:bCs/>
        </w:rPr>
        <w:t xml:space="preserve">abstention.</w:t>
      </w:r>
      <w:r>
        <w:t xml:space="preserve"> </w:t>
      </w:r>
      <w:r>
        <w:t xml:space="preserve">Cells whose final probability is below the threshold are relabeled</w:t>
      </w:r>
      <w:r>
        <w:t xml:space="preserve"> </w:t>
      </w:r>
      <w:r>
        <w:rPr>
          <w:rStyle w:val="VerbatimChar"/>
        </w:rPr>
        <w:t xml:space="preserve">unknown</w:t>
      </w:r>
      <w:r>
        <w:t xml:space="preserve"> </w:t>
      </w:r>
      <w:r>
        <w:t xml:space="preserve">rather than forced to the nearest class. Calibrated per reference (§2.6).</w:t>
      </w:r>
    </w:p>
    <w:p>
      <w:pPr>
        <w:pStyle w:val="Compact"/>
        <w:numPr>
          <w:ilvl w:val="0"/>
          <w:numId w:val="1005"/>
        </w:numPr>
      </w:pPr>
      <w:r>
        <w:rPr>
          <w:rStyle w:val="VerbatimChar"/>
          <w:b/>
          <w:bCs/>
        </w:rPr>
        <w:t xml:space="preserve">refine_to_query</w:t>
      </w:r>
      <w:r>
        <w:rPr>
          <w:b/>
          <w:bCs/>
        </w:rPr>
        <w:t xml:space="preserve">.</w:t>
      </w:r>
      <w:r>
        <w:t xml:space="preserve"> </w:t>
      </w:r>
      <w:r>
        <w:t xml:space="preserve">The reference’s class set is masked to those classes the query’s own</w:t>
      </w:r>
      <w:r>
        <w:t xml:space="preserve"> </w:t>
      </w:r>
      <w:r>
        <w:t xml:space="preserve">predictions actually support, and the softmax renormalized — no ground truth, no retraining.</w:t>
      </w:r>
    </w:p>
    <w:p>
      <w:pPr>
        <w:pStyle w:val="Compact"/>
        <w:numPr>
          <w:ilvl w:val="0"/>
          <w:numId w:val="1005"/>
        </w:numPr>
      </w:pPr>
      <w:r>
        <w:rPr>
          <w:rStyle w:val="VerbatimChar"/>
          <w:b/>
          <w:bCs/>
        </w:rPr>
        <w:t xml:space="preserve">refine_to_tissue</w:t>
      </w:r>
      <w:r>
        <w:rPr>
          <w:b/>
          <w:bCs/>
        </w:rPr>
        <w:t xml:space="preserve">.</w:t>
      </w:r>
      <w:r>
        <w:t xml:space="preserve"> </w:t>
      </w:r>
      <w:r>
        <w:t xml:space="preserve">Classes are masked to those the census records in the given tissue,</w:t>
      </w:r>
      <w:r>
        <w:t xml:space="preserve"> </w:t>
      </w:r>
      <w:r>
        <w:t xml:space="preserve">while</w:t>
      </w:r>
      <w:r>
        <w:t xml:space="preserve"> </w:t>
      </w:r>
      <w:r>
        <w:rPr>
          <w:b/>
          <w:bCs/>
        </w:rPr>
        <w:t xml:space="preserve">pan-tissue</w:t>
      </w:r>
      <w:r>
        <w:t xml:space="preserve"> </w:t>
      </w:r>
      <w:r>
        <w:t xml:space="preserve">types (immune, endothelial, stromal) stay available everywhere, so</w:t>
      </w:r>
      <w:r>
        <w:t xml:space="preserve"> </w:t>
      </w:r>
      <w:r>
        <w:t xml:space="preserve">liver-resident T cells are unaffected. The per-class</w:t>
      </w:r>
      <w:r>
        <w:t xml:space="preserve"> </w:t>
      </w:r>
      <w:r>
        <w:rPr>
          <w:rStyle w:val="VerbatimChar"/>
        </w:rPr>
        <w:t xml:space="preserve">tissue_general</w:t>
      </w:r>
      <w:r>
        <w:t xml:space="preserve"> </w:t>
      </w:r>
      <w:r>
        <w:t xml:space="preserve">map is baked into the</w:t>
      </w:r>
      <w:r>
        <w:t xml:space="preserve"> </w:t>
      </w:r>
      <w:r>
        <w:t xml:space="preserve">shipped reference; tissue is passed explicitly or read from</w:t>
      </w:r>
      <w:r>
        <w:t xml:space="preserve"> </w:t>
      </w:r>
      <w:r>
        <w:rPr>
          <w:rStyle w:val="VerbatimChar"/>
        </w:rPr>
        <w:t xml:space="preserve">adata.obs</w:t>
      </w:r>
      <w:r>
        <w:t xml:space="preserve">, with common synonyms</w:t>
      </w:r>
      <w:r>
        <w:t xml:space="preserve"> </w:t>
      </w:r>
      <w:r>
        <w:t xml:space="preserve">(</w:t>
      </w:r>
      <w:r>
        <w:rPr>
          <w:rStyle w:val="VerbatimChar"/>
        </w:rPr>
        <w:t xml:space="preserve">PBMC</w:t>
      </w:r>
      <w:r>
        <w:t xml:space="preserve">→blood,</w:t>
      </w:r>
      <w:r>
        <w:t xml:space="preserve"> </w:t>
      </w:r>
      <w:r>
        <w:rPr>
          <w:rStyle w:val="VerbatimChar"/>
        </w:rPr>
        <w:t xml:space="preserve">hepatic</w:t>
      </w:r>
      <w:r>
        <w:t xml:space="preserve">→liver) recognized. A tissue outside the reference’s vocabulary</w:t>
      </w:r>
      <w:r>
        <w:t xml:space="preserve"> </w:t>
      </w:r>
      <w:r>
        <w:t xml:space="preserve">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 explain</w:t>
      </w:r>
      <w:r>
        <w:t xml:space="preserve">.</w:t>
      </w:r>
      <w:r>
        <w:t xml:space="preserve"> </w:t>
      </w:r>
      <w:r>
        <w:rPr>
          <w:rStyle w:val="VerbatimChar"/>
        </w:rPr>
        <w:t xml:space="preserve">detect_novel_celltypes</w:t>
      </w:r>
      <w:r>
        <w:t xml:space="preserve"> </w:t>
      </w:r>
      <w:r>
        <w:t xml:space="preserve">flags clusters that are both large enough to be a real population</w:t>
      </w:r>
      <w:r>
        <w:t xml:space="preserve"> </w:t>
      </w:r>
      <w:r>
        <w:t xml:space="preserve">(</w:t>
      </w:r>
      <w:r>
        <w:rPr>
          <w:rStyle w:val="VerbatimChar"/>
        </w:rPr>
        <w:t xml:space="preserve">min_cells</w:t>
      </w:r>
      <w:r>
        <w:t xml:space="preserve">) and predominantly low-confidence, and reports marker genes for each. This is</w:t>
      </w:r>
      <w:r>
        <w:t xml:space="preserve"> </w:t>
      </w:r>
      <w:r>
        <w:t xml:space="preserve">distinct from 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The reference is subsampled to five sizes up to</w:t>
      </w:r>
      <w:r>
        <w:t xml:space="preserve"> </w:t>
      </w:r>
      <w:r>
        <w:rPr>
          <w:b/>
          <w:bCs/>
        </w:rPr>
        <w:t xml:space="preserve">49k cells</w:t>
      </w:r>
      <w:r>
        <w:t xml:space="preserve"> </w:t>
      </w:r>
      <w:r>
        <w:t xml:space="preserve">with the query held fixed, so</w:t>
      </w:r>
      <w:r>
        <w:t xml:space="preserve"> </w:t>
      </w:r>
      <w:r>
        <w:t xml:space="preserve">that accuracy, fit time, predict time and peak memory are functions of reference size alone.</w:t>
      </w:r>
      <w:r>
        <w:t xml:space="preserve"> </w:t>
      </w:r>
      <w:r>
        <w:t xml:space="preserve">Reported per method; the point of interest is which curves cross.</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w:t>
      </w:r>
      <w:r>
        <w:rPr>
          <w:rStyle w:val="VerbatimChar"/>
        </w:rPr>
        <w:t xml:space="preserve">config.vsh.yaml</w:t>
      </w:r>
      <w:r>
        <w:t xml:space="preserve"> </w:t>
      </w:r>
      <w:r>
        <w:t xml:space="preserve">+</w:t>
      </w:r>
      <w:r>
        <w:t xml:space="preserve"> </w:t>
      </w:r>
      <w:r>
        <w:rPr>
          <w:rStyle w:val="VerbatimChar"/>
        </w:rPr>
        <w:t xml:space="preserve">script.py</w:t>
      </w:r>
      <w:r>
        <w:t xml:space="preserve">) declaring its</w:t>
      </w:r>
      <w:r>
        <w:t xml:space="preserve"> </w:t>
      </w:r>
      <w:r>
        <w:rPr>
          <w:rStyle w:val="VerbatimChar"/>
        </w:rPr>
        <w:t xml:space="preserve">preferred_normalization</w:t>
      </w:r>
      <w:r>
        <w:t xml:space="preserve">, and run</w:t>
      </w:r>
      <w:r>
        <w:t xml:space="preserve"> </w:t>
      </w:r>
      <w:r>
        <w:t xml:space="preserve">through the project’s own Nextflow 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t xml:space="preserve">Two caveats govern how those numbers may be read. The leaderboard aggregates runs from</w:t>
      </w:r>
      <w:r>
        <w:t xml:space="preserve"> </w:t>
      </w:r>
      <w:r>
        <w:rPr>
          <w:b/>
          <w:bCs/>
        </w:rPr>
        <w:t xml:space="preserve">heterogeneous cloud hardware</w:t>
      </w:r>
      <w:r>
        <w:t xml:space="preserve">, so its timings are not a controlled cost comparison — hence</w:t>
      </w:r>
      <w:r>
        <w:t xml:space="preserve"> </w:t>
      </w:r>
      <w:r>
        <w:t xml:space="preserve">the same-hardware run: every method on one AWS CPU instance. And in that run,</w:t>
      </w:r>
      <w:r>
        <w:t xml:space="preserve"> </w:t>
      </w:r>
      <w:r>
        <w:rPr>
          <w:b/>
          <w:bCs/>
        </w:rPr>
        <w:t xml:space="preserve">wall-clock is</w:t>
      </w:r>
      <w:r>
        <w:rPr>
          <w:b/>
          <w:bCs/>
        </w:rPr>
        <w:t xml:space="preserve"> </w:t>
      </w:r>
      <w:r>
        <w:rPr>
          <w:b/>
          <w:bCs/>
        </w:rPr>
        <w:t xml:space="preserve">only meaningful at matched concurrency</w:t>
      </w:r>
      <w:r>
        <w:t xml:space="preserve">: with several tasks per box,</w:t>
      </w:r>
      <w:r>
        <w:t xml:space="preserve"> </w:t>
      </w:r>
      <w:r>
        <w:rPr>
          <w:rStyle w:val="VerbatimChar"/>
        </w:rPr>
        <w:t xml:space="preserve">%cpu</w:t>
      </w:r>
      <w:r>
        <w:t xml:space="preserve"> </w:t>
      </w:r>
      <w:r>
        <w:t xml:space="preserve">spanned 49% to</w:t>
      </w:r>
      <w:r>
        <w:t xml:space="preserve"> </w:t>
      </w:r>
      <w:r>
        <w:t xml:space="preserve">2338% across methods, so cross-method runtime ratios measured at high concurrency rank</w:t>
      </w:r>
      <w:r>
        <w:t xml:space="preserve"> </w:t>
      </w:r>
      <w:r>
        <w:t xml:space="preserve">threading and scheduler contention as much as algorithm. Cost is therefore reported only</w:t>
      </w:r>
      <w:r>
        <w:t xml:space="preserve"> </w:t>
      </w:r>
      <w:r>
        <w:t xml:space="preserve">from the matched-concurrency run (Table 10); the four components we added to the harness are</w:t>
      </w:r>
      <w:r>
        <w:t xml:space="preserve"> </w:t>
      </w:r>
      <w:r>
        <w:t xml:space="preserve">compared on accuracy alone (Table 11), which does not depend on the machine.</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 a CPU-only featurization in the style of</w:t>
      </w:r>
      <w:r>
        <w:t xml:space="preserve"> </w:t>
      </w:r>
      <w:r>
        <w:rPr>
          <w:b/>
          <w:bCs/>
        </w:rPr>
        <w:t xml:space="preserve">Universal Cell Embeddings (UCE)</w:t>
      </w:r>
      <w:r>
        <w:t xml:space="preserve"> </w:t>
      </w:r>
      <w:hyperlink r:id="rId43">
        <w:r>
          <w:rPr>
            <w:rStyle w:val="Hyperlink"/>
          </w:rPr>
          <w:t xml:space="preserve">Rosen 2026</w:t>
        </w:r>
      </w:hyperlink>
      <w:r>
        <w:t xml:space="preserve"> </w:t>
      </w:r>
      <w:r>
        <w:t xml:space="preserve">— an</w:t>
      </w:r>
      <w:r>
        <w:t xml:space="preserve"> </w:t>
      </w:r>
      <w:r>
        <w:t xml:space="preserve">expression-weighted mean of ESM2</w:t>
      </w:r>
      <w:r>
        <w:t xml:space="preserve"> </w:t>
      </w:r>
      <w:hyperlink r:id="rId44">
        <w:r>
          <w:rPr>
            <w:rStyle w:val="Hyperlink"/>
          </w:rPr>
          <w:t xml:space="preserve">Lin 2023</w:t>
        </w:r>
      </w:hyperlink>
      <w:r>
        <w:t xml:space="preserve"> </w:t>
      </w:r>
      <w:r>
        <w:t xml:space="preserve">protein-language-model gene embeddings — to test whether a foundation model’s value</w:t>
      </w:r>
      <w:r>
        <w:t xml:space="preserve"> </w:t>
      </w:r>
      <w:r>
        <w:t xml:space="preserve">survives a cheap pooling shortcut.</w:t>
      </w:r>
    </w:p>
    <w:bookmarkEnd w:id="45"/>
    <w:bookmarkEnd w:id="46"/>
    <w:bookmarkStart w:id="79" w:name="results"/>
    <w:p>
      <w:pPr>
        <w:pStyle w:val="Heading1"/>
      </w:pPr>
      <w:r>
        <w:t xml:space="preserve">Results</w:t>
      </w:r>
    </w:p>
    <w:bookmarkStart w:id="53" w:name="accuracy-and-cost"/>
    <w:p>
      <w:pPr>
        <w:pStyle w:val="Heading2"/>
      </w:pPr>
      <w:r>
        <w:t xml:space="preserve">Accuracy and cost</w:t>
      </w:r>
    </w:p>
    <w:p>
      <w:pPr>
        <w:pStyle w:val="FirstParagraph"/>
      </w:pPr>
      <w:r>
        <w:drawing>
          <wp:inline>
            <wp:extent cx="5334000" cy="4154905"/>
            <wp:effectExtent b="0" l="0" r="0" t="0"/>
            <wp:docPr descr="accuracy heatmap" title="" id="48" name="Picture"/>
            <a:graphic>
              <a:graphicData uri="http://schemas.openxmlformats.org/drawingml/2006/picture">
                <pic:pic>
                  <pic:nvPicPr>
                    <pic:cNvPr descr="/Users/iandriver/Downloads/actinn-jax-benchmark/docs/figures/fig_accuracy_heatmap.png" id="49" name="Picture"/>
                    <pic:cNvPicPr>
                      <a:picLocks noChangeArrowheads="1" noChangeAspect="1"/>
                    </pic:cNvPicPr>
                  </pic:nvPicPr>
                  <pic:blipFill>
                    <a:blip r:embed="rId47"/>
                    <a:stretch>
                      <a:fillRect/>
                    </a:stretch>
                  </pic:blipFill>
                  <pic:spPr bwMode="auto">
                    <a:xfrm>
                      <a:off x="0" y="0"/>
                      <a:ext cx="5334000" cy="4154905"/>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by method (rows) and dataset (columns) across the in-house panel.</w:t>
      </w:r>
    </w:p>
    <w:p>
      <w:pPr>
        <w:pStyle w:val="BodyText"/>
      </w:pPr>
      <w:r>
        <w:drawing>
          <wp:inline>
            <wp:extent cx="5334000" cy="1639186"/>
            <wp:effectExtent b="0" l="0" r="0" t="0"/>
            <wp:docPr descr="speed and memory" title="" id="51" name="Picture"/>
            <a:graphic>
              <a:graphicData uri="http://schemas.openxmlformats.org/drawingml/2006/picture">
                <pic:pic>
                  <pic:nvPicPr>
                    <pic:cNvPr descr="/Users/iandriver/Downloads/actinn-jax-benchmark/docs/figures/fig_speed_memory.png" id="52" name="Picture"/>
                    <pic:cNvPicPr>
                      <a:picLocks noChangeArrowheads="1" noChangeAspect="1"/>
                    </pic:cNvPicPr>
                  </pic:nvPicPr>
                  <pic:blipFill>
                    <a:blip r:embed="rId50"/>
                    <a:stretch>
                      <a:fillRect/>
                    </a:stretch>
                  </pic:blipFill>
                  <pic:spPr bwMode="auto">
                    <a:xfrm>
                      <a:off x="0" y="0"/>
                      <a:ext cx="5334000" cy="163918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time, per-query predict time, and peak memory by method, averaged across the</w:t>
      </w:r>
      <w:r>
        <w:t xml:space="preserve"> </w:t>
      </w:r>
      <w:r>
        <w:t xml:space="preserve">in-house panel. The methods sit within a few points of each other on accuracy (Table 3) and</w:t>
      </w:r>
      <w:r>
        <w:t xml:space="preserve"> </w:t>
      </w:r>
      <w:r>
        <w:t xml:space="preserve">orders of magnitude apart on cost.</w:t>
      </w:r>
    </w:p>
    <w:p>
      <w:pPr>
        <w:pStyle w:val="BodyText"/>
      </w:pPr>
      <w:r>
        <w:t xml:space="preserve">Accuracy and cost belong in one table: the finding is not where either lands, but how little</w:t>
      </w:r>
      <w:r>
        <w:t xml:space="preserve"> </w:t>
      </w:r>
      <w:r>
        <w:t xml:space="preserve">they relate. Accuracy is the mean over the</w:t>
      </w:r>
      <w:r>
        <w:t xml:space="preserve"> </w:t>
      </w:r>
      <w:r>
        <w:rPr>
          <w:b/>
          <w:bCs/>
        </w:rPr>
        <w:t xml:space="preserve">five shared-vocabulary datasets</w:t>
      </w:r>
      <w:r>
        <w:t xml:space="preserve"> </w:t>
      </w:r>
      <w:r>
        <w:t xml:space="preserve">(lung_cross</w:t>
      </w:r>
      <w:r>
        <w:t xml:space="preserve"> </w:t>
      </w:r>
      <w:r>
        <w:t xml:space="preserve">excluded — its exact accuracy is a vocabulary artifact, see the † note below; means over all</w:t>
      </w:r>
      <w:r>
        <w:t xml:space="preserve"> </w:t>
      </w:r>
      <w:r>
        <w:t xml:space="preserve">six are ~0.08 lower for every method, with the identical ranking); macro-F1 and ontology are</w:t>
      </w:r>
      <w:r>
        <w:t xml:space="preserve"> </w:t>
      </w:r>
      <w:r>
        <w:t xml:space="preserve">means over all six;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(6)</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and ontology concordance are means over all six, and cost</w:t>
      </w:r>
      <w:r>
        <w:t xml:space="preserve"> </w:t>
      </w:r>
      <w:r>
        <w:t xml:space="preserve">is the mean per query. Bold marks the best value in a column.</w:t>
      </w:r>
    </w:p>
    <w:p>
      <w:pPr>
        <w:pStyle w:val="BodyText"/>
      </w:pPr>
      <w:r>
        <w:t xml:space="preserve">*In Table 3, scANVI does most of its work in one train+predict pass, attributed to predict.</w:t>
      </w:r>
    </w:p>
    <w:p>
      <w:pPr>
        <w:pStyle w:val="BodyText"/>
      </w:pPr>
      <w:r>
        <w:rPr>
          <w:b/>
          <w:bCs/>
        </w:rPr>
        <w:t xml:space="preserve">Read down the accuracy column, then across.</w:t>
      </w:r>
      <w:r>
        <w:t xml:space="preserve"> </w:t>
      </w:r>
      <w:r>
        <w:t xml:space="preserve">The top four span 0.008 in accuracy,</w:t>
      </w:r>
      <w:r>
        <w:t xml:space="preserve"> </w:t>
      </w:r>
      <w:r>
        <w:rPr>
          <w:b/>
          <w:bCs/>
        </w:rPr>
        <w:t xml:space="preserve">~130× in</w:t>
      </w:r>
      <w:r>
        <w:rPr>
          <w:b/>
          <w:bCs/>
        </w:rPr>
        <w:t xml:space="preserve"> </w:t>
      </w:r>
      <w:r>
        <w:rPr>
          <w:b/>
          <w:bCs/>
        </w:rPr>
        <w:t xml:space="preserve">predict time</w:t>
      </w:r>
      <w:r>
        <w:t xml:space="preserve"> </w:t>
      </w:r>
      <w:r>
        <w:t xml:space="preserve">(0.34 s to 89 s) and 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§3.3). The two profiles suit different jobs: one-shot</w:t>
      </w:r>
      <w:r>
        <w:t xml:space="preserve"> </w:t>
      </w:r>
      <w:r>
        <w:t xml:space="preserve">labelling,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146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w:t>
      </w:r>
      <w:r>
        <w:t xml:space="preserve"> </w:t>
      </w:r>
      <w:r>
        <w:t xml:space="preserve">query both carry CL ids,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0.218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The top of the accuracy table is a</w:t>
      </w:r>
      <w:r>
        <w:t xml:space="preserve"> </w:t>
      </w:r>
      <w:r>
        <w:rPr>
          <w:b/>
          <w:bCs/>
        </w:rPr>
        <w:t xml:space="preserve">four-way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(0.833), scArches (0.832) and actinn-jax (0.831) — led by the linear pipeline</w:t>
      </w:r>
      <w:r>
        <w:t xml:space="preserve"> </w:t>
      </w:r>
      <w:r>
        <w:t xml:space="preserve">rather than by a deep model. CellTypist (0.823) sits just outside it.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 (actinn-jax #2)</w:t>
            </w:r>
          </w:p>
        </w:tc>
      </w:tr>
      <w:tr>
        <w:tc>
          <w:tcPr/>
          <w:p>
            <w:pPr>
              <w:pStyle w:val="Compact"/>
            </w:pPr>
            <w:r>
              <w:t xml:space="preserve">liver_cross (cross-study)</w:t>
            </w:r>
          </w:p>
        </w:tc>
        <w:tc>
          <w:tcPr/>
          <w:p>
            <w:pPr>
              <w:pStyle w:val="Compact"/>
            </w:pPr>
            <w:r>
              <w:rPr>
                <w:b/>
                <w:bCs/>
              </w:rPr>
              <w:t xml:space="preserve">0.686 exact / 0.731 ontology — #1 on both</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(0.23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53"/>
    <w:bookmarkStart w:id="57" w:name="the-accuracy-speed-frontier"/>
    <w:p>
      <w:pPr>
        <w:pStyle w:val="Heading2"/>
      </w:pPr>
      <w:r>
        <w:t xml:space="preserve">The accuracy × speed frontier</w:t>
      </w:r>
    </w:p>
    <w:p>
      <w:pPr>
        <w:pStyle w:val="FirstParagraph"/>
      </w:pPr>
      <w:r>
        <w:drawing>
          <wp:inline>
            <wp:extent cx="5334000" cy="3671222"/>
            <wp:effectExtent b="0" l="0" r="0" t="0"/>
            <wp:docPr descr="Pareto" title="" id="55" name="Picture"/>
            <a:graphic>
              <a:graphicData uri="http://schemas.openxmlformats.org/drawingml/2006/picture">
                <pic:pic>
                  <pic:nvPicPr>
                    <pic:cNvPr descr="/Users/iandriver/Downloads/actinn-jax-benchmark/docs/figures/fig_pareto_liver_intra.png" id="56" name="Picture"/>
                    <pic:cNvPicPr>
                      <a:picLocks noChangeArrowheads="1" noChangeAspect="1"/>
                    </pic:cNvPicPr>
                  </pic:nvPicPr>
                  <pic:blipFill>
                    <a:blip r:embed="rId54"/>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 4.</w:t>
      </w:r>
    </w:p>
    <w:p>
      <w:pPr>
        <w:pStyle w:val="BodyText"/>
      </w:pPr>
      <w:r>
        <w:t xml:space="preserve">Plotting accuracy against total wall time makes the frontier explicit. The</w:t>
      </w:r>
      <w:r>
        <w:t xml:space="preserve"> </w:t>
      </w:r>
      <w:r>
        <w:rPr>
          <w:b/>
          <w:bCs/>
        </w:rPr>
        <w:t xml:space="preserve">tuned linear</w:t>
      </w:r>
      <w:r>
        <w:rPr>
          <w:b/>
          <w:bCs/>
        </w:rPr>
        <w:t xml:space="preserve"> </w:t>
      </w:r>
      <w:r>
        <w:rPr>
          <w:b/>
          <w:bCs/>
        </w:rPr>
        <w:t xml:space="preserve">pipeline</w:t>
      </w:r>
      <w:r>
        <w:t xml:space="preserve"> </w:t>
      </w:r>
      <w:r>
        <w:t xml:space="preserve">holds the fast-frontier point: highest matrix accuracy (0.839) at the lowest fit</w:t>
      </w:r>
      <w:r>
        <w:t xml:space="preserve"> </w:t>
      </w:r>
      <w:r>
        <w:t xml:space="preserve">time of any accurate method (3.0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30–130× the inference cost. actinn-jax</w:t>
      </w:r>
      <w:r>
        <w:t xml:space="preserve"> </w:t>
      </w:r>
      <w:r>
        <w:t xml:space="preserve">sits just inside the frontier at this reference size; what separates it is not visible on a</w:t>
      </w:r>
      <w:r>
        <w:t xml:space="preserve"> </w:t>
      </w:r>
      <w:r>
        <w:t xml:space="preserve">fixed-size plot but on the scaling axes of §3.3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of Tables 3 and 5.</w:t>
      </w:r>
    </w:p>
    <w:bookmarkEnd w:id="57"/>
    <w:bookmarkStart w:id="61" w:name="scaling"/>
    <w:p>
      <w:pPr>
        <w:pStyle w:val="Heading2"/>
      </w:pPr>
      <w:r>
        <w:t xml:space="preserve">Scaling</w:t>
      </w:r>
    </w:p>
    <w:p>
      <w:pPr>
        <w:pStyle w:val="FirstParagraph"/>
      </w:pPr>
      <w:r>
        <w:drawing>
          <wp:inline>
            <wp:extent cx="5334000" cy="1970216"/>
            <wp:effectExtent b="0" l="0" r="0" t="0"/>
            <wp:docPr descr="scaling" title="" id="59" name="Picture"/>
            <a:graphic>
              <a:graphicData uri="http://schemas.openxmlformats.org/drawingml/2006/picture">
                <pic:pic>
                  <pic:nvPicPr>
                    <pic:cNvPr descr="/Users/iandriver/Downloads/actinn-jax-benchmark/docs/figures/fig_scaling.png" id="60" name="Picture"/>
                    <pic:cNvPicPr>
                      <a:picLocks noChangeArrowheads="1" noChangeAspect="1"/>
                    </pic:cNvPicPr>
                  </pic:nvPicPr>
                  <pic:blipFill>
                    <a:blip r:embed="rId58"/>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Training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61"/>
    <w:bookmarkStart w:id="66"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2195377"/>
            <wp:effectExtent b="0" l="0" r="0" t="0"/>
            <wp:docPr descr="the broad pass and the focused pass on one query" title="" id="63" name="Picture"/>
            <a:graphic>
              <a:graphicData uri="http://schemas.openxmlformats.org/drawingml/2006/picture">
                <pic:pic>
                  <pic:nvPicPr>
                    <pic:cNvPr descr="/Users/iandriver/Downloads/actinn-jax-benchmark/docs/figures/fig_workflow_umap.png" id="64" name="Picture"/>
                    <pic:cNvPicPr>
                      <a:picLocks noChangeArrowheads="1" noChangeAspect="1"/>
                    </pic:cNvPicPr>
                  </pic:nvPicPr>
                  <pic:blipFill>
                    <a:blip r:embed="rId62"/>
                    <a:stretch>
                      <a:fillRect/>
                    </a:stretch>
                  </pic:blipFill>
                  <pic:spPr bwMode="auto">
                    <a:xfrm>
                      <a:off x="0" y="0"/>
                      <a:ext cx="5334000" cy="2195377"/>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The two passes on the withheld HLiCA liver study (3,396 cells), same UMAP</w:t>
      </w:r>
      <w:r>
        <w:t xml:space="preserve"> </w:t>
      </w:r>
      <w:r>
        <w:t xml:space="preserve">throughout.</w:t>
      </w:r>
      <w:r>
        <w:t xml:space="preserve"> </w:t>
      </w:r>
      <w:r>
        <w:rPr>
          <w:i/>
          <w:iCs/>
        </w:rPr>
        <w:t xml:space="preserve">Left:</w:t>
      </w:r>
      <w:r>
        <w:t xml:space="preserve"> </w:t>
      </w:r>
      <w:r>
        <w:t xml:space="preserve">the shipped census reference spreads 137 of its 798 labels over the</w:t>
      </w:r>
      <w:r>
        <w:t xml:space="preserve"> </w:t>
      </w:r>
      <w:r>
        <w:t xml:space="preserve">query with little correspondence to cluster structure — ontology concordance</w:t>
      </w:r>
      <w:r>
        <w:t xml:space="preserve"> </w:t>
      </w:r>
      <w:r>
        <w:rPr>
          <w:b/>
          <w:bCs/>
        </w:rPr>
        <w:t xml:space="preserve">0.34</w:t>
      </w:r>
      <w:r>
        <w:t xml:space="preserve">. Its</w:t>
      </w:r>
      <w:r>
        <w:t xml:space="preserve"> </w:t>
      </w:r>
      <w:r>
        <w:t xml:space="preserve">job is to establish that this is liver and route accordingly, not to name subtypes.</w:t>
      </w:r>
      <w:r>
        <w:t xml:space="preserve"> </w:t>
      </w:r>
      <w:r>
        <w:rPr>
          <w:i/>
          <w:iCs/>
        </w:rPr>
        <w:t xml:space="preserve">Middle:</w:t>
      </w:r>
      <w:r>
        <w:t xml:space="preserve"> </w:t>
      </w:r>
      <w:r>
        <w:t xml:space="preserve">a 36-type liver reference trained on the six non-withheld studies re-annotates the</w:t>
      </w:r>
      <w:r>
        <w:t xml:space="preserve"> </w:t>
      </w:r>
      <w:r>
        <w:t xml:space="preserve">same cells at</w:t>
      </w:r>
      <w:r>
        <w:t xml:space="preserve"> </w:t>
      </w:r>
      <w:r>
        <w:rPr>
          <w:b/>
          <w:bCs/>
        </w:rPr>
        <w:t xml:space="preserve">0.73</w:t>
      </w:r>
      <w:r>
        <w:t xml:space="preserve">, and its labels now track the clusters.</w:t>
      </w:r>
      <w:r>
        <w:t xml:space="preserve"> </w:t>
      </w:r>
      <w:r>
        <w:rPr>
          <w:i/>
          <w:iCs/>
        </w:rPr>
        <w:t xml:space="preserve">Right:</w:t>
      </w:r>
      <w:r>
        <w:t xml:space="preserve"> </w:t>
      </w:r>
      <w:r>
        <w:t xml:space="preserve">the study’s own</w:t>
      </w:r>
      <w:r>
        <w:t xml:space="preserve"> </w:t>
      </w:r>
      <w:r>
        <w:t xml:space="preserve">labels, on the shared palette, for comparison with the middle panel. Both models are</w:t>
      </w:r>
      <w:r>
        <w:t xml:space="preserve"> </w:t>
      </w:r>
      <w:r>
        <w:t xml:space="preserve">leakage-free with respect to this query: the focused reference is trained only on the other</w:t>
      </w:r>
      <w:r>
        <w:t xml:space="preserve"> </w:t>
      </w:r>
      <w:r>
        <w:t xml:space="preserve">six studies (the</w:t>
      </w:r>
      <w:r>
        <w:t xml:space="preserve"> </w:t>
      </w:r>
      <w:r>
        <w:rPr>
          <w:i/>
          <w:iCs/>
        </w:rPr>
        <w:t xml:space="preserve">shipped</w:t>
      </w:r>
      <w:r>
        <w:t xml:space="preserve"> </w:t>
      </w:r>
      <w:r>
        <w:rPr>
          <w:rStyle w:val="VerbatimChar"/>
        </w:rPr>
        <w:t xml:space="preserve">liver_hlica_v2</w:t>
      </w:r>
      <w:r>
        <w:t xml:space="preserve"> </w:t>
      </w:r>
      <w:r>
        <w:t xml:space="preserve">includes this study and would score 0.94 here,</w:t>
      </w:r>
      <w:r>
        <w:t xml:space="preserve"> </w:t>
      </w:r>
      <w:r>
        <w:t xml:space="preserve">which is why it is not the model plotted). Abstention is switched off in all panels so the</w:t>
      </w:r>
      <w:r>
        <w:t xml:space="preserve"> </w:t>
      </w:r>
      <w:r>
        <w:t xml:space="preserve">numbers measure labelling 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 the corpus, not the recipe, is what bounds it.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(90.5%</w:t>
      </w:r>
      <w:r>
        <w:t xml:space="preserve"> </w:t>
      </w:r>
      <w:r>
        <w:t xml:space="preserve">coverage at</w:t>
      </w:r>
      <w:r>
        <w:t xml:space="preserve"> </w:t>
      </w:r>
      <w:r>
        <w:rPr>
          <w:rStyle w:val="VerbatimChar"/>
        </w:rPr>
        <w:t xml:space="preserve">p ≥ 0.5</w:t>
      </w:r>
      <w:r>
        <w:t xml:space="preserve"> </w:t>
      </w:r>
      <w:r>
        <w:t xml:space="preserve">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A second organism, and a hierarchy that needs no GPU.</w:t>
      </w:r>
      <w:r>
        <w:t xml:space="preserve"> </w:t>
      </w:r>
      <w:r>
        <w:t xml:space="preserve">Neither route above</w:t>
      </w:r>
      <w:r>
        <w:t xml:space="preserve"> </w:t>
      </w:r>
      <w:r>
        <w:t xml:space="preserve">transfers to mouse: Pan-human Azimuth is human-only, so there is no teacher to distill, and</w:t>
      </w:r>
      <w:r>
        <w:t xml:space="preserve"> </w:t>
      </w:r>
      <w:r>
        <w:t xml:space="preserve">the census route wants scPRINT on a GPU with mouse support we have not tested. But the census</w:t>
      </w:r>
      <w:r>
        <w:t xml:space="preserve"> </w:t>
      </w:r>
      <w:r>
        <w:t xml:space="preserve">already 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t>
      </w:r>
      <w:r>
        <w:t xml:space="preserve">(same Ward linkage, ontology indicator</w:t>
      </w:r>
      <w:r>
        <w:t xml:space="preserve"> </w:t>
      </w:r>
      <w:r>
        <w:t xml:space="preserve">vectors in place of embeddings) gives a hierarchy that is free, deterministic and</w:t>
      </w:r>
      <w:r>
        <w:t xml:space="preserve"> </w:t>
      </w:r>
      <w:r>
        <w:t xml:space="preserve">species-independent.</w:t>
      </w:r>
    </w:p>
    <w:p>
      <w:pPr>
        <w:pStyle w:val="BodyText"/>
      </w:pPr>
      <w:r>
        <w:t xml:space="preserve">That substitution needs a control, since any grouping might help. Built from one human corpus</w:t>
      </w:r>
      <w:r>
        <w:t xml:space="preserve"> </w:t>
      </w:r>
      <w:r>
        <w:t xml:space="preserve">(51,346 cells / 867 types) and scored on the held-out lung atlas</w:t>
      </w:r>
      <w:r>
        <w:t xml:space="preserve"> </w:t>
      </w:r>
      <w:r>
        <w:t xml:space="preserve">(</w:t>
      </w:r>
      <w:hyperlink r:id="rId65">
        <w:r>
          <w:rPr>
            <w:rStyle w:val="VerbatimChar"/>
          </w:rPr>
          <w:t xml:space="preserve">results_hierarchy_ablation.csv</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coarse hierarchy</w:t>
            </w:r>
          </w:p>
        </w:tc>
        <w:tc>
          <w:tcPr/>
          <w:p>
            <w:pPr>
              <w:pStyle w:val="Compact"/>
              <w:jc w:val="right"/>
            </w:pPr>
            <w:r>
              <w:t xml:space="preserve">ontology</w:t>
            </w:r>
          </w:p>
        </w:tc>
      </w:tr>
      <w:tr>
        <w:tc>
          <w:tcPr/>
          <w:p>
            <w:pPr>
              <w:pStyle w:val="Compact"/>
            </w:pPr>
            <w:r>
              <w:rPr>
                <w:b/>
                <w:bCs/>
              </w:rPr>
              <w:t xml:space="preserve">Cell Ontology lineage</w:t>
            </w:r>
          </w:p>
        </w:tc>
        <w:tc>
          <w:tcPr/>
          <w:p>
            <w:pPr>
              <w:pStyle w:val="Compact"/>
              <w:jc w:val="right"/>
            </w:pPr>
            <w:r>
              <w:rPr>
                <w:b/>
                <w:bCs/>
              </w:rPr>
              <w:t xml:space="preserve">0.616</w:t>
            </w:r>
          </w:p>
        </w:tc>
      </w:tr>
      <w:tr>
        <w:tc>
          <w:tcPr/>
          <w:p>
            <w:pPr>
              <w:pStyle w:val="Compact"/>
            </w:pPr>
            <w:r>
              <w:t xml:space="preserve">flat, no hierarchy</w:t>
            </w:r>
          </w:p>
        </w:tc>
        <w:tc>
          <w:tcPr/>
          <w:p>
            <w:pPr>
              <w:pStyle w:val="Compact"/>
              <w:jc w:val="right"/>
            </w:pPr>
            <w:r>
              <w:t xml:space="preserve">0.547</w:t>
            </w:r>
          </w:p>
        </w:tc>
      </w:tr>
      <w:tr>
        <w:tc>
          <w:tcPr/>
          <w:p>
            <w:pPr>
              <w:pStyle w:val="Compact"/>
            </w:pPr>
            <w:r>
              <w:t xml:space="preserve">random grouping, same group sizes</w:t>
            </w:r>
          </w:p>
        </w:tc>
        <w:tc>
          <w:tcPr/>
          <w:p>
            <w:pPr>
              <w:pStyle w:val="Compact"/>
              <w:jc w:val="right"/>
            </w:pPr>
            <w:r>
              <w:t xml:space="preserve">0.539</w:t>
            </w:r>
          </w:p>
        </w:tc>
      </w:tr>
    </w:tbl>
    <w:p>
      <w:pPr>
        <w:pStyle w:val="BodyText"/>
      </w:pPr>
      <w:r>
        <w:rPr>
          <w:b/>
          <w:bCs/>
        </w:rPr>
        <w:t xml:space="preserve">Table 7.</w:t>
      </w:r>
      <w:r>
        <w:t xml:space="preserve"> </w:t>
      </w:r>
      <w:r>
        <w:t xml:space="preserve">Coarse-hierarchy ablation, ordered by accuracy. Ontology concordance on the</w:t>
      </w:r>
      <w:r>
        <w:t xml:space="preserve"> </w:t>
      </w:r>
      <w:r>
        <w:t xml:space="preserve">held-out lung atlas for a Cell Ontology lineage hierarchy, no hierarchy at all, and a random</w:t>
      </w:r>
      <w:r>
        <w:t xml:space="preserve"> </w:t>
      </w:r>
      <w:r>
        <w:t xml:space="preserve">grouping with the same group sizes as the ontology one.</w:t>
      </w:r>
    </w:p>
    <w:p>
      <w:pPr>
        <w:pStyle w:val="BodyText"/>
      </w:pPr>
      <w:r>
        <w:t xml:space="preserve">Random grouping lands at flat rather than between flat and the ontology, so it is the</w:t>
      </w:r>
      <w:r>
        <w:t xml:space="preserve"> </w:t>
      </w:r>
      <w:r>
        <w:t xml:space="preserve">structure doing the work rather than the mere presence of groups. 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rPr>
                <w:rStyle w:val="VerbatimChar"/>
              </w:rPr>
              <w:t xml:space="preserve">min_prob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8.</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 0.88 accuracy</w:t>
      </w:r>
      <w:r>
        <w:t xml:space="preserve"> </w:t>
      </w:r>
      <w:r>
        <w:t xml:space="preserve">at 82% coverage, against 0.80 at 46% — because mouse census carries fewer near-duplicate</w:t>
      </w:r>
      <w:r>
        <w:t xml:space="preserve"> </w:t>
      </w:r>
      <w:r>
        <w:t xml:space="preserve">subtypes than human’s ~800-way vocabulary. Read across organisms with care: these are</w:t>
      </w:r>
      <w:r>
        <w:t xml:space="preserve"> </w:t>
      </w:r>
      <w:r>
        <w:t xml:space="preserve">different queries, so the mouse numbers sit in the same regime as the human ones rather than</w:t>
      </w:r>
      <w:r>
        <w:t xml:space="preserve"> </w:t>
      </w:r>
      <w:r>
        <w:t xml:space="preserve">being comparable to them. Two limits are worth stating on the spot.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two tiers switch; they do not stack</w:t>
      </w:r>
      <w:r>
        <w:t xml:space="preserve"> </w:t>
      </w:r>
      <w:r>
        <w:t xml:space="preserve">— we tested this and it is worth stating</w:t>
      </w:r>
      <w:r>
        <w:t xml:space="preserve"> </w:t>
      </w:r>
      <w:r>
        <w:t xml:space="preserve">plainly, because the opposite is the natural assumption. 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w:t>
      </w:r>
      <w:r>
        <w:rPr>
          <w:rStyle w:val="VerbatimChar"/>
        </w:rPr>
        <w:t xml:space="preserve">PAN_HUMAN_AZIMUTH.md</w:t>
      </w:r>
      <w:r>
        <w:t xml:space="preserve">).</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tier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66"/>
    <w:bookmarkStart w:id="67"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rPr>
          <w:b/>
          <w:bCs/>
        </w:rPr>
        <w:t xml:space="preserve">Table 9.</w:t>
      </w:r>
      <w:r>
        <w:t xml:space="preserve"> </w:t>
      </w:r>
      <w:r>
        <w:t xml:space="preserve">Confidence-threshold sweep with 9 of 36 cell types held out of the liver reference,</w:t>
      </w:r>
      <w:r>
        <w:t xml:space="preserve"> </w:t>
      </w:r>
      <w:r>
        <w:t xml:space="preserve">so 1,350 query cells are genuinely out-of-distribution. Each cell reads accuracy on kept cells /</w:t>
      </w:r>
      <w:r>
        <w:t xml:space="preserve"> </w:t>
      </w:r>
      <w:r>
        <w:t xml:space="preserve">fraction of cells kept / fraction of held-out-type cells flagged.</w:t>
      </w:r>
    </w:p>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bookmarkEnd w:id="67"/>
    <w:bookmarkStart w:id="68"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68"/>
    <w:bookmarkStart w:id="78"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69">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70">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rPr>
          <w:b/>
          <w:bCs/>
        </w:rPr>
        <w:t xml:space="preserve">Controlled same-hardware speed &amp; memory.</w:t>
      </w:r>
      <w:r>
        <w:t xml:space="preserve"> </w:t>
      </w:r>
      <w:r>
        <w:t xml:space="preserve">Leaderboard runtimes mix hardware, so we re-ran</w:t>
      </w:r>
      <w:r>
        <w:t xml:space="preserve"> </w:t>
      </w:r>
      <w:r>
        <w:t xml:space="preserve">actinn-jax and the CPU tier through OP’s</w:t>
      </w:r>
      <w:r>
        <w:t xml:space="preserve"> </w:t>
      </w:r>
      <w:r>
        <w:rPr>
          <w:i/>
          <w:iCs/>
        </w:rPr>
        <w:t xml:space="preserve">own</w:t>
      </w:r>
      <w:r>
        <w:t xml:space="preserve"> </w:t>
      </w:r>
      <w:r>
        <w:t xml:space="preserve">Nextflow pipeline on a</w:t>
      </w:r>
      <w:r>
        <w:t xml:space="preserve"> </w:t>
      </w:r>
      <w:r>
        <w:rPr>
          <w:b/>
          <w:bCs/>
        </w:rPr>
        <w:t xml:space="preserve">single AWS</w:t>
      </w:r>
      <w:r>
        <w:rPr>
          <w:b/>
          <w:bCs/>
        </w:rPr>
        <w:t xml:space="preserve"> </w:t>
      </w:r>
      <w:r>
        <w:rPr>
          <w:rStyle w:val="VerbatimChar"/>
          <w:b/>
          <w:bCs/>
        </w:rPr>
        <w:t xml:space="preserve">r7i.8xlarge</w:t>
      </w:r>
      <w:r>
        <w:t xml:space="preserve"> </w:t>
      </w:r>
      <w:r>
        <w:t xml:space="preserve">— identical hardware, harness, storage, and trace instrumentation for every</w:t>
      </w:r>
      <w:r>
        <w:t xml:space="preserve"> </w:t>
      </w:r>
      <w:r>
        <w:t xml:space="preserve">method. This is the paper’s cleanest cross-method cost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(same box)</w:t>
            </w:r>
          </w:p>
        </w:tc>
        <w:tc>
          <w:tcPr/>
          <w:p>
            <w:pPr>
              <w:pStyle w:val="Compact"/>
            </w:pPr>
            <w:r>
              <w:t xml:space="preserve">mean acc</w:t>
            </w:r>
          </w:p>
        </w:tc>
        <w:tc>
          <w:tcPr/>
          <w:p>
            <w:pPr>
              <w:pStyle w:val="Compact"/>
            </w:pPr>
            <w:r>
              <w:t xml:space="preserve">macro-F1</w:t>
            </w:r>
          </w:p>
        </w:tc>
        <w:tc>
          <w:tcPr/>
          <w:p>
            <w:pPr>
              <w:pStyle w:val="Compact"/>
            </w:pPr>
            <w:r>
              <w:t xml:space="preserve">runtime/dataset</w:t>
            </w:r>
          </w:p>
        </w:tc>
        <w:tc>
          <w:tcPr/>
          <w:p>
            <w:pPr>
              <w:pStyle w:val="Compact"/>
            </w:pPr>
            <w:r>
              <w:t xml:space="preserve">peak RSS</w:t>
            </w:r>
          </w:p>
        </w:tc>
      </w:tr>
      <w:tr>
        <w:tc>
          <w:tcPr/>
          <w:p>
            <w:pPr>
              <w:pStyle w:val="Compact"/>
            </w:pPr>
            <w:r>
              <w:t xml:space="preserve">mlp</w:t>
            </w:r>
          </w:p>
        </w:tc>
        <w:tc>
          <w:tcPr/>
          <w:p>
            <w:pPr>
              <w:pStyle w:val="Compact"/>
            </w:pPr>
            <w:r>
              <w:t xml:space="preserve">0.838</w:t>
            </w:r>
          </w:p>
        </w:tc>
        <w:tc>
          <w:tcPr/>
          <w:p>
            <w:pPr>
              <w:pStyle w:val="Compact"/>
            </w:pPr>
            <w:r>
              <w:t xml:space="preserve">0.664</w:t>
            </w:r>
          </w:p>
        </w:tc>
        <w:tc>
          <w:tcPr/>
          <w:p>
            <w:pPr>
              <w:pStyle w:val="Compact"/>
            </w:pPr>
            <w:r>
              <w:t xml:space="preserve">327 s</w:t>
            </w:r>
          </w:p>
        </w:tc>
        <w:tc>
          <w:tcPr/>
          <w:p>
            <w:pPr>
              <w:pStyle w:val="Compact"/>
            </w:pPr>
            <w:r>
              <w:t xml:space="preserve">19.9 GB</w:t>
            </w:r>
          </w:p>
        </w:tc>
      </w:tr>
      <w:tr>
        <w:tc>
          <w:tcPr/>
          <w:p>
            <w:pPr>
              <w:pStyle w:val="Compact"/>
            </w:pPr>
            <w:r>
              <w:rPr>
                <w:b/>
                <w:bCs/>
              </w:rPr>
              <w:t xml:space="preserve">actinn-jax</w:t>
            </w:r>
          </w:p>
        </w:tc>
        <w:tc>
          <w:tcPr/>
          <w:p>
            <w:pPr>
              <w:pStyle w:val="Compact"/>
            </w:pPr>
            <w:r>
              <w:t xml:space="preserve">0.837</w:t>
            </w:r>
          </w:p>
        </w:tc>
        <w:tc>
          <w:tcPr/>
          <w:p>
            <w:pPr>
              <w:pStyle w:val="Compact"/>
            </w:pPr>
            <w:r>
              <w:t xml:space="preserve">0.655</w:t>
            </w:r>
          </w:p>
        </w:tc>
        <w:tc>
          <w:tcPr/>
          <w:p>
            <w:pPr>
              <w:pStyle w:val="Compact"/>
            </w:pPr>
            <w:r>
              <w:rPr>
                <w:b/>
                <w:bCs/>
              </w:rPr>
              <w:t xml:space="preserve">165 s</w:t>
            </w:r>
          </w:p>
        </w:tc>
        <w:tc>
          <w:tcPr/>
          <w:p>
            <w:pPr>
              <w:pStyle w:val="Compact"/>
            </w:pPr>
            <w:r>
              <w:t xml:space="preserve">21.0 GB</w:t>
            </w:r>
          </w:p>
        </w:tc>
      </w:tr>
      <w:tr>
        <w:tc>
          <w:tcPr/>
          <w:p>
            <w:pPr>
              <w:pStyle w:val="Compact"/>
            </w:pPr>
            <w:r>
              <w:t xml:space="preserve">logistic_regression</w:t>
            </w:r>
          </w:p>
        </w:tc>
        <w:tc>
          <w:tcPr/>
          <w:p>
            <w:pPr>
              <w:pStyle w:val="Compact"/>
            </w:pPr>
            <w:r>
              <w:t xml:space="preserve">0.813</w:t>
            </w:r>
          </w:p>
        </w:tc>
        <w:tc>
          <w:tcPr/>
          <w:p>
            <w:pPr>
              <w:pStyle w:val="Compact"/>
            </w:pPr>
            <w:r>
              <w:t xml:space="preserve">0.689</w:t>
            </w:r>
          </w:p>
        </w:tc>
        <w:tc>
          <w:tcPr/>
          <w:p>
            <w:pPr>
              <w:pStyle w:val="Compact"/>
            </w:pPr>
            <w:r>
              <w:t xml:space="preserve">29 s</w:t>
            </w:r>
          </w:p>
        </w:tc>
        <w:tc>
          <w:tcPr/>
          <w:p>
            <w:pPr>
              <w:pStyle w:val="Compact"/>
            </w:pPr>
            <w:r>
              <w:t xml:space="preserve">20.0 GB</w:t>
            </w:r>
          </w:p>
        </w:tc>
      </w:tr>
      <w:tr>
        <w:tc>
          <w:tcPr/>
          <w:p>
            <w:pPr>
              <w:pStyle w:val="Compact"/>
            </w:pPr>
            <w:r>
              <w:t xml:space="preserve">xgboost</w:t>
            </w:r>
          </w:p>
        </w:tc>
        <w:tc>
          <w:tcPr/>
          <w:p>
            <w:pPr>
              <w:pStyle w:val="Compact"/>
            </w:pPr>
            <w:r>
              <w:t xml:space="preserve">0.795</w:t>
            </w:r>
          </w:p>
        </w:tc>
        <w:tc>
          <w:tcPr/>
          <w:p>
            <w:pPr>
              <w:pStyle w:val="Compact"/>
            </w:pPr>
            <w:r>
              <w:t xml:space="preserve">0.613</w:t>
            </w:r>
          </w:p>
        </w:tc>
        <w:tc>
          <w:tcPr/>
          <w:p>
            <w:pPr>
              <w:pStyle w:val="Compact"/>
            </w:pPr>
            <w:r>
              <w:t xml:space="preserve">905 s</w:t>
            </w:r>
          </w:p>
        </w:tc>
        <w:tc>
          <w:tcPr/>
          <w:p>
            <w:pPr>
              <w:pStyle w:val="Compact"/>
            </w:pPr>
            <w:r>
              <w:t xml:space="preserve">80.7 GB</w:t>
            </w:r>
          </w:p>
        </w:tc>
      </w:tr>
      <w:tr>
        <w:tc>
          <w:tcPr/>
          <w:p>
            <w:pPr>
              <w:pStyle w:val="Compact"/>
            </w:pPr>
            <w:r>
              <w:t xml:space="preserve">knn</w:t>
            </w:r>
          </w:p>
        </w:tc>
        <w:tc>
          <w:tcPr/>
          <w:p>
            <w:pPr>
              <w:pStyle w:val="Compact"/>
            </w:pPr>
            <w:r>
              <w:t xml:space="preserve">0.793</w:t>
            </w:r>
          </w:p>
        </w:tc>
        <w:tc>
          <w:tcPr/>
          <w:p>
            <w:pPr>
              <w:pStyle w:val="Compact"/>
            </w:pPr>
            <w:r>
              <w:t xml:space="preserve">0.648</w:t>
            </w:r>
          </w:p>
        </w:tc>
        <w:tc>
          <w:tcPr/>
          <w:p>
            <w:pPr>
              <w:pStyle w:val="Compact"/>
            </w:pPr>
            <w:r>
              <w:t xml:space="preserve">11 s</w:t>
            </w:r>
          </w:p>
        </w:tc>
        <w:tc>
          <w:tcPr/>
          <w:p>
            <w:pPr>
              <w:pStyle w:val="Compact"/>
            </w:pPr>
            <w:r>
              <w:t xml:space="preserve">19.5 GB</w:t>
            </w:r>
          </w:p>
        </w:tc>
      </w:tr>
      <w:tr>
        <w:tc>
          <w:tcPr/>
          <w:p>
            <w:pPr>
              <w:pStyle w:val="Compact"/>
            </w:pPr>
            <w:r>
              <w:t xml:space="preserve">cellmapper_linear</w:t>
            </w:r>
          </w:p>
        </w:tc>
        <w:tc>
          <w:tcPr/>
          <w:p>
            <w:pPr>
              <w:pStyle w:val="Compact"/>
            </w:pPr>
            <w:r>
              <w:t xml:space="preserve">0.776</w:t>
            </w:r>
          </w:p>
        </w:tc>
        <w:tc>
          <w:tcPr/>
          <w:p>
            <w:pPr>
              <w:pStyle w:val="Compact"/>
            </w:pPr>
            <w:r>
              <w:t xml:space="preserve">0.553</w:t>
            </w:r>
          </w:p>
        </w:tc>
        <w:tc>
          <w:tcPr/>
          <w:p>
            <w:pPr>
              <w:pStyle w:val="Compact"/>
            </w:pPr>
            <w:r>
              <w:t xml:space="preserve">58 s</w:t>
            </w:r>
          </w:p>
        </w:tc>
        <w:tc>
          <w:tcPr/>
          <w:p>
            <w:pPr>
              <w:pStyle w:val="Compact"/>
            </w:pPr>
            <w:r>
              <w:t xml:space="preserve">31.5 GB</w:t>
            </w:r>
          </w:p>
        </w:tc>
      </w:tr>
      <w:tr>
        <w:tc>
          <w:tcPr/>
          <w:p>
            <w:pPr>
              <w:pStyle w:val="Compact"/>
            </w:pPr>
            <w:r>
              <w:t xml:space="preserve">naive_bayes</w:t>
            </w:r>
          </w:p>
        </w:tc>
        <w:tc>
          <w:tcPr/>
          <w:p>
            <w:pPr>
              <w:pStyle w:val="Compact"/>
            </w:pPr>
            <w:r>
              <w:t xml:space="preserve">0.738</w:t>
            </w:r>
          </w:p>
        </w:tc>
        <w:tc>
          <w:tcPr/>
          <w:p>
            <w:pPr>
              <w:pStyle w:val="Compact"/>
            </w:pPr>
            <w:r>
              <w:t xml:space="preserve">0.613</w:t>
            </w:r>
          </w:p>
        </w:tc>
        <w:tc>
          <w:tcPr/>
          <w:p>
            <w:pPr>
              <w:pStyle w:val="Compact"/>
            </w:pPr>
            <w:r>
              <w:t xml:space="preserve">31 s</w:t>
            </w:r>
          </w:p>
        </w:tc>
        <w:tc>
          <w:tcPr/>
          <w:p>
            <w:pPr>
              <w:pStyle w:val="Compact"/>
            </w:pPr>
            <w:r>
              <w:t xml:space="preserve">19.5 GB</w:t>
            </w:r>
          </w:p>
        </w:tc>
      </w:tr>
    </w:tbl>
    <w:p>
      <w:pPr>
        <w:pStyle w:val="BodyText"/>
      </w:pPr>
      <w:r>
        <w:rPr>
          <w:b/>
          <w:bCs/>
        </w:rPr>
        <w:t xml:space="preserve">Table 10.</w:t>
      </w:r>
      <w:r>
        <w:t xml:space="preserve"> </w:t>
      </w:r>
      <w:r>
        <w:t xml:space="preserve">Open Problems methods re-run on a single AWS</w:t>
      </w:r>
      <w:r>
        <w:t xml:space="preserve"> </w:t>
      </w:r>
      <w:r>
        <w:rPr>
          <w:rStyle w:val="VerbatimChar"/>
        </w:rPr>
        <w:t xml:space="preserve">r7i.8xlarge</w:t>
      </w:r>
      <w:r>
        <w:t xml:space="preserve"> </w:t>
      </w:r>
      <w:r>
        <w:t xml:space="preserve">— identical hardware,</w:t>
      </w:r>
      <w:r>
        <w:t xml:space="preserve"> </w:t>
      </w:r>
      <w:r>
        <w:t xml:space="preserve">harness, storage, and trace instrumentation for every method — averaged over the benchmark’s</w:t>
      </w:r>
      <w:r>
        <w:t xml:space="preserve"> </w:t>
      </w:r>
      <w:r>
        <w:t xml:space="preserve">datasets, ordered by accuracy as in Table 3.</w:t>
      </w:r>
    </w:p>
    <w:p>
      <w:pPr>
        <w:pStyle w:val="BodyText"/>
      </w:pPr>
      <w:r>
        <w:t xml:space="preserve">actinn-jax</w:t>
      </w:r>
      <w:r>
        <w:t xml:space="preserve"> </w:t>
      </w:r>
      <w:r>
        <w:rPr>
          <w:b/>
          <w:bCs/>
        </w:rPr>
        <w:t xml:space="preserve">ties its</w:t>
      </w:r>
      <w:r>
        <w:rPr>
          <w:b/>
          <w:bCs/>
        </w:rPr>
        <w:t xml:space="preserve"> </w:t>
      </w:r>
      <w:r>
        <w:rPr>
          <w:rStyle w:val="VerbatimChar"/>
          <w:b/>
          <w:bCs/>
        </w:rPr>
        <w:t xml:space="preserve">mlp</w:t>
      </w:r>
      <w:r>
        <w:rPr>
          <w:b/>
          <w:bCs/>
        </w:rPr>
        <w:t xml:space="preserve"> </w:t>
      </w:r>
      <w:r>
        <w:rPr>
          <w:b/>
          <w:bCs/>
        </w:rPr>
        <w:t xml:space="preserve">sibling on accuracy at ~2× the speed</w:t>
      </w:r>
      <w:r>
        <w:t xml:space="preserve"> </w:t>
      </w:r>
      <w:r>
        <w:t xml:space="preserve">(165 vs 327 s) and</w:t>
      </w:r>
      <w:r>
        <w:t xml:space="preserve"> </w:t>
      </w:r>
      <w:r>
        <w:rPr>
          <w:b/>
          <w:bCs/>
        </w:rPr>
        <w:t xml:space="preserve">beats xgboost’s accuracy at ~5.5× less runtime and ~4× less memory</w:t>
      </w:r>
      <w:r>
        <w:t xml:space="preserve"> </w:t>
      </w:r>
      <w:r>
        <w:t xml:space="preserve">(165 s / 21 GB vs</w:t>
      </w:r>
      <w:r>
        <w:t xml:space="preserve"> </w:t>
      </w:r>
      <w:r>
        <w:t xml:space="preserve">905 s / 81 GB). The faster methods (knn, logistic) are less accurate; the more accurate</w:t>
      </w:r>
      <w:r>
        <w:t xml:space="preserve"> </w:t>
      </w:r>
      <w:r>
        <w:t xml:space="preserve">heavyweight (xgboost) is far slower and heavier — Pareto-non-domination</w:t>
      </w:r>
      <w:r>
        <w:t xml:space="preserve"> </w:t>
      </w:r>
      <w:r>
        <w:rPr>
          <w:b/>
          <w:bCs/>
        </w:rPr>
        <w:t xml:space="preserve">within Open</w:t>
      </w:r>
      <w:r>
        <w:rPr>
          <w:b/>
          <w:bCs/>
        </w:rPr>
        <w:t xml:space="preserve"> </w:t>
      </w:r>
      <w:r>
        <w:rPr>
          <w:b/>
          <w:bCs/>
        </w:rPr>
        <w:t xml:space="preserve">Problems’ method set</w:t>
      </w:r>
      <w:r>
        <w:t xml:space="preserve">, on controlled hardware. That set contains no carefully-tuned linear</w:t>
      </w:r>
      <w:r>
        <w:t xml:space="preserve"> </w:t>
      </w:r>
      <w:r>
        <w:t xml:space="preserve">pipeline; we added one and ran it on the same six datasets, and it does not change the</w:t>
      </w:r>
      <w:r>
        <w:t xml:space="preserve"> </w:t>
      </w:r>
      <w:r>
        <w:t xml:space="preserve">ranking (Table 11).</w:t>
      </w:r>
    </w:p>
    <w:p>
      <w:pPr>
        <w:pStyle w:val="BodyText"/>
      </w:pPr>
      <w:r>
        <w:rPr>
          <w:b/>
          <w:bCs/>
        </w:rPr>
        <w:t xml:space="preserve">Extension: our four added methods on the same datasets.</w:t>
      </w:r>
      <w:r>
        <w:t xml:space="preserve"> </w:t>
      </w:r>
      <w:r>
        <w:t xml:space="preserve">We ported the tuned linear</w:t>
      </w:r>
      <w:r>
        <w:t xml:space="preserve"> </w:t>
      </w:r>
      <w:r>
        <w:t xml:space="preserve">pipeline, the SGD-SVM, CellTypist and scTOP into Open Problems components and ran all four</w:t>
      </w:r>
      <w:r>
        <w:t xml:space="preserve"> </w:t>
      </w:r>
      <w:r>
        <w:t xml:space="preserve">on all six datasets</w:t>
      </w:r>
      <w:r>
        <w:t xml:space="preserve"> </w:t>
      </w:r>
      <w:r>
        <w:t xml:space="preserve">(</w:t>
      </w:r>
      <w:hyperlink r:id="rId71">
        <w:r>
          <w:rPr>
            <w:rStyle w:val="VerbatimChar"/>
          </w:rPr>
          <w:t xml:space="preserve">results_openproblems_added_methods.csv</w:t>
        </w:r>
      </w:hyperlink>
      <w:r>
        <w:t xml:space="preserve">).</w:t>
      </w:r>
      <w:r>
        <w:t xml:space="preserve"> </w:t>
      </w:r>
      <w:r>
        <w:t xml:space="preserve">Accuracy and macro-F1 do not depend on the machine, so these were run locally rather than on</w:t>
      </w:r>
      <w:r>
        <w:t xml:space="preserve"> </w:t>
      </w:r>
      <w:r>
        <w:t xml:space="preserve">the rented instance;</w:t>
      </w:r>
      <w:r>
        <w:t xml:space="preserve"> </w:t>
      </w:r>
      <w:r>
        <w:rPr>
          <w:b/>
          <w:bCs/>
        </w:rPr>
        <w:t xml:space="preserve">cost is not reported for them</w:t>
      </w:r>
      <w:r>
        <w:t xml:space="preserve">, because that does depend on the</w:t>
      </w:r>
      <w:r>
        <w:t xml:space="preserve"> </w:t>
      </w:r>
      <w:r>
        <w:t xml:space="preserve">machine and only Table 10 was measured under controlled conditions. The premise is</w:t>
      </w:r>
      <w:r>
        <w:t xml:space="preserve"> </w:t>
      </w:r>
      <w:r>
        <w:t xml:space="preserve">checkable rather than assumed: running actinn-jax’s component locally reproduces its</w:t>
      </w:r>
      <w:r>
        <w:t xml:space="preserve"> </w:t>
      </w:r>
      <w:r>
        <w:t xml:space="preserve">controlled-run accuracy on every dataset to within</w:t>
      </w:r>
      <w:r>
        <w:t xml:space="preserve"> </w:t>
      </w:r>
      <w:r>
        <w:rPr>
          <w:b/>
          <w:bCs/>
        </w:rPr>
        <w:t xml:space="preserve">0.004</w:t>
      </w:r>
      <w:r>
        <w:t xml:space="preserve"> </w:t>
      </w:r>
      <w:r>
        <w:t xml:space="preserve">(mean difference 0.0005; three</w:t>
      </w:r>
      <w:r>
        <w:t xml:space="preserve"> </w:t>
      </w:r>
      <w:r>
        <w:t xml:space="preserve">of six identical to four decimals), which is smaller than the spread between repeats.</w:t>
      </w:r>
    </w:p>
    <w:tbl>
      <w:tblPr>
        <w:tblStyle w:val="Table"/>
        <w:tblW w:type="pct" w:w="5000"/>
        <w:tblLayout w:type="fixed"/>
        <w:tblLook w:firstRow="1" w:lastRow="0" w:firstColumn="0" w:lastColumn="0" w:noHBand="0" w:noVBand="0" w:val="0020"/>
      </w:tblPr>
      <w:tblGrid>
        <w:gridCol w:w="1267"/>
        <w:gridCol w:w="739"/>
        <w:gridCol w:w="844"/>
        <w:gridCol w:w="844"/>
        <w:gridCol w:w="844"/>
        <w:gridCol w:w="844"/>
        <w:gridCol w:w="844"/>
        <w:gridCol w:w="844"/>
        <w:gridCol w:w="844"/>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c>
          <w:tcPr/>
          <w:p>
            <w:pPr>
              <w:pStyle w:val="Compact"/>
              <w:jc w:val="right"/>
            </w:pPr>
            <w:r>
              <w:t xml:space="preserve">dkd</w:t>
            </w:r>
          </w:p>
        </w:tc>
        <w:tc>
          <w:tcPr/>
          <w:p>
            <w:pPr>
              <w:pStyle w:val="Compact"/>
              <w:jc w:val="right"/>
            </w:pPr>
            <w:r>
              <w:t xml:space="preserve">gtex</w:t>
            </w:r>
          </w:p>
        </w:tc>
        <w:tc>
          <w:tcPr/>
          <w:p>
            <w:pPr>
              <w:pStyle w:val="Compact"/>
              <w:jc w:val="right"/>
            </w:pPr>
            <w:r>
              <w:t xml:space="preserve">hypomap</w:t>
            </w:r>
          </w:p>
        </w:tc>
        <w:tc>
          <w:tcPr/>
          <w:p>
            <w:pPr>
              <w:pStyle w:val="Compact"/>
              <w:jc w:val="right"/>
            </w:pPr>
            <w:r>
              <w:t xml:space="preserve">immune</w:t>
            </w:r>
          </w:p>
        </w:tc>
        <w:tc>
          <w:tcPr/>
          <w:p>
            <w:pPr>
              <w:pStyle w:val="Compact"/>
              <w:jc w:val="right"/>
            </w:pPr>
            <w:r>
              <w:t xml:space="preserve">pancreas</w:t>
            </w:r>
          </w:p>
        </w:tc>
        <w:tc>
          <w:tcPr/>
          <w:p>
            <w:pPr>
              <w:pStyle w:val="Compact"/>
              <w:jc w:val="right"/>
            </w:pPr>
            <w:r>
              <w:t xml:space="preserve">tabula</w:t>
            </w:r>
          </w:p>
        </w:tc>
      </w:tr>
      <w:tr>
        <w:tc>
          <w:tcPr/>
          <w:p>
            <w:pPr>
              <w:pStyle w:val="Compact"/>
            </w:pPr>
            <w:r>
              <w:t xml:space="preserve">linear-anova-pca</w:t>
            </w:r>
          </w:p>
        </w:tc>
        <w:tc>
          <w:tcPr/>
          <w:p>
            <w:pPr>
              <w:pStyle w:val="Compact"/>
              <w:jc w:val="right"/>
            </w:pPr>
            <w:r>
              <w:t xml:space="preserve">0.829</w:t>
            </w:r>
          </w:p>
        </w:tc>
        <w:tc>
          <w:tcPr/>
          <w:p>
            <w:pPr>
              <w:pStyle w:val="Compact"/>
              <w:jc w:val="right"/>
            </w:pPr>
            <w:r>
              <w:t xml:space="preserve">0.647</w:t>
            </w:r>
          </w:p>
        </w:tc>
        <w:tc>
          <w:tcPr/>
          <w:p>
            <w:pPr>
              <w:pStyle w:val="Compact"/>
              <w:jc w:val="right"/>
            </w:pPr>
            <w:r>
              <w:t xml:space="preserve">0.950</w:t>
            </w:r>
          </w:p>
        </w:tc>
        <w:tc>
          <w:tcPr/>
          <w:p>
            <w:pPr>
              <w:pStyle w:val="Compact"/>
              <w:jc w:val="right"/>
            </w:pPr>
            <w:r>
              <w:t xml:space="preserve">0.870</w:t>
            </w:r>
          </w:p>
        </w:tc>
        <w:tc>
          <w:tcPr/>
          <w:p>
            <w:pPr>
              <w:pStyle w:val="Compact"/>
              <w:jc w:val="right"/>
            </w:pPr>
            <w:r>
              <w:t xml:space="preserve">0.996</w:t>
            </w:r>
          </w:p>
        </w:tc>
        <w:tc>
          <w:tcPr/>
          <w:p>
            <w:pPr>
              <w:pStyle w:val="Compact"/>
              <w:jc w:val="right"/>
            </w:pPr>
            <w:r>
              <w:t xml:space="preserve">0.834</w:t>
            </w:r>
          </w:p>
        </w:tc>
        <w:tc>
          <w:tcPr/>
          <w:p>
            <w:pPr>
              <w:pStyle w:val="Compact"/>
              <w:jc w:val="right"/>
            </w:pPr>
            <w:r>
              <w:t xml:space="preserve">0.968</w:t>
            </w:r>
          </w:p>
        </w:tc>
        <w:tc>
          <w:tcPr/>
          <w:p>
            <w:pPr>
              <w:pStyle w:val="Compact"/>
              <w:jc w:val="right"/>
            </w:pPr>
            <w:r>
              <w:t xml:space="preserve">0.356</w:t>
            </w:r>
          </w:p>
        </w:tc>
      </w:tr>
      <w:tr>
        <w:tc>
          <w:tcPr/>
          <w:p>
            <w:pPr>
              <w:pStyle w:val="Compact"/>
            </w:pPr>
            <w:r>
              <w:t xml:space="preserve">SVM (SGD)</w:t>
            </w:r>
          </w:p>
        </w:tc>
        <w:tc>
          <w:tcPr/>
          <w:p>
            <w:pPr>
              <w:pStyle w:val="Compact"/>
              <w:jc w:val="right"/>
            </w:pPr>
            <w:r>
              <w:t xml:space="preserve">0.815</w:t>
            </w:r>
          </w:p>
        </w:tc>
        <w:tc>
          <w:tcPr/>
          <w:p>
            <w:pPr>
              <w:pStyle w:val="Compact"/>
              <w:jc w:val="right"/>
            </w:pPr>
            <w:r>
              <w:t xml:space="preserve">0.651</w:t>
            </w:r>
          </w:p>
        </w:tc>
        <w:tc>
          <w:tcPr/>
          <w:p>
            <w:pPr>
              <w:pStyle w:val="Compact"/>
              <w:jc w:val="right"/>
            </w:pPr>
            <w:r>
              <w:t xml:space="preserve">0.939</w:t>
            </w:r>
          </w:p>
        </w:tc>
        <w:tc>
          <w:tcPr/>
          <w:p>
            <w:pPr>
              <w:pStyle w:val="Compact"/>
              <w:jc w:val="right"/>
            </w:pPr>
            <w:r>
              <w:t xml:space="preserve">0.838</w:t>
            </w:r>
          </w:p>
        </w:tc>
        <w:tc>
          <w:tcPr/>
          <w:p>
            <w:pPr>
              <w:pStyle w:val="Compact"/>
              <w:jc w:val="right"/>
            </w:pPr>
            <w:r>
              <w:t xml:space="preserve">0.996</w:t>
            </w:r>
          </w:p>
        </w:tc>
        <w:tc>
          <w:tcPr/>
          <w:p>
            <w:pPr>
              <w:pStyle w:val="Compact"/>
              <w:jc w:val="right"/>
            </w:pPr>
            <w:r>
              <w:t xml:space="preserve">0.839</w:t>
            </w:r>
          </w:p>
        </w:tc>
        <w:tc>
          <w:tcPr/>
          <w:p>
            <w:pPr>
              <w:pStyle w:val="Compact"/>
              <w:jc w:val="right"/>
            </w:pPr>
            <w:r>
              <w:t xml:space="preserve">0.965</w:t>
            </w:r>
          </w:p>
        </w:tc>
        <w:tc>
          <w:tcPr/>
          <w:p>
            <w:pPr>
              <w:pStyle w:val="Compact"/>
              <w:jc w:val="right"/>
            </w:pPr>
            <w:r>
              <w:t xml:space="preserve">0.310</w:t>
            </w:r>
          </w:p>
        </w:tc>
      </w:tr>
      <w:tr>
        <w:tc>
          <w:tcPr/>
          <w:p>
            <w:pPr>
              <w:pStyle w:val="Compact"/>
            </w:pPr>
            <w:r>
              <w:t xml:space="preserve">CellTypist</w:t>
            </w:r>
          </w:p>
        </w:tc>
        <w:tc>
          <w:tcPr/>
          <w:p>
            <w:pPr>
              <w:pStyle w:val="Compact"/>
              <w:jc w:val="right"/>
            </w:pPr>
            <w:r>
              <w:t xml:space="preserve">0.809</w:t>
            </w:r>
          </w:p>
        </w:tc>
        <w:tc>
          <w:tcPr/>
          <w:p>
            <w:pPr>
              <w:pStyle w:val="Compact"/>
              <w:jc w:val="right"/>
            </w:pPr>
            <w:r>
              <w:t xml:space="preserve">0.644</w:t>
            </w:r>
          </w:p>
        </w:tc>
        <w:tc>
          <w:tcPr/>
          <w:p>
            <w:pPr>
              <w:pStyle w:val="Compact"/>
              <w:jc w:val="right"/>
            </w:pPr>
            <w:r>
              <w:t xml:space="preserve">0.938</w:t>
            </w:r>
          </w:p>
        </w:tc>
        <w:tc>
          <w:tcPr/>
          <w:p>
            <w:pPr>
              <w:pStyle w:val="Compact"/>
              <w:jc w:val="right"/>
            </w:pPr>
            <w:r>
              <w:t xml:space="preserve">0.837</w:t>
            </w:r>
          </w:p>
        </w:tc>
        <w:tc>
          <w:tcPr/>
          <w:p>
            <w:pPr>
              <w:pStyle w:val="Compact"/>
              <w:jc w:val="right"/>
            </w:pPr>
            <w:r>
              <w:t xml:space="preserve">0.996</w:t>
            </w:r>
          </w:p>
        </w:tc>
        <w:tc>
          <w:tcPr/>
          <w:p>
            <w:pPr>
              <w:pStyle w:val="Compact"/>
              <w:jc w:val="right"/>
            </w:pPr>
            <w:r>
              <w:t xml:space="preserve">0.843</w:t>
            </w:r>
          </w:p>
        </w:tc>
        <w:tc>
          <w:tcPr/>
          <w:p>
            <w:pPr>
              <w:pStyle w:val="Compact"/>
              <w:jc w:val="right"/>
            </w:pPr>
            <w:r>
              <w:t xml:space="preserve">0.964</w:t>
            </w:r>
          </w:p>
        </w:tc>
        <w:tc>
          <w:tcPr/>
          <w:p>
            <w:pPr>
              <w:pStyle w:val="Compact"/>
              <w:jc w:val="right"/>
            </w:pPr>
            <w:r>
              <w:t xml:space="preserve">0.275</w:t>
            </w:r>
          </w:p>
        </w:tc>
      </w:tr>
      <w:tr>
        <w:tc>
          <w:tcPr/>
          <w:p>
            <w:pPr>
              <w:pStyle w:val="Compact"/>
            </w:pPr>
            <w: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t xml:space="preserve">0.898</w:t>
            </w:r>
          </w:p>
        </w:tc>
        <w:tc>
          <w:tcPr/>
          <w:p>
            <w:pPr>
              <w:pStyle w:val="Compact"/>
              <w:jc w:val="right"/>
            </w:pPr>
            <w:r>
              <w:t xml:space="preserve">0.124</w:t>
            </w:r>
          </w:p>
        </w:tc>
        <w:tc>
          <w:tcPr/>
          <w:p>
            <w:pPr>
              <w:pStyle w:val="Compact"/>
              <w:jc w:val="right"/>
            </w:pPr>
            <w:r>
              <w:t xml:space="preserve">0.991</w:t>
            </w:r>
          </w:p>
        </w:tc>
        <w:tc>
          <w:tcPr/>
          <w:p>
            <w:pPr>
              <w:pStyle w:val="Compact"/>
              <w:jc w:val="right"/>
            </w:pPr>
            <w:r>
              <w:t xml:space="preserve">0.495</w:t>
            </w:r>
          </w:p>
        </w:tc>
        <w:tc>
          <w:tcPr/>
          <w:p>
            <w:pPr>
              <w:pStyle w:val="Compact"/>
              <w:jc w:val="right"/>
            </w:pPr>
            <w:r>
              <w:t xml:space="preserve">0.939</w:t>
            </w:r>
          </w:p>
        </w:tc>
        <w:tc>
          <w:tcPr/>
          <w:p>
            <w:pPr>
              <w:pStyle w:val="Compact"/>
              <w:jc w:val="right"/>
            </w:pPr>
            <w:r>
              <w:t xml:space="preserve">0.042</w:t>
            </w:r>
          </w:p>
        </w:tc>
      </w:tr>
    </w:tbl>
    <w:p>
      <w:pPr>
        <w:pStyle w:val="BodyText"/>
      </w:pPr>
      <w:r>
        <w:rPr>
          <w:b/>
          <w:bCs/>
        </w:rPr>
        <w:t xml:space="preserve">Table 11.</w:t>
      </w:r>
      <w:r>
        <w:t xml:space="preserve"> </w:t>
      </w:r>
      <w:r>
        <w:t xml:space="preserve">The four methods we added to Open Problems, on all six of its datasets,</w:t>
      </w:r>
      <w:r>
        <w:t xml:space="preserve"> </w:t>
      </w:r>
      <w:r>
        <w:t xml:space="preserve">ordered by accuracy. Dataset columns abbreviate the names used in Table 10 (immune =</w:t>
      </w:r>
      <w:r>
        <w:t xml:space="preserve"> </w:t>
      </w:r>
      <w:r>
        <w:t xml:space="preserve">immune_cell_atlas, pancreas = mouse_pancreas_atlas, tabula = tabula_sapiens). Comparable to</w:t>
      </w:r>
      <w:r>
        <w:t xml:space="preserve"> </w:t>
      </w:r>
      <w:r>
        <w:t xml:space="preserve">Table 10 on accuracy, which is machine-independent; not on cost, which is not measured here.</w:t>
      </w:r>
    </w:p>
    <w:p>
      <w:pPr>
        <w:pStyle w:val="BodyText"/>
      </w:pPr>
      <w:r>
        <w:t xml:space="preserve">Read against Table 10,</w:t>
      </w:r>
      <w:r>
        <w:t xml:space="preserve"> </w:t>
      </w:r>
      <w:r>
        <w:rPr>
          <w:b/>
          <w:bCs/>
        </w:rPr>
        <w:t xml:space="preserve">the tuned linear pipeline does not repeat its §3.1 win here</w:t>
      </w:r>
      <w:r>
        <w:t xml:space="preserve">: 0.829</w:t>
      </w:r>
      <w:r>
        <w:t xml:space="preserve"> </w:t>
      </w:r>
      <w:r>
        <w:t xml:space="preserve">places it third, behind</w:t>
      </w:r>
      <w:r>
        <w:t xml:space="preserve"> </w:t>
      </w:r>
      <w:r>
        <w:rPr>
          <w:rStyle w:val="VerbatimChar"/>
        </w:rPr>
        <w:t xml:space="preserve">mlp</w:t>
      </w:r>
      <w:r>
        <w:t xml:space="preserve"> </w:t>
      </w:r>
      <w:r>
        <w:t xml:space="preserve">(0.838) and actinn-jax (0.837) and ahead of OP’s own</w:t>
      </w:r>
      <w:r>
        <w:t xml:space="preserve"> </w:t>
      </w:r>
      <w:r>
        <w:rPr>
          <w:rStyle w:val="VerbatimChar"/>
        </w:rPr>
        <w:t xml:space="preserve">logistic_regression</w:t>
      </w:r>
      <w:r>
        <w:t xml:space="preserve"> </w:t>
      </w:r>
      <w:r>
        <w:t xml:space="preserve">(0.813). The SGD-SVM (0.815) and CellTypist (0.809) land in the same</w:t>
      </w:r>
      <w:r>
        <w:t xml:space="preserve"> </w:t>
      </w:r>
      <w:r>
        <w:t xml:space="preserve">band. The linear pipeline’s lead on our own panel (§3.1) therefore does not generalize:</w:t>
      </w:r>
      <w:r>
        <w:t xml:space="preserve"> </w:t>
      </w:r>
      <w:r>
        <w:t xml:space="preserve">whichever of the two panels is asked, the answer is a cluster of methods within a couple of</w:t>
      </w:r>
      <w:r>
        <w:t xml:space="preserve"> </w:t>
      </w:r>
      <w:r>
        <w:t xml:space="preserve">points of each other, but which one tops the cluster changes with the datasets.</w:t>
      </w:r>
    </w:p>
    <w:p>
      <w:pPr>
        <w:pStyle w:val="BodyText"/>
      </w:pPr>
      <w:r>
        <w:rPr>
          <w:b/>
          <w:bCs/>
        </w:rPr>
        <w:t xml:space="preserve">scTOP fails on two of the six, for a reason worth recording.</w:t>
      </w:r>
      <w:r>
        <w:t xml:space="preserve"> </w:t>
      </w:r>
      <w:r>
        <w:t xml:space="preserve">Its mean (0.581) is not a</w:t>
      </w:r>
      <w:r>
        <w:t xml:space="preserve"> </w:t>
      </w:r>
      <w:r>
        <w:t xml:space="preserve">uniformly weak result but two collapses inside four ordinary ones: 0.124 on gtex_v9 and</w:t>
      </w:r>
      <w:r>
        <w:t xml:space="preserve"> </w:t>
      </w:r>
      <w:r>
        <w:t xml:space="preserve">0.042 on tabula_sapiens against 0.90–0.99 elsewhere.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opt-in</w:t>
      </w:r>
      <w:r>
        <w:t xml:space="preserve"> </w:t>
      </w:r>
      <w:r>
        <w:t xml:space="preserve">(</w:t>
      </w:r>
      <w:r>
        <w:rPr>
          <w:rStyle w:val="VerbatimChar"/>
        </w:rPr>
        <w:t xml:space="preserve">standardize=True</w:t>
      </w:r>
      <w:r>
        <w:t xml:space="preserve">) 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6). Crucially, this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7)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73" name="Picture"/>
            <a:graphic>
              <a:graphicData uri="http://schemas.openxmlformats.org/drawingml/2006/picture">
                <pic:pic>
                  <pic:nvPicPr>
                    <pic:cNvPr descr="/Users/iandriver/Downloads/actinn-jax-benchmark/docs/figures/gene_budget_curve.png" id="74" name="Picture"/>
                    <pic:cNvPicPr>
                      <a:picLocks noChangeArrowheads="1" noChangeAspect="1"/>
                    </pic:cNvPicPr>
                  </pic:nvPicPr>
                  <pic:blipFill>
                    <a:blip r:embed="rId72"/>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76" name="Picture"/>
            <a:graphic>
              <a:graphicData uri="http://schemas.openxmlformats.org/drawingml/2006/picture">
                <pic:pic>
                  <pic:nvPicPr>
                    <pic:cNvPr descr="/Users/iandriver/Downloads/actinn-jax-benchmark/docs/figures/gene_budget_signals.png" id="77" name="Picture"/>
                    <pic:cNvPicPr>
                      <a:picLocks noChangeArrowheads="1" noChangeAspect="1"/>
                    </pic:cNvPicPr>
                  </pic:nvPicPr>
                  <pic:blipFill>
                    <a:blip r:embed="rId75"/>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78"/>
    <w:bookmarkEnd w:id="79"/>
    <w:bookmarkStart w:id="81"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~130× in inference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tier.</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w:t>
      </w:r>
      <w:r>
        <w:rPr>
          <w:b/>
          <w:bCs/>
        </w:rPr>
        <w:t xml:space="preserve"> </w:t>
      </w:r>
      <w:r>
        <w:rPr>
          <w:b/>
          <w:bCs/>
        </w:rPr>
        <w:t xml:space="preserve">cross-validation on the reference alone</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In other words, much of what looked like a deficit of the</w:t>
      </w:r>
      <w:r>
        <w:t xml:space="preserve"> </w:t>
      </w:r>
      <w:r>
        <w:rPr>
          <w:i/>
          <w:iCs/>
        </w:rPr>
        <w:t xml:space="preserve">model</w:t>
      </w:r>
      <w:r>
        <w:t xml:space="preserve"> </w:t>
      </w:r>
      <w:r>
        <w:t xml:space="preserve">was a deficit of its</w:t>
      </w:r>
      <w:r>
        <w:t xml:space="preserve"> </w:t>
      </w:r>
      <w:r>
        <w:rPr>
          <w:b/>
          <w:bCs/>
        </w:rPr>
        <w:t xml:space="preserve">input</w:t>
      </w:r>
      <w:r>
        <w:t xml:space="preserve">: the benchmark hands every method 1,000 highly variable genes, which is a far</w:t>
      </w:r>
      <w:r>
        <w:t xml:space="preserve"> </w:t>
      </w:r>
      <w:r>
        <w:t xml:space="preserve">harsher constraint on a model reading gene space directly than on one that learns a</w:t>
      </w:r>
      <w:r>
        <w:t xml:space="preserve"> </w:t>
      </w:r>
      <w:r>
        <w:t xml:space="preserve">compressed representation first. Widen the gene panel and most of the gap closes — so the</w:t>
      </w:r>
      <w:r>
        <w:t xml:space="preserve"> </w:t>
      </w:r>
      <w:r>
        <w:t xml:space="preserve">quantity being measured was partly</w:t>
      </w:r>
      <w:r>
        <w:t xml:space="preserve"> </w:t>
      </w:r>
      <w:r>
        <w:t xml:space="preserve">“how well does each method tolerate a narrow input”</w:t>
      </w:r>
      <w:r>
        <w:t xml:space="preserve">,</w:t>
      </w:r>
      <w:r>
        <w:t xml:space="preserve"> </w:t>
      </w:r>
      <w:r>
        <w:t xml:space="preserve">not</w:t>
      </w:r>
      <w:r>
        <w:t xml:space="preserve"> </w:t>
      </w:r>
      <w:r>
        <w:t xml:space="preserve">“which model class is stronger”</w:t>
      </w:r>
      <w:r>
        <w:t xml:space="preserve">.</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w:t>
      </w:r>
      <w:r>
        <w:rPr>
          <w:rStyle w:val="VerbatimChar"/>
        </w:rPr>
        <w:t xml:space="preserve">PAN_HUMAN_AZIMUTH.md</w:t>
      </w:r>
      <w:r>
        <w:t xml:space="preserve">)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80">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whose out-of-distribution behaviour degrades gracefully is</w:t>
      </w:r>
      <w:r>
        <w:t xml:space="preserve"> </w:t>
      </w:r>
      <w:r>
        <w:t xml:space="preserve">one whose confidence can be thresholded.</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tier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w:t>
      </w:r>
      <w:r>
        <w:rPr>
          <w:rStyle w:val="VerbatimChar"/>
        </w:rPr>
        <w:t xml:space="preserve">PAN_HUMAN_AZIMUTH.md</w:t>
      </w:r>
      <w:r>
        <w:t xml:space="preserve">)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roughly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most of these methods produce much the same labels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81"/>
    <w:bookmarkStart w:id="82"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(deep/foundation tiers would be faster on CUDA — out of scope for the</w:t>
      </w:r>
      <w:r>
        <w:t xml:space="preserve"> </w:t>
      </w:r>
      <w:r>
        <w:t xml:space="preserve">“runs-on-a-laptop”</w:t>
      </w:r>
      <w:r>
        <w:t xml:space="preserve"> </w:t>
      </w:r>
      <w:r>
        <w:t xml:space="preserve">question).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Cost is therefore</w:t>
      </w:r>
      <w:r>
        <w:t xml:space="preserve"> </w:t>
      </w:r>
      <w:r>
        <w:t xml:space="preserve">reported only from the single matched-concurrency run (Table 10), which covers OP’s own</w:t>
      </w:r>
      <w:r>
        <w:t xml:space="preserve"> </w:t>
      </w:r>
      <w:r>
        <w:t xml:space="preserve">seven methods; the four we added are compared on accuracy alone (Table 11). Putting all</w:t>
      </w:r>
      <w:r>
        <w:t xml:space="preserve"> </w:t>
      </w:r>
      <w:r>
        <w:t xml:space="preserve">eleven on one cost axis needs one more controlled run.</w:t>
      </w:r>
    </w:p>
    <w:p>
      <w:pPr>
        <w:pStyle w:val="Compact"/>
        <w:numPr>
          <w:ilvl w:val="0"/>
          <w:numId w:val="1007"/>
        </w:numPr>
      </w:pPr>
      <w:r>
        <w:t xml:space="preserve">Subsampled references (to keep the matrix tractable); the scaling section characterizes</w:t>
      </w:r>
      <w:r>
        <w:t xml:space="preserve"> </w:t>
      </w:r>
      <w:r>
        <w:t xml:space="preserve">the size dependence directly.</w:t>
      </w:r>
    </w:p>
    <w:p>
      <w:pPr>
        <w:pStyle w:val="Compact"/>
        <w:numPr>
          <w:ilvl w:val="0"/>
          <w:numId w:val="1007"/>
        </w:numPr>
      </w:pPr>
      <w:r>
        <w:rPr>
          <w:b/>
          <w:bCs/>
        </w:rPr>
        <w:t xml:space="preserve">The cross-method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behaviour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4× faster, with its largest margin on the 86-type blood+gut set</w:t>
      </w:r>
      <w:r>
        <w:t xml:space="preserve"> </w:t>
      </w:r>
      <w:r>
        <w:t xml:space="preserve">(+4.2 pt) (</w:t>
      </w:r>
      <w:r>
        <w:rPr>
          <w:rStyle w:val="VerbatimChar"/>
        </w:rPr>
        <w:t xml:space="preserve">SIMPLE_BASELINES.md</w:t>
      </w:r>
      <w:r>
        <w:t xml:space="preserve">). The §3.1 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 still</w:t>
      </w:r>
      <w:r>
        <w:t xml:space="preserve"> </w:t>
      </w:r>
      <w:r>
        <w:t xml:space="preserve">on time (~1 s) but competitive only at small, low cardinality — best pbmc macro-F1 (0.837),</w:t>
      </w:r>
      <w:r>
        <w:t xml:space="preserve"> </w:t>
      </w:r>
      <w:r>
        <w:t xml:space="preserve">degrading to 0.649 on liver.</w:t>
      </w:r>
    </w:p>
    <w:p>
      <w:pPr>
        <w:pStyle w:val="Compact"/>
        <w:numPr>
          <w:ilvl w:val="0"/>
          <w:numId w:val="1007"/>
        </w:numPr>
      </w:pPr>
      <w:r>
        <w:rPr>
          <w:b/>
          <w:bCs/>
        </w:rPr>
        <w:t xml:space="preserve">actinn-jax’s memory advantage is bounded, and the linear pipeline scales further than</w:t>
      </w:r>
      <w:r>
        <w:rPr>
          <w:b/>
          <w:bCs/>
        </w:rPr>
        <w:t xml:space="preserve"> </w:t>
      </w:r>
      <w:r>
        <w:rPr>
          <w:b/>
          <w:bCs/>
        </w:rPr>
        <w:t xml:space="preserve">extrapolation suggests</w:t>
      </w:r>
      <w:r>
        <w:t xml:space="preserve"> </w:t>
      </w:r>
      <w:r>
        <w:t xml:space="preserve">(</w:t>
      </w:r>
      <w:r>
        <w:rPr>
          <w:rStyle w:val="VerbatimChar"/>
        </w:rPr>
        <w:t xml:space="preserve">SCALING_MEMORY.md</w:t>
      </w:r>
      <w:r>
        <w:t xml:space="preserve">). Extrapolating the</w:t>
      </w:r>
      <w:r>
        <w:t xml:space="preserve"> </w:t>
      </w:r>
      <w:r>
        <w:t xml:space="preserve">linear pipeline’s small-reference footprint predicts ~32 GB and failure at atlas scale;</w:t>
      </w:r>
      <w:r>
        <w:t xml:space="preserve"> </w:t>
      </w:r>
      <w:r>
        <w:t xml:space="preserve">measured, it uses</w:t>
      </w:r>
      <w:r>
        <w:t xml:space="preserve"> </w:t>
      </w:r>
      <w:r>
        <w:rPr>
          <w:b/>
          <w:bCs/>
        </w:rPr>
        <w:t xml:space="preserve">13.2 GB</w:t>
      </w:r>
      <w:r>
        <w:t xml:space="preserve"> </w:t>
      </w:r>
      <w:r>
        <w:t xml:space="preserve">and completes, because</w:t>
      </w:r>
      <w:r>
        <w:t xml:space="preserve"> </w:t>
      </w:r>
      <w:r>
        <w:rPr>
          <w:rStyle w:val="VerbatimChar"/>
        </w:rPr>
        <w:t xml:space="preserve">SelectKBest(k=20000)</w:t>
      </w:r>
      <w:r>
        <w:t xml:space="preserve"> </w:t>
      </w:r>
      <w:r>
        <w:t xml:space="preserve">caps the dense</w:t>
      </w:r>
      <w:r>
        <w:t xml:space="preserve"> </w:t>
      </w:r>
      <w:r>
        <w:t xml:space="preserve">matrix well below the full gene set. The linear/actinn-jax 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projections in this setting should be measured, not extrapolated.</w:t>
      </w:r>
    </w:p>
    <w:p>
      <w:pPr>
        <w:pStyle w:val="Compact"/>
        <w:numPr>
          <w:ilvl w:val="0"/>
          <w:numId w:val="1007"/>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82"/>
    <w:bookmarkStart w:id="88" w:name="data-code-availability"/>
    <w:p>
      <w:pPr>
        <w:pStyle w:val="Heading1"/>
      </w:pPr>
      <w:r>
        <w:t xml:space="preserve">Data &amp; code availability</w:t>
      </w:r>
    </w:p>
    <w:p>
      <w:pPr>
        <w:pStyle w:val="FirstParagraph"/>
      </w:pPr>
      <w:r>
        <w:t xml:space="preserve">All configs (</w:t>
      </w:r>
      <w:r>
        <w:rPr>
          <w:rStyle w:val="VerbatimChar"/>
        </w:rPr>
        <w:t xml:space="preserve">configs/paper*.yaml</w:t>
      </w:r>
      <w:r>
        <w:t xml:space="preserve">, including</w:t>
      </w:r>
      <w:r>
        <w:t xml:space="preserve"> </w:t>
      </w:r>
      <w:r>
        <w:rPr>
          <w:rStyle w:val="VerbatimChar"/>
        </w:rPr>
        <w:t xml:space="preserve">configs/paper_baselines.yaml</w:t>
      </w:r>
      <w:r>
        <w:t xml:space="preserve"> </w:t>
      </w:r>
      <w:r>
        <w:t xml:space="preserve">which fills the</w:t>
      </w:r>
      <w:r>
        <w:t xml:space="preserve"> </w:t>
      </w:r>
      <w:r>
        <w:t xml:space="preserve">matrix for the three later-added methods on the identical splits), adapters</w:t>
      </w:r>
      <w:r>
        <w:t xml:space="preserve"> </w:t>
      </w:r>
      <w:r>
        <w:t xml:space="preserve">(</w:t>
      </w:r>
      <w:r>
        <w:rPr>
          <w:rStyle w:val="VerbatimChar"/>
        </w:rPr>
        <w:t xml:space="preserve">benchmark/adapters/</w:t>
      </w:r>
      <w:r>
        <w:t xml:space="preserve">), result CSVs (</w:t>
      </w:r>
      <w:r>
        <w:rPr>
          <w:rStyle w:val="VerbatimChar"/>
        </w:rPr>
        <w:t xml:space="preserve">results/paper*/</w:t>
      </w:r>
      <w:r>
        <w:t xml:space="preserve"> </w:t>
      </w:r>
      <w:r>
        <w:t xml:space="preserve">and</w:t>
      </w:r>
      <w:r>
        <w:t xml:space="preserve"> </w:t>
      </w:r>
      <w:r>
        <w:rPr>
          <w:rStyle w:val="VerbatimChar"/>
        </w:rPr>
        <w:t xml:space="preserve">docs/results_*.csv</w:t>
      </w:r>
      <w:r>
        <w:t xml:space="preserve">, which</w:t>
      </w:r>
      <w:r>
        <w:t xml:space="preserve"> </w:t>
      </w:r>
      <w:r>
        <w:t xml:space="preserve">include the unified 11-method matrix), figure scripts, and the actinn-jax package</w:t>
      </w:r>
      <w:r>
        <w:t xml:space="preserve"> </w:t>
      </w:r>
      <w:r>
        <w:t xml:space="preserve">(</w:t>
      </w:r>
      <w:hyperlink r:id="rId83">
        <w:r>
          <w:rPr>
            <w:rStyle w:val="Hyperlink"/>
          </w:rPr>
          <w:t xml:space="preserve">github.com/iandriver/actinn-jax</w:t>
        </w:r>
      </w:hyperlink>
      <w:r>
        <w:t xml:space="preserve">) are in these</w:t>
      </w:r>
      <w:r>
        <w:t xml:space="preserve"> </w:t>
      </w:r>
      <w:r>
        <w:t xml:space="preserve">two repositories. Rebuilding the shipped broad reference is a single documented command</w:t>
      </w:r>
      <w:r>
        <w:t xml:space="preserve"> </w:t>
      </w:r>
      <w:r>
        <w:t xml:space="preserve">(</w:t>
      </w:r>
      <w:r>
        <w:rPr>
          <w:rStyle w:val="VerbatimChar"/>
        </w:rPr>
        <w:t xml:space="preserve">benchmark/explore/update_broad_reference.sh</w:t>
      </w:r>
      <w:r>
        <w:t xml:space="preserve">);</w:t>
      </w:r>
      <w:r>
        <w:t xml:space="preserve"> </w:t>
      </w:r>
      <w:r>
        <w:t xml:space="preserve">the distilled broad-pass reference is built by</w:t>
      </w:r>
      <w:r>
        <w:t xml:space="preserve"> </w:t>
      </w:r>
      <w:r>
        <w:rPr>
          <w:rStyle w:val="VerbatimChar"/>
        </w:rPr>
        <w:t xml:space="preserve">distill_dump.py</w:t>
      </w:r>
      <w:r>
        <w:t xml:space="preserve"> </w:t>
      </w:r>
      <w:r>
        <w:t xml:space="preserve">→</w:t>
      </w:r>
      <w:r>
        <w:t xml:space="preserve"> </w:t>
      </w:r>
      <w:r>
        <w:rPr>
          <w:rStyle w:val="VerbatimChar"/>
        </w:rPr>
        <w:t xml:space="preserve">distill_train.py</w:t>
      </w:r>
      <w:r>
        <w:t xml:space="preserve">; the pan-mouse reference and the</w:t>
      </w:r>
      <w:r>
        <w:t xml:space="preserve"> </w:t>
      </w:r>
      <w:r>
        <w:t xml:space="preserve">Cell-Ontology hierarchy it depends on are documented in the same repository.</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84">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85">
        <w:r>
          <w:rPr>
            <w:rStyle w:val="Hyperlink"/>
          </w:rPr>
          <w:t xml:space="preserve">10.5281/zenodo.21688150</w:t>
        </w:r>
      </w:hyperlink>
      <w:r>
        <w:t xml:space="preserve"> </w:t>
      </w:r>
      <w:r>
        <w:t xml:space="preserve">for the</w:t>
      </w:r>
      <w:r>
        <w:t xml:space="preserve"> </w:t>
      </w:r>
      <w:r>
        <w:t xml:space="preserve">latest version). actinn-jax’s</w:t>
      </w:r>
      <w:r>
        <w:t xml:space="preserve"> </w:t>
      </w:r>
      <w:r>
        <w:rPr>
          <w:rStyle w:val="VerbatimChar"/>
        </w:rPr>
        <w:t xml:space="preserve">bundled_reference</w:t>
      </w:r>
      <w:r>
        <w:t xml:space="preserve"> </w:t>
      </w:r>
      <w:r>
        <w:t xml:space="preserve">downloads and caches them on first</w:t>
      </w:r>
      <w:r>
        <w:t xml:space="preserve"> </w:t>
      </w:r>
      <w:r>
        <w:t xml:space="preserve">use, so no manual retrieval is needed;</w:t>
      </w:r>
      <w:r>
        <w:t xml:space="preserve"> </w:t>
      </w:r>
      <w:r>
        <w:rPr>
          <w:rStyle w:val="VerbatimChar"/>
        </w:rPr>
        <w:t xml:space="preserve">actinn-jax fetch</w:t>
      </w:r>
      <w:r>
        <w:t xml:space="preserve"> </w:t>
      </w:r>
      <w:r>
        <w:t xml:space="preserve">pre-downloads for offline use.</w:t>
      </w:r>
    </w:p>
    <w:p>
      <w:pPr>
        <w:pStyle w:val="BodyText"/>
      </w:pPr>
      <w:r>
        <w:t xml:space="preserve">HLiCA data © Edgar et al. 2026 (CC-BY 4.0),</w:t>
      </w:r>
      <w:r>
        <w:t xml:space="preserve"> </w:t>
      </w:r>
      <w:hyperlink r:id="rId30">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86">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87">
        <w:r>
          <w:rPr>
            <w:rStyle w:val="Hyperlink"/>
          </w:rPr>
          <w:t xml:space="preserve">Zenodo</w:t>
        </w:r>
      </w:hyperlink>
      <w:r>
        <w:t xml:space="preserve">. Attribution is a</w:t>
      </w:r>
      <w:r>
        <w:t xml:space="preserve"> </w:t>
      </w:r>
      <w:r>
        <w:t xml:space="preserve">condition of that licence and travels inside the shipped model’s</w:t>
      </w:r>
      <w:r>
        <w:t xml:space="preserve"> </w:t>
      </w:r>
      <w:r>
        <w:rPr>
          <w:rStyle w:val="VerbatimChar"/>
        </w:rPr>
        <w:t xml:space="preserve">build_info.json</w:t>
      </w:r>
      <w:r>
        <w:t xml:space="preserve">.</w:t>
      </w:r>
    </w:p>
    <w:bookmarkEnd w:id="88"/>
    <w:bookmarkStart w:id="89"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2">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1">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70">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30">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9">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80">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8">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50" Target="media/rId50.png" /><Relationship Type="http://schemas.openxmlformats.org/officeDocument/2006/relationships/image" Id="rId62" Target="media/rId62.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hyperlink" Id="rId36" Target="https://chanzuckerberg.github.io/cellxgene-census/" TargetMode="External" /><Relationship Type="http://schemas.openxmlformats.org/officeDocument/2006/relationships/hyperlink" Id="rId86"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8" Target="https://doi.org/10.1038/s41586-020-2922-4" TargetMode="External" /><Relationship Type="http://schemas.openxmlformats.org/officeDocument/2006/relationships/hyperlink" Id="rId31"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9"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0"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7" Target="https://doi.org/10.5281/zenodo.20401417" TargetMode="External" /><Relationship Type="http://schemas.openxmlformats.org/officeDocument/2006/relationships/hyperlink" Id="rId85" Target="https://doi.org/10.5281/zenodo.21688150" TargetMode="External" /><Relationship Type="http://schemas.openxmlformats.org/officeDocument/2006/relationships/hyperlink" Id="rId84" Target="https://doi.org/10.5281/zenodo.21688151" TargetMode="External" /><Relationship Type="http://schemas.openxmlformats.org/officeDocument/2006/relationships/hyperlink" Id="rId80" Target="https://doi.org/10.64898/2026.02.11.705358" TargetMode="External" /><Relationship Type="http://schemas.openxmlformats.org/officeDocument/2006/relationships/hyperlink" Id="rId30"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3" Target="https://github.com/iandriver/actinn-jax" TargetMode="External" /><Relationship Type="http://schemas.openxmlformats.org/officeDocument/2006/relationships/hyperlink" Id="rId26" Target="https://github.com/iandriver/actinn-jax-benchmark/blob/main/benchmark/adapters/panhuman_adapter.py" TargetMode="External" /><Relationship Type="http://schemas.openxmlformats.org/officeDocument/2006/relationships/hyperlink" Id="rId65" Target="https://github.com/iandriver/actinn-jax-benchmark/blob/main/docs/results_hierarchy_ablation.csv" TargetMode="External" /><Relationship Type="http://schemas.openxmlformats.org/officeDocument/2006/relationships/hyperlink" Id="rId71" Target="https://github.com/iandriver/actinn-jax-benchmark/blob/main/docs/results_openproblems_added_methods.csv"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9" Target="https://openproblems.bio/benchmarks/label_projection" TargetMode="External" /><Relationship Type="http://schemas.openxmlformats.org/officeDocument/2006/relationships/hyperlink" Id="rId32"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86"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8" Target="https://doi.org/10.1038/s41586-020-2922-4" TargetMode="External" /><Relationship Type="http://schemas.openxmlformats.org/officeDocument/2006/relationships/hyperlink" Id="rId31"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9"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0"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7" Target="https://doi.org/10.5281/zenodo.20401417" TargetMode="External" /><Relationship Type="http://schemas.openxmlformats.org/officeDocument/2006/relationships/hyperlink" Id="rId85" Target="https://doi.org/10.5281/zenodo.21688150" TargetMode="External" /><Relationship Type="http://schemas.openxmlformats.org/officeDocument/2006/relationships/hyperlink" Id="rId84" Target="https://doi.org/10.5281/zenodo.21688151" TargetMode="External" /><Relationship Type="http://schemas.openxmlformats.org/officeDocument/2006/relationships/hyperlink" Id="rId80" Target="https://doi.org/10.64898/2026.02.11.705358" TargetMode="External" /><Relationship Type="http://schemas.openxmlformats.org/officeDocument/2006/relationships/hyperlink" Id="rId30"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3" Target="https://github.com/iandriver/actinn-jax" TargetMode="External" /><Relationship Type="http://schemas.openxmlformats.org/officeDocument/2006/relationships/hyperlink" Id="rId26" Target="https://github.com/iandriver/actinn-jax-benchmark/blob/main/benchmark/adapters/panhuman_adapter.py" TargetMode="External" /><Relationship Type="http://schemas.openxmlformats.org/officeDocument/2006/relationships/hyperlink" Id="rId65" Target="https://github.com/iandriver/actinn-jax-benchmark/blob/main/docs/results_hierarchy_ablation.csv" TargetMode="External" /><Relationship Type="http://schemas.openxmlformats.org/officeDocument/2006/relationships/hyperlink" Id="rId71" Target="https://github.com/iandriver/actinn-jax-benchmark/blob/main/docs/results_openproblems_added_methods.csv"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9" Target="https://openproblems.bio/benchmarks/label_projection" TargetMode="External" /><Relationship Type="http://schemas.openxmlformats.org/officeDocument/2006/relationships/hyperlink" Id="rId32"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13-method benchmark and practical low-memory workflows, with actinn-jax</dc:title>
  <dc:creator>Ian Driver</dc:creator>
  <cp:keywords/>
  <dcterms:created xsi:type="dcterms:W3CDTF">2026-08-05T02:59:04Z</dcterms:created>
  <dcterms:modified xsi:type="dcterms:W3CDTF">2026-08-05T02:59:04Z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thirteen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four-way cluster spanning 0.008 (0.831–0.839), led by a carefully preprocessed linear pipeline (normalize → ANOVA → PCA → logistic regression, 0.839) rather than by a deep model, with scANVI, scArches and actinn-jax (0.831) alongside it. Those same four methods differ by ~130× in inference time (0.34 s to 89 s) and 2.4× in peak memory (1.8 to 4.3 GB). The linear pipeline is the most accurate-per-second option on laptop-sized data, fitting 7× faster than actinn-jax (3.0 vs. 21.9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behaviour from 3k to 49k reference cells), then use actinn-jax to demonstrate end-to-end workflows that a low, flat cost profile makes practical, on human data and — via a hierarchy derived from the Cell Ontology, which removes the GPU step from building a reference — on mouse: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tier than ours, and one we can distill into a broad-pass model of comparable accuracy at ~9×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