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2.png" ContentType="image/png"/>
  <Override PartName="/word/media/rId56.png" ContentType="image/png"/>
  <Override PartName="/word/media/rId64.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13-method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~130× in inference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on human data and — via a hierarchy derived from the Cell Ontology, which removes the GPU step from building a reference — on mouse: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pass than ours, and one we can</w:t>
      </w:r>
      <w:r>
        <w:t xml:space="preserve"> </w:t>
      </w:r>
      <w:r>
        <w:rPr>
          <w:b/>
          <w:bCs/>
        </w:rPr>
        <w:t xml:space="preserve">distill into a broad-pass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favourable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unfavourable direction (§5). Metrics are</w:t>
      </w:r>
      <w:r>
        <w:t xml:space="preserve"> </w:t>
      </w:r>
      <w:r>
        <w:t xml:space="preserve">fixed across all methods and reported in full. And the</w:t>
      </w:r>
      <w:r>
        <w:t xml:space="preserve"> </w:t>
      </w:r>
      <w:r>
        <w:rPr>
          <w:b/>
          <w:bCs/>
        </w:rPr>
        <w:t xml:space="preserve">external validation is somebody</w:t>
      </w:r>
      <w:r>
        <w:rPr>
          <w:b/>
          <w:bCs/>
        </w:rPr>
        <w:t xml:space="preserve"> </w:t>
      </w:r>
      <w:r>
        <w:rPr>
          <w:b/>
          <w:bCs/>
        </w:rPr>
        <w:t xml:space="preserve">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four-way cluster it does not lead, the panel was assembled</w:t>
      </w:r>
      <w:r>
        <w:t xml:space="preserve"> </w:t>
      </w:r>
      <w:r>
        <w:t xml:space="preserve">to include the baselines most likely to beat it, and they do.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 which beats the embedding-derived hierarchy on the human</w:t>
      </w:r>
      <w:r>
        <w:t xml:space="preserve"> </w:t>
      </w:r>
      <w:r>
        <w:t xml:space="preserve">corpus it was validated against, and 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CELLxGENE files conventionally store them in.</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 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favourable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which decides who can read it.</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RSS</w:t>
      </w:r>
      <w:r>
        <w:t xml:space="preserve"> </w:t>
      </w:r>
      <w:r>
        <w:t xml:space="preserve">(resident set size — the maximum physical memory the process 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which exact match scores as a total failure</w:t>
      </w:r>
      <w:r>
        <w:t xml:space="preserve"> </w:t>
      </w:r>
      <w:r>
        <w:t xml:space="preserve">and a working scientist would accept.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RSS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 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sweep exists to find where one method overtakes another as the</w:t>
      </w:r>
      <w:r>
        <w:t xml:space="preserve"> </w:t>
      </w:r>
      <w:r>
        <w:t xml:space="preserve">reference grows, which no single reference size can show.</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t xml:space="preserve">Two caveats govern how those numbers may be read. The leaderboard aggregates runs from</w:t>
      </w:r>
      <w:r>
        <w:t xml:space="preserve"> </w:t>
      </w:r>
      <w:r>
        <w:rPr>
          <w:b/>
          <w:bCs/>
        </w:rPr>
        <w:t xml:space="preserve">heterogeneous cloud hardware</w:t>
      </w:r>
      <w:r>
        <w:t xml:space="preserve">, so its timings are not a controlled cost comparison — hence</w:t>
      </w:r>
      <w:r>
        <w:t xml:space="preserve"> </w:t>
      </w:r>
      <w:r>
        <w:t xml:space="preserve">the same-hardware run: every method on one AWS CPU instance. And in that run,</w:t>
      </w:r>
      <w:r>
        <w:t xml:space="preserve"> </w:t>
      </w:r>
      <w:r>
        <w:rPr>
          <w:b/>
          <w:bCs/>
        </w:rPr>
        <w:t xml:space="preserve">wall-clock is</w:t>
      </w:r>
      <w:r>
        <w:rPr>
          <w:b/>
          <w:bCs/>
        </w:rPr>
        <w:t xml:space="preserve"> </w:t>
      </w:r>
      <w:r>
        <w:rPr>
          <w:b/>
          <w:bCs/>
        </w:rPr>
        <w:t xml:space="preserve">only meaningful at matched concurrency</w:t>
      </w:r>
      <w:r>
        <w:t xml:space="preserve">: with several tasks per box,</w:t>
      </w:r>
      <w:r>
        <w:t xml:space="preserve"> </w:t>
      </w:r>
      <w:r>
        <w:rPr>
          <w:rStyle w:val="VerbatimChar"/>
        </w:rPr>
        <w:t xml:space="preserve">%cpu</w:t>
      </w:r>
      <w:r>
        <w:t xml:space="preserve"> </w:t>
      </w:r>
      <w:r>
        <w:t xml:space="preserve">spanned 49% to</w:t>
      </w:r>
      <w:r>
        <w:t xml:space="preserve"> </w:t>
      </w:r>
      <w:r>
        <w:t xml:space="preserve">2338% across methods, so cross-method runtime ratios measured at high concurrency rank</w:t>
      </w:r>
      <w:r>
        <w:t xml:space="preserve"> </w:t>
      </w:r>
      <w:r>
        <w:t xml:space="preserve">threading and scheduler contention as much as algorithm. Accuracy and macro-F1 in Table 10</w:t>
      </w:r>
      <w:r>
        <w:t xml:space="preserve"> </w:t>
      </w:r>
      <w:r>
        <w:t xml:space="preserve">come from one run of the pipeline covering all eleven methods. Runtime and peak memory come</w:t>
      </w:r>
      <w:r>
        <w:t xml:space="preserve"> </w:t>
      </w:r>
      <w:r>
        <w:t xml:space="preserve">from the run executed at controlled concurrency, which covers OP’s own seven: the</w:t>
      </w:r>
      <w:r>
        <w:t xml:space="preserve"> </w:t>
      </w:r>
      <w:r>
        <w:t xml:space="preserve">eleven-method run used a snapshot-restored volume, on which EBS fetches blocks from S3 at</w:t>
      </w:r>
      <w:r>
        <w:t xml:space="preserve"> </w:t>
      </w:r>
      <w:r>
        <w:t xml:space="preserve">first access, and tasks reading the larger atlases spent 30–60 minutes at 0.5–1% CPU — a</w:t>
      </w:r>
      <w:r>
        <w:t xml:space="preserve"> </w:t>
      </w:r>
      <w:r>
        <w:t xml:space="preserve">measurement of that fetch rather than of the method. Accuracy is unaffected by it, and</w:t>
      </w:r>
      <w:r>
        <w:t xml:space="preserve"> </w:t>
      </w:r>
      <w:r>
        <w:t xml:space="preserve">reproduces the controlled run exactly on the four methods common to both.</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hyperlink r:id="rId43">
        <w:r>
          <w:rPr>
            <w:rStyle w:val="Hyperlink"/>
          </w:rPr>
          <w:t xml:space="preserve">Rosen 2026</w:t>
        </w:r>
      </w:hyperlink>
      <w:r>
        <w:t xml:space="preserve"> </w:t>
      </w:r>
      <w:r>
        <w:t xml:space="preserve">— an</w:t>
      </w:r>
      <w:r>
        <w:t xml:space="preserve"> </w:t>
      </w:r>
      <w:r>
        <w:t xml:space="preserve">expression-weighted mean of ESM2</w:t>
      </w:r>
      <w:r>
        <w:t xml:space="preserve"> </w:t>
      </w:r>
      <w:hyperlink r:id="rId44">
        <w:r>
          <w:rPr>
            <w:rStyle w:val="Hyperlink"/>
          </w:rPr>
          <w:t xml:space="preserve">Lin 2023</w:t>
        </w:r>
      </w:hyperlink>
      <w:r>
        <w:t xml:space="preserve"> </w:t>
      </w:r>
      <w:r>
        <w:t xml:space="preserve">protein-language-model gene embeddings — to test whether a foundation model’s value</w:t>
      </w:r>
      <w:r>
        <w:t xml:space="preserve"> </w:t>
      </w:r>
      <w:r>
        <w:t xml:space="preserve">survives a cheap pooling shortcut.</w:t>
      </w:r>
    </w:p>
    <w:bookmarkEnd w:id="45"/>
    <w:bookmarkEnd w:id="46"/>
    <w:bookmarkStart w:id="71" w:name="results"/>
    <w:p>
      <w:pPr>
        <w:pStyle w:val="Heading1"/>
      </w:pPr>
      <w:r>
        <w:t xml:space="preserve">Results</w:t>
      </w:r>
    </w:p>
    <w:bookmarkStart w:id="47" w:name="accuracy-and-cost"/>
    <w:p>
      <w:pPr>
        <w:pStyle w:val="Heading2"/>
      </w:pPr>
      <w:r>
        <w:t xml:space="preserve">Accuracy and cost</w:t>
      </w:r>
    </w:p>
    <w:p>
      <w:pPr>
        <w:pStyle w:val="FirstParagraph"/>
      </w:pPr>
      <w:r>
        <w:t xml:space="preserve">Accuracy is the mean over the</w:t>
      </w:r>
      <w:r>
        <w:t xml:space="preserve"> </w:t>
      </w:r>
      <w:r>
        <w:rPr>
          <w:b/>
          <w:bCs/>
        </w:rPr>
        <w:t xml:space="preserve">five shared-vocabulary datasets</w:t>
      </w:r>
      <w:r>
        <w:t xml:space="preserve"> </w:t>
      </w:r>
      <w:r>
        <w:t xml:space="preserve">(lung_cross</w:t>
      </w:r>
      <w:r>
        <w:t xml:space="preserve"> </w:t>
      </w:r>
      <w:r>
        <w:t xml:space="preserve">excluded — its exact accuracy is a vocabulary artifact, see the † note below; means over all</w:t>
      </w:r>
      <w:r>
        <w:t xml:space="preserve"> </w:t>
      </w:r>
      <w:r>
        <w:t xml:space="preserve">six are ~0.08 lower for every method, with the identical ranking); macro-F1 and ontology are</w:t>
      </w:r>
      <w:r>
        <w:t xml:space="preserve"> </w:t>
      </w:r>
      <w:r>
        <w:t xml:space="preserve">means over all six;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(6)</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and ontology concordance are means over all six, and cost</w:t>
      </w:r>
      <w:r>
        <w:t xml:space="preserve"> </w:t>
      </w:r>
      <w:r>
        <w:t xml:space="preserve">is the mean per query. Bold marks the best value in a column.</w:t>
      </w:r>
    </w:p>
    <w:p>
      <w:pPr>
        <w:pStyle w:val="BodyText"/>
      </w:pPr>
      <w:r>
        <w:t xml:space="preserve">*In Table 3, scANVI does most of its work in one train+predict pass, attributed to predict.</w:t>
      </w:r>
    </w:p>
    <w:p>
      <w:pPr>
        <w:pStyle w:val="BodyText"/>
      </w:pPr>
      <w:r>
        <w:t xml:space="preserve">The top four methods span</w:t>
      </w:r>
      <w:r>
        <w:t xml:space="preserve"> </w:t>
      </w:r>
      <w:r>
        <w:rPr>
          <w:b/>
          <w:bCs/>
        </w:rPr>
        <w:t xml:space="preserve">0.008 in accuracy, ~130× in predict time</w:t>
      </w:r>
      <w:r>
        <w:t xml:space="preserve"> </w:t>
      </w:r>
      <w:r>
        <w:t xml:space="preserve">(0.34 s to 89 s) and</w:t>
      </w:r>
      <w:r>
        <w:t xml:space="preserve"> </w:t>
      </w:r>
      <w:r>
        <w:t xml:space="preserve">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§3.3). The two profiles suit different jobs: one-shot</w:t>
      </w:r>
      <w:r>
        <w:t xml:space="preserve"> </w:t>
      </w:r>
      <w:r>
        <w:t xml:space="preserve">labelling,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146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w:t>
      </w:r>
      <w:r>
        <w:t xml:space="preserve"> </w:t>
      </w:r>
      <w:r>
        <w:t xml:space="preserve">query both carry CL ids,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0.218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four-way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(0.833), scArches (0.832) and actinn-jax (0.831) — led by the linear pipeline</w:t>
      </w:r>
      <w:r>
        <w:t xml:space="preserve"> </w:t>
      </w:r>
      <w:r>
        <w:t xml:space="preserve">rather than by a deep model. CellTypist (0.823) sits just outside it.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(0.23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47"/>
    <w:bookmarkStart w:id="51" w:name="the-accuracy-speed-frontier"/>
    <w:p>
      <w:pPr>
        <w:pStyle w:val="Heading2"/>
      </w:pPr>
      <w:r>
        <w:t xml:space="preserve">The accuracy × speed frontier</w:t>
      </w:r>
    </w:p>
    <w:p>
      <w:pPr>
        <w:pStyle w:val="FirstParagraph"/>
      </w:pPr>
      <w:r>
        <w:drawing>
          <wp:inline>
            <wp:extent cx="5334000" cy="3671222"/>
            <wp:effectExtent b="0" l="0" r="0" t="0"/>
            <wp:docPr descr="Pareto" title="" id="49" name="Picture"/>
            <a:graphic>
              <a:graphicData uri="http://schemas.openxmlformats.org/drawingml/2006/picture">
                <pic:pic>
                  <pic:nvPicPr>
                    <pic:cNvPr descr="/Users/iandriver/Downloads/actinn-jax-benchmark/docs/figures/fig_pareto_liver_intra.png" id="50" name="Picture"/>
                    <pic:cNvPicPr>
                      <a:picLocks noChangeArrowheads="1" noChangeAspect="1"/>
                    </pic:cNvPicPr>
                  </pic:nvPicPr>
                  <pic:blipFill>
                    <a:blip r:embed="rId48"/>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 2.</w:t>
      </w:r>
    </w:p>
    <w:p>
      <w:pPr>
        <w:pStyle w:val="BodyText"/>
      </w:pPr>
      <w:r>
        <w:t xml:space="preserve">The</w:t>
      </w:r>
      <w:r>
        <w:t xml:space="preserve"> </w:t>
      </w:r>
      <w:r>
        <w:rPr>
          <w:b/>
          <w:bCs/>
        </w:rPr>
        <w:t xml:space="preserve">tuned linear pipeline</w:t>
      </w:r>
      <w:r>
        <w:t xml:space="preserve"> </w:t>
      </w:r>
      <w:r>
        <w:t xml:space="preserve">holds the fast-frontier point: highest matrix accuracy (0.839) at the lowest fit</w:t>
      </w:r>
      <w:r>
        <w:t xml:space="preserve"> </w:t>
      </w:r>
      <w:r>
        <w:t xml:space="preserve">time of any accurate method (3.0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30–130× the inference cost.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of Tables 3 and 5.</w:t>
      </w:r>
    </w:p>
    <w:bookmarkEnd w:id="51"/>
    <w:bookmarkStart w:id="55" w:name="scaling"/>
    <w:p>
      <w:pPr>
        <w:pStyle w:val="Heading2"/>
      </w:pPr>
      <w:r>
        <w:t xml:space="preserve">Scaling</w:t>
      </w:r>
    </w:p>
    <w:p>
      <w:pPr>
        <w:pStyle w:val="FirstParagraph"/>
      </w:pPr>
      <w:r>
        <w:drawing>
          <wp:inline>
            <wp:extent cx="5334000" cy="1970216"/>
            <wp:effectExtent b="0" l="0" r="0" t="0"/>
            <wp:docPr descr="scaling" title="" id="53" name="Picture"/>
            <a:graphic>
              <a:graphicData uri="http://schemas.openxmlformats.org/drawingml/2006/picture">
                <pic:pic>
                  <pic:nvPicPr>
                    <pic:cNvPr descr="/Users/iandriver/Downloads/actinn-jax-benchmark/docs/figures/fig_scaling.png" id="54" name="Picture"/>
                    <pic:cNvPicPr>
                      <a:picLocks noChangeArrowheads="1" noChangeAspect="1"/>
                    </pic:cNvPicPr>
                  </pic:nvPicPr>
                  <pic:blipFill>
                    <a:blip r:embed="rId52"/>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Training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55"/>
    <w:bookmarkStart w:id="59"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2195377"/>
            <wp:effectExtent b="0" l="0" r="0" t="0"/>
            <wp:docPr descr="the broad pass and the focused pass on one query" title="" id="57" name="Picture"/>
            <a:graphic>
              <a:graphicData uri="http://schemas.openxmlformats.org/drawingml/2006/picture">
                <pic:pic>
                  <pic:nvPicPr>
                    <pic:cNvPr descr="/Users/iandriver/Downloads/actinn-jax-benchmark/docs/figures/fig_workflow_umap.png" id="58" name="Picture"/>
                    <pic:cNvPicPr>
                      <a:picLocks noChangeArrowheads="1" noChangeAspect="1"/>
                    </pic:cNvPicPr>
                  </pic:nvPicPr>
                  <pic:blipFill>
                    <a:blip r:embed="rId56"/>
                    <a:stretch>
                      <a:fillRect/>
                    </a:stretch>
                  </pic:blipFill>
                  <pic:spPr bwMode="auto">
                    <a:xfrm>
                      <a:off x="0" y="0"/>
                      <a:ext cx="5334000" cy="2195377"/>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The two passes on the withheld HLiCA liver study (3,396 cells), same UMAP</w:t>
      </w:r>
      <w:r>
        <w:t xml:space="preserve"> </w:t>
      </w:r>
      <w:r>
        <w:t xml:space="preserve">throughout.</w:t>
      </w:r>
      <w:r>
        <w:t xml:space="preserve"> </w:t>
      </w:r>
      <w:r>
        <w:rPr>
          <w:i/>
          <w:iCs/>
        </w:rPr>
        <w:t xml:space="preserve">Left:</w:t>
      </w:r>
      <w:r>
        <w:t xml:space="preserve"> </w:t>
      </w:r>
      <w:r>
        <w:t xml:space="preserve">the shipped census reference spreads 137 of its 798 labels over the</w:t>
      </w:r>
      <w:r>
        <w:t xml:space="preserve"> </w:t>
      </w:r>
      <w:r>
        <w:t xml:space="preserve">query with little correspondence to cluster structure — ontology concordance</w:t>
      </w:r>
      <w:r>
        <w:t xml:space="preserve"> </w:t>
      </w:r>
      <w:r>
        <w:rPr>
          <w:b/>
          <w:bCs/>
        </w:rPr>
        <w:t xml:space="preserve">0.34</w:t>
      </w:r>
      <w:r>
        <w:t xml:space="preserve">. Its</w:t>
      </w:r>
      <w:r>
        <w:t xml:space="preserve"> </w:t>
      </w:r>
      <w:r>
        <w:t xml:space="preserve">job is to establish that this is liver and route accordingly, not to name subtypes.</w:t>
      </w:r>
      <w:r>
        <w:t xml:space="preserve"> </w:t>
      </w:r>
      <w:r>
        <w:rPr>
          <w:i/>
          <w:iCs/>
        </w:rPr>
        <w:t xml:space="preserve">Middle:</w:t>
      </w:r>
      <w:r>
        <w:t xml:space="preserve"> </w:t>
      </w:r>
      <w:r>
        <w:t xml:space="preserve">a 36-type liver reference trained on the six non-withheld studies re-annotates the</w:t>
      </w:r>
      <w:r>
        <w:t xml:space="preserve"> </w:t>
      </w:r>
      <w:r>
        <w:t xml:space="preserve">same cells at</w:t>
      </w:r>
      <w:r>
        <w:t xml:space="preserve"> </w:t>
      </w:r>
      <w:r>
        <w:rPr>
          <w:b/>
          <w:bCs/>
        </w:rPr>
        <w:t xml:space="preserve">0.73</w:t>
      </w:r>
      <w:r>
        <w:t xml:space="preserve">, and its labels now track the clusters.</w:t>
      </w:r>
      <w:r>
        <w:t xml:space="preserve"> </w:t>
      </w:r>
      <w:r>
        <w:rPr>
          <w:i/>
          <w:iCs/>
        </w:rPr>
        <w:t xml:space="preserve">Right:</w:t>
      </w:r>
      <w:r>
        <w:t xml:space="preserve"> </w:t>
      </w:r>
      <w:r>
        <w:t xml:space="preserve">the study’s own</w:t>
      </w:r>
      <w:r>
        <w:t xml:space="preserve"> </w:t>
      </w:r>
      <w:r>
        <w:t xml:space="preserve">labels, on the shared palette, for comparison with the middle panel. Both models are</w:t>
      </w:r>
      <w:r>
        <w:t xml:space="preserve"> </w:t>
      </w:r>
      <w:r>
        <w:t xml:space="preserve">leakage-free with respect to this query: the focused reference is trained only on the other</w:t>
      </w:r>
      <w:r>
        <w:t xml:space="preserve"> </w:t>
      </w:r>
      <w:r>
        <w:t xml:space="preserve">six studies (the</w:t>
      </w:r>
      <w:r>
        <w:t xml:space="preserve"> </w:t>
      </w:r>
      <w:r>
        <w:rPr>
          <w:i/>
          <w:iCs/>
        </w:rPr>
        <w:t xml:space="preserve">shipped</w:t>
      </w:r>
      <w:r>
        <w:t xml:space="preserve"> </w:t>
      </w:r>
      <w:r>
        <w:t xml:space="preserve">liver reference includes this study and would score 0.94 here,</w:t>
      </w:r>
      <w:r>
        <w:t xml:space="preserve"> </w:t>
      </w:r>
      <w:r>
        <w:t xml:space="preserve">which is why it is not the model plotted). Abstention is switched off in all panels so the</w:t>
      </w:r>
      <w:r>
        <w:t xml:space="preserve"> </w:t>
      </w:r>
      <w:r>
        <w:t xml:space="preserve">numbers measure labelling 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A second organism, and a hierarchy that needs no GPU.</w:t>
      </w:r>
      <w:r>
        <w:t xml:space="preserve"> </w:t>
      </w:r>
      <w:r>
        <w:t xml:space="preserve">Neither route above</w:t>
      </w:r>
      <w:r>
        <w:t xml:space="preserve"> </w:t>
      </w:r>
      <w:r>
        <w:t xml:space="preserve">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(per-run</w:t>
      </w:r>
      <w:r>
        <w:t xml:space="preserve"> </w:t>
      </w:r>
      <w:r>
        <w:t xml:space="preserve">numbers in the</w:t>
      </w:r>
      <w:r>
        <w:t xml:space="preserve"> </w:t>
      </w:r>
      <w:hyperlink r:id="rId33">
        <w:r>
          <w:rPr>
            <w:rStyle w:val="Hyperlink"/>
          </w:rPr>
          <w:t xml:space="preserve">benchmark repository</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flat, no hierarchy</w:t>
            </w:r>
          </w:p>
        </w:tc>
        <w:tc>
          <w:tcPr/>
          <w:p>
            <w:pPr>
              <w:pStyle w:val="Compact"/>
              <w:jc w:val="right"/>
            </w:pPr>
            <w:r>
              <w:t xml:space="preserve">0.547</w:t>
            </w:r>
          </w:p>
        </w:tc>
      </w:tr>
      <w:tr>
        <w:tc>
          <w:tcPr/>
          <w:p>
            <w:pPr>
              <w:pStyle w:val="Compact"/>
            </w:pPr>
            <w:r>
              <w:t xml:space="preserve">random grouping, same group sizes</w:t>
            </w:r>
          </w:p>
        </w:tc>
        <w:tc>
          <w:tcPr/>
          <w:p>
            <w:pPr>
              <w:pStyle w:val="Compact"/>
              <w:jc w:val="right"/>
            </w:pPr>
            <w:r>
              <w:t xml:space="preserve">0.539</w:t>
            </w:r>
          </w:p>
        </w:tc>
      </w:tr>
    </w:tbl>
    <w:p>
      <w:pPr>
        <w:pStyle w:val="BodyText"/>
      </w:pPr>
      <w:r>
        <w:rPr>
          <w:b/>
          <w:bCs/>
        </w:rPr>
        <w:t xml:space="preserve">Table 7.</w:t>
      </w:r>
      <w:r>
        <w:t xml:space="preserve"> </w:t>
      </w:r>
      <w:r>
        <w:t xml:space="preserve">Coarse-hierarchy ablation, ordered by accuracy. Ontology concordance on the</w:t>
      </w:r>
      <w:r>
        <w:t xml:space="preserve"> </w:t>
      </w:r>
      <w:r>
        <w:t xml:space="preserve">held-out lung atlas for a Cell Ontology lineage hierarchy, no hierarchy at all, and a random</w:t>
      </w:r>
      <w:r>
        <w:t xml:space="preserve"> </w:t>
      </w:r>
      <w:r>
        <w:t xml:space="preserve">grouping with the same group sizes as the ontology one.</w:t>
      </w:r>
    </w:p>
    <w:p>
      <w:pPr>
        <w:pStyle w:val="BodyText"/>
      </w:pPr>
      <w:r>
        <w:t xml:space="preserve">Random grouping scores no better than no grouping at all (0.539 against 0.547), which rules</w:t>
      </w:r>
      <w:r>
        <w:t xml:space="preserve"> </w:t>
      </w:r>
      <w:r>
        <w:t xml:space="preserve">out the simplest explanation for the gain: that splitting 867 types into 29 smaller problems</w:t>
      </w:r>
      <w:r>
        <w:t xml:space="preserve"> </w:t>
      </w:r>
      <w:r>
        <w:t xml:space="preserve">makes each fine classifier’s job easier, something any split would do. What matters is</w:t>
      </w:r>
      <w:r>
        <w:t xml:space="preserve"> </w:t>
      </w:r>
      <w:r>
        <w:rPr>
          <w:i/>
          <w:iCs/>
        </w:rPr>
        <w:t xml:space="preserve">which</w:t>
      </w:r>
      <w:r>
        <w:t xml:space="preserve"> </w:t>
      </w:r>
      <w:r>
        <w:t xml:space="preserve">types share a group. Each group has its own fine classifier and the coarse call decides which</w:t>
      </w:r>
      <w:r>
        <w:t xml:space="preserve"> </w:t>
      </w:r>
      <w:r>
        <w:t xml:space="preserve">one ever sees the cell, so a group pays off only if the coarse classifier can recognize it</w:t>
      </w:r>
      <w:r>
        <w:t xml:space="preserve"> </w:t>
      </w:r>
      <w:r>
        <w:rPr>
          <w:i/>
          <w:iCs/>
        </w:rPr>
        <w:t xml:space="preserve">and</w:t>
      </w:r>
      <w:r>
        <w:t xml:space="preserve"> </w:t>
      </w:r>
      <w:r>
        <w:t xml:space="preserve">the right answer is inside it. Lineage groups manage both; groups of the same sizes</w:t>
      </w:r>
      <w:r>
        <w:t xml:space="preserve"> </w:t>
      </w:r>
      <w:r>
        <w:t xml:space="preserve">drawn at random manage 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8.</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mouse numbers sit in the same regime as the human ones rather than</w:t>
      </w:r>
      <w:r>
        <w:t xml:space="preserve"> </w:t>
      </w:r>
      <w:r>
        <w:t xml:space="preserve">being comparable to them. Two limits apply.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59"/>
    <w:bookmarkStart w:id="60"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9.</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60"/>
    <w:bookmarkStart w:id="61"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61"/>
    <w:bookmarkStart w:id="70"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62">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63">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rPr>
          <w:b/>
          <w:bCs/>
        </w:rPr>
        <w:t xml:space="preserve">Same-hardware accuracy, speed and memory.</w:t>
      </w:r>
      <w:r>
        <w:t xml:space="preserve"> </w:t>
      </w:r>
      <w:r>
        <w:t xml:space="preserve">Every method ran through OP’s</w:t>
      </w:r>
      <w:r>
        <w:t xml:space="preserve"> </w:t>
      </w:r>
      <w:r>
        <w:rPr>
          <w:i/>
          <w:iCs/>
        </w:rPr>
        <w:t xml:space="preserve">own</w:t>
      </w:r>
      <w:r>
        <w:t xml:space="preserve"> </w:t>
      </w:r>
      <w:r>
        <w:t xml:space="preserve">Nextflow</w:t>
      </w:r>
      <w:r>
        <w:t xml:space="preserve"> </w:t>
      </w:r>
      <w:r>
        <w:t xml:space="preserve">pipeline on a single AWS</w:t>
      </w:r>
      <w:r>
        <w:t xml:space="preserve"> </w:t>
      </w:r>
      <w:r>
        <w:rPr>
          <w:rStyle w:val="VerbatimChar"/>
        </w:rPr>
        <w:t xml:space="preserve">r7i.8xlarge</w:t>
      </w:r>
      <w:r>
        <w:t xml:space="preserve"> </w:t>
      </w:r>
      <w:r>
        <w:t xml:space="preserve">— identical hardware, harness and instrumentation</w:t>
      </w:r>
      <w:r>
        <w:t xml:space="preserve"> </w:t>
      </w:r>
      <w:r>
        <w:t xml:space="preserve">throughout. Means over the six datasets: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runtime/dataset</w:t>
            </w:r>
          </w:p>
        </w:tc>
        <w:tc>
          <w:tcPr/>
          <w:p>
            <w:pPr>
              <w:pStyle w:val="Compact"/>
              <w:jc w:val="right"/>
            </w:pPr>
            <w:r>
              <w:t xml:space="preserve">peak RSS</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327 s</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rPr>
                <w:b/>
                <w:bCs/>
              </w:rPr>
              <w:t xml:space="preserve">165 s</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w:t>
            </w:r>
          </w:p>
        </w:tc>
        <w:tc>
          <w:tcPr/>
          <w:p>
            <w:pPr>
              <w:pStyle w:val="Compact"/>
              <w:jc w:val="right"/>
            </w:pPr>
            <w:r>
              <w:t xml:space="preserve">—</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t xml:space="preserve">29 s</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w:t>
            </w:r>
          </w:p>
        </w:tc>
        <w:tc>
          <w:tcPr/>
          <w:p>
            <w:pPr>
              <w:pStyle w:val="Compact"/>
              <w:jc w:val="right"/>
            </w:pPr>
            <w:r>
              <w:t xml:space="preserve">—</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t xml:space="preserve">11 s</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905 s</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58 s</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31 s</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t xml:space="preserve">—</w:t>
            </w:r>
          </w:p>
        </w:tc>
        <w:tc>
          <w:tcPr/>
          <w:p>
            <w:pPr>
              <w:pStyle w:val="Compact"/>
              <w:jc w:val="right"/>
            </w:pPr>
            <w:r>
              <w:t xml:space="preserve">—</w:t>
            </w:r>
          </w:p>
        </w:tc>
      </w:tr>
    </w:tbl>
    <w:p>
      <w:pPr>
        <w:pStyle w:val="BodyText"/>
      </w:pPr>
      <w:r>
        <w:rPr>
          <w:b/>
          <w:bCs/>
        </w:rPr>
        <w:t xml:space="preserve">Table 10.</w:t>
      </w:r>
      <w:r>
        <w:t xml:space="preserve"> </w:t>
      </w:r>
      <w:r>
        <w:t xml:space="preserve">All eleven methods on the six Open Problems datasets, ordered by accuracy. Bold</w:t>
      </w:r>
      <w:r>
        <w:t xml:space="preserve"> </w:t>
      </w:r>
      <w:r>
        <w:t xml:space="preserve">marks the four components we contributed to the benchmark. Runtime and peak memory are</w:t>
      </w:r>
      <w:r>
        <w:t xml:space="preserve"> </w:t>
      </w:r>
      <w:r>
        <w:t xml:space="preserve">reported for the seven methods measured under controlled concurrency (§2.10).</w:t>
      </w:r>
    </w:p>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 on controlled hardware, nothing here beats</w:t>
      </w:r>
      <w:r>
        <w:t xml:space="preserve"> </w:t>
      </w:r>
      <w:r>
        <w:t xml:space="preserve">actinn-jax on accuracy and cost at the same time.</w:t>
      </w:r>
    </w:p>
    <w:p>
      <w:pPr>
        <w:pStyle w:val="BodyText"/>
      </w:pPr>
      <w:r>
        <w:rPr>
          <w:b/>
          <w:bCs/>
        </w:rPr>
        <w:t xml:space="preserve">The tuned linear pipeline does not repeat its §3.1 win</w:t>
      </w:r>
      <w:r>
        <w:t xml:space="preserve">: 0.828 places it third, behind</w:t>
      </w:r>
      <w:r>
        <w:t xml:space="preserve"> </w:t>
      </w:r>
      <w:r>
        <w:rPr>
          <w:rStyle w:val="VerbatimChar"/>
        </w:rPr>
        <w:t xml:space="preserve">mlp</w:t>
      </w:r>
      <w:r>
        <w:t xml:space="preserve"> </w:t>
      </w:r>
      <w:r>
        <w:t xml:space="preserve">and actinn-jax and ahead of OP’s own</w:t>
      </w:r>
      <w:r>
        <w:t xml:space="preserve"> </w:t>
      </w:r>
      <w:r>
        <w:rPr>
          <w:rStyle w:val="VerbatimChar"/>
        </w:rPr>
        <w:t xml:space="preserve">logistic_regression</w:t>
      </w:r>
      <w:r>
        <w:t xml:space="preserve"> </w:t>
      </w:r>
      <w:r>
        <w:t xml:space="preserve">(0.813). The SGD-SVM (0.816)</w:t>
      </w:r>
      <w:r>
        <w:t xml:space="preserve"> </w:t>
      </w:r>
      <w:r>
        <w:t xml:space="preserve">and CellTypist (0.810) land in the same band. Its lead on our own panel therefore does not</w:t>
      </w:r>
      <w:r>
        <w:t xml:space="preserve"> </w:t>
      </w:r>
      <w:r>
        <w:t xml:space="preserve">generalize: whichever panel is asked, the answer is a cluster within a couple of points, but</w:t>
      </w:r>
      <w:r>
        <w:t xml:space="preserve"> </w:t>
      </w:r>
      <w:r>
        <w:t xml:space="preserve">which method tops the cluster changes with the datasets.</w:t>
      </w:r>
      <w:r>
        <w:t xml:space="preserve"> </w:t>
      </w:r>
      <w:r>
        <w:rPr>
          <w:rStyle w:val="VerbatimChar"/>
        </w:rPr>
        <w:t xml:space="preserve">logistic_regression</w:t>
      </w:r>
      <w:r>
        <w:t xml:space="preserve"> </w:t>
      </w:r>
      <w:r>
        <w:t xml:space="preserve">takes macro-F1</w:t>
      </w:r>
      <w:r>
        <w:t xml:space="preserve"> </w:t>
      </w:r>
      <w:r>
        <w:t xml:space="preserve">(0.689) while sitting fifth on accuracy — across datasets spanning 13 to 160 cell types, the</w:t>
      </w:r>
      <w:r>
        <w:t xml:space="preserve"> </w:t>
      </w:r>
      <w:r>
        <w:t xml:space="preserve">two metrics do not order the panel the same way.</w:t>
      </w:r>
    </w:p>
    <w:p>
      <w:pPr>
        <w:pStyle w:val="BodyText"/>
      </w:pPr>
      <w:r>
        <w:rPr>
          <w:b/>
          <w:bCs/>
        </w:rPr>
        <w:t xml:space="preserve">scTOP fails on two of the six.</w:t>
      </w:r>
      <w:r>
        <w:t xml:space="preserve"> </w:t>
      </w:r>
      <w:r>
        <w:t xml:space="preserve">Its mean (0.581) is not a</w:t>
      </w:r>
      <w:r>
        <w:t xml:space="preserve"> </w:t>
      </w:r>
      <w:r>
        <w:t xml:space="preserve">uniformly weak result but two collapses inside four ordinary ones: 0.124 on gtex_v9 and</w:t>
      </w:r>
      <w:r>
        <w:t xml:space="preserve"> </w:t>
      </w:r>
      <w:r>
        <w:t xml:space="preserve">0.042 on tabula_sapiens against 0.90–0.99 elsewhere.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4). The budget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5)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65" name="Picture"/>
            <a:graphic>
              <a:graphicData uri="http://schemas.openxmlformats.org/drawingml/2006/picture">
                <pic:pic>
                  <pic:nvPicPr>
                    <pic:cNvPr descr="/Users/iandriver/Downloads/actinn-jax-benchmark/docs/figures/gene_budget_curve.png" id="66" name="Picture"/>
                    <pic:cNvPicPr>
                      <a:picLocks noChangeArrowheads="1" noChangeAspect="1"/>
                    </pic:cNvPicPr>
                  </pic:nvPicPr>
                  <pic:blipFill>
                    <a:blip r:embed="rId64"/>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68" name="Picture"/>
            <a:graphic>
              <a:graphicData uri="http://schemas.openxmlformats.org/drawingml/2006/picture">
                <pic:pic>
                  <pic:nvPicPr>
                    <pic:cNvPr descr="/Users/iandriver/Downloads/actinn-jax-benchmark/docs/figures/gene_budget_signals.png" id="69" name="Picture"/>
                    <pic:cNvPicPr>
                      <a:picLocks noChangeArrowheads="1" noChangeAspect="1"/>
                    </pic:cNvPicPr>
                  </pic:nvPicPr>
                  <pic:blipFill>
                    <a:blip r:embed="rId67"/>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0"/>
    <w:bookmarkEnd w:id="71"/>
    <w:bookmarkStart w:id="73"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~130× in inference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w:t>
      </w:r>
      <w:r>
        <w:rPr>
          <w:b/>
          <w:bCs/>
        </w:rPr>
        <w:t xml:space="preserve"> </w:t>
      </w:r>
      <w:r>
        <w:rPr>
          <w:b/>
          <w:bCs/>
        </w:rPr>
        <w:t xml:space="preserve">cross-validation on the reference alone</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In other words, much of what looked like a deficit of the</w:t>
      </w:r>
      <w:r>
        <w:t xml:space="preserve"> </w:t>
      </w:r>
      <w:r>
        <w:rPr>
          <w:i/>
          <w:iCs/>
        </w:rPr>
        <w:t xml:space="preserve">model</w:t>
      </w:r>
      <w:r>
        <w:t xml:space="preserve"> </w:t>
      </w:r>
      <w:r>
        <w:t xml:space="preserve">was a deficit of its</w:t>
      </w:r>
      <w:r>
        <w:t xml:space="preserve"> </w:t>
      </w:r>
      <w:r>
        <w:rPr>
          <w:b/>
          <w:bCs/>
        </w:rPr>
        <w:t xml:space="preserve">input</w:t>
      </w:r>
      <w:r>
        <w:t xml:space="preserve">: the benchmark hands every method 1,000 highly variable genes, which is a far</w:t>
      </w:r>
      <w:r>
        <w:t xml:space="preserve"> </w:t>
      </w:r>
      <w:r>
        <w:t xml:space="preserve">harsher constraint on a model reading gene space directly than on one that learns a</w:t>
      </w:r>
      <w:r>
        <w:t xml:space="preserve"> </w:t>
      </w:r>
      <w:r>
        <w:t xml:space="preserve">compressed representation first. Widen the gene panel and most of the gap closes — so the</w:t>
      </w:r>
      <w:r>
        <w:t xml:space="preserve"> </w:t>
      </w:r>
      <w:r>
        <w:t xml:space="preserve">quantity being measured was partly</w:t>
      </w:r>
      <w:r>
        <w:t xml:space="preserve"> </w:t>
      </w:r>
      <w:r>
        <w:t xml:space="preserve">“how well does each method tolerate a narrow input”</w:t>
      </w:r>
      <w:r>
        <w:t xml:space="preserve">,</w:t>
      </w:r>
      <w:r>
        <w:t xml:space="preserve"> </w:t>
      </w:r>
      <w:r>
        <w:t xml:space="preserve">not</w:t>
      </w:r>
      <w:r>
        <w:t xml:space="preserve"> </w:t>
      </w:r>
      <w:r>
        <w:t xml:space="preserve">“which model class is stronger”</w:t>
      </w:r>
      <w:r>
        <w:t xml:space="preserve">.</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72">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roughly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73"/>
    <w:bookmarkStart w:id="74"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The deep and foundation methods are written for CUDA and we would expect them to be</w:t>
      </w:r>
      <w:r>
        <w:t xml:space="preserve"> </w:t>
      </w:r>
      <w:r>
        <w:t xml:space="preserve">faster on it, but we did not measure that — it is outside the</w:t>
      </w:r>
      <w:r>
        <w:t xml:space="preserve"> </w:t>
      </w:r>
      <w:r>
        <w:t xml:space="preserve">“runs-on-a-laptop”</w:t>
      </w:r>
      <w:r>
        <w:t xml:space="preserve"> </w:t>
      </w:r>
      <w:r>
        <w:t xml:space="preserve">question,</w:t>
      </w:r>
      <w:r>
        <w:t xml:space="preserve"> </w:t>
      </w:r>
      <w:r>
        <w:t xml:space="preserve">and every timing here should be read as this hardware’s.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Accuracy in Table 10</w:t>
      </w:r>
      <w:r>
        <w:t xml:space="preserve"> </w:t>
      </w:r>
      <w:r>
        <w:t xml:space="preserve">covers all eleven methods;</w:t>
      </w:r>
      <w:r>
        <w:t xml:space="preserve"> </w:t>
      </w:r>
      <w:r>
        <w:rPr>
          <w:b/>
          <w:bCs/>
        </w:rPr>
        <w:t xml:space="preserve">runtime and memory cover the seven</w:t>
      </w:r>
      <w:r>
        <w:t xml:space="preserve"> </w:t>
      </w:r>
      <w:r>
        <w:t xml:space="preserve">measured under controlled</w:t>
      </w:r>
      <w:r>
        <w:t xml:space="preserve"> </w:t>
      </w:r>
      <w:r>
        <w:t xml:space="preserve">concurrency (§2.10).</w:t>
      </w:r>
    </w:p>
    <w:p>
      <w:pPr>
        <w:pStyle w:val="Compact"/>
        <w:numPr>
          <w:ilvl w:val="0"/>
          <w:numId w:val="1007"/>
        </w:numPr>
      </w:pPr>
      <w:r>
        <w:t xml:space="preserve">Subsampled references (to keep the matrix tractable); the scaling section characterizes</w:t>
      </w:r>
      <w:r>
        <w:t xml:space="preserve"> </w:t>
      </w:r>
      <w:r>
        <w:t xml:space="preserve">the size dependence directly.</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behaviour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7× faster on this panel’s hardware (§2.5), with its largest margin</w:t>
      </w:r>
      <w:r>
        <w:t xml:space="preserve"> </w:t>
      </w:r>
      <w:r>
        <w:t xml:space="preserve">on the 86-type blood+gut set (+4.2 pt) (</w:t>
      </w:r>
      <w:r>
        <w:rPr>
          <w:rStyle w:val="VerbatimChar"/>
        </w:rPr>
        <w:t xml:space="preserve">SIMPLE_BASELINES.md</w:t>
      </w:r>
      <w:r>
        <w:t xml:space="preserve">).</w:t>
      </w:r>
      <w:r>
        <w:t xml:space="preserve"> </w:t>
      </w:r>
      <w:r>
        <w:t xml:space="preserve">Wall-clock ratios between a JAX model and a scikit-learn pipeline shift with the CPU and</w:t>
      </w:r>
      <w:r>
        <w:t xml:space="preserve"> </w:t>
      </w:r>
      <w:r>
        <w:t xml:space="preserve">the threading available, so read them as this machine’s, not as constants. The §3.1</w:t>
      </w:r>
      <w:r>
        <w:t xml:space="preserve"> </w:t>
      </w:r>
      <w:r>
        <w:t xml:space="preserve">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w:t>
      </w:r>
      <w:r>
        <w:t xml:space="preserve"> </w:t>
      </w:r>
      <w:r>
        <w:t xml:space="preserve">still to fit but competitive only at small, low cardinality — best pbmc macro-F1 (0.837),</w:t>
      </w:r>
      <w:r>
        <w:t xml:space="preserve"> </w:t>
      </w:r>
      <w:r>
        <w:t xml:space="preserve">degrading to 0.649 on liver.</w:t>
      </w:r>
    </w:p>
    <w:p>
      <w:pPr>
        <w:pStyle w:val="Compact"/>
        <w:numPr>
          <w:ilvl w:val="0"/>
          <w:numId w:val="1007"/>
        </w:numPr>
      </w:pPr>
      <w:r>
        <w:rPr>
          <w:b/>
          <w:bCs/>
        </w:rPr>
        <w:t xml:space="preserve">actinn-jax’s memory advantage is bounded, and the linear pipeline scales further than a</w:t>
      </w:r>
      <w:r>
        <w:rPr>
          <w:b/>
          <w:bCs/>
        </w:rPr>
        <w:t xml:space="preserve"> </w:t>
      </w:r>
      <w:r>
        <w:rPr>
          <w:b/>
          <w:bCs/>
        </w:rPr>
        <w:t xml:space="preserve">naive extrapolation implies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overstates its atlas-scale peak by ~2.4× — the</w:t>
      </w:r>
      <w:r>
        <w:t xml:space="preserve"> </w:t>
      </w:r>
      <w:r>
        <w:t xml:space="preserve">measured figure is</w:t>
      </w:r>
      <w:r>
        <w:t xml:space="preserve"> </w:t>
      </w:r>
      <w:r>
        <w:rPr>
          <w:b/>
          <w:bCs/>
        </w:rPr>
        <w:t xml:space="preserve">13.2 GB</w:t>
      </w:r>
      <w:r>
        <w:t xml:space="preserve"> </w:t>
      </w:r>
      <w:r>
        <w:t xml:space="preserve">at 49k reference cells — because its feature-selection step</w:t>
      </w:r>
      <w:r>
        <w:t xml:space="preserve"> </w:t>
      </w:r>
      <w:r>
        <w:t xml:space="preserve">caps the dense matrix at 20,000 genes rather than the full gene set. The linear/actinn-jax</w:t>
      </w:r>
      <w:r>
        <w:t xml:space="preserve"> </w:t>
      </w:r>
      <w:r>
        <w:t xml:space="preserve">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in this setting should be measured, not extrapolated.</w:t>
      </w:r>
    </w:p>
    <w:p>
      <w:pPr>
        <w:pStyle w:val="Compact"/>
        <w:numPr>
          <w:ilvl w:val="0"/>
          <w:numId w:val="1007"/>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74"/>
    <w:bookmarkStart w:id="80"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The</w:t>
      </w:r>
      <w:r>
        <w:t xml:space="preserve"> </w:t>
      </w:r>
      <w:hyperlink r:id="rId75">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76">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77">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78">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79">
        <w:r>
          <w:rPr>
            <w:rStyle w:val="Hyperlink"/>
          </w:rPr>
          <w:t xml:space="preserve">Zenodo</w:t>
        </w:r>
      </w:hyperlink>
      <w:r>
        <w:t xml:space="preserve">. Attribution is a</w:t>
      </w:r>
      <w:r>
        <w:t xml:space="preserve"> </w:t>
      </w:r>
      <w:r>
        <w:t xml:space="preserve">condition of that licence and travels inside each shipped model’s build record.</w:t>
      </w:r>
    </w:p>
    <w:bookmarkEnd w:id="80"/>
    <w:bookmarkStart w:id="81"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63">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72">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hyperlink" Id="rId36" Target="https://chanzuckerberg.github.io/cellxgene-census/" TargetMode="External" /><Relationship Type="http://schemas.openxmlformats.org/officeDocument/2006/relationships/hyperlink" Id="rId7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3"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79" Target="https://doi.org/10.5281/zenodo.20401417" TargetMode="External" /><Relationship Type="http://schemas.openxmlformats.org/officeDocument/2006/relationships/hyperlink" Id="rId77" Target="https://doi.org/10.5281/zenodo.21688150" TargetMode="External" /><Relationship Type="http://schemas.openxmlformats.org/officeDocument/2006/relationships/hyperlink" Id="rId76" Target="https://doi.org/10.5281/zenodo.21688151" TargetMode="External" /><Relationship Type="http://schemas.openxmlformats.org/officeDocument/2006/relationships/hyperlink" Id="rId72"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7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2"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7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3"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79" Target="https://doi.org/10.5281/zenodo.20401417" TargetMode="External" /><Relationship Type="http://schemas.openxmlformats.org/officeDocument/2006/relationships/hyperlink" Id="rId77" Target="https://doi.org/10.5281/zenodo.21688150" TargetMode="External" /><Relationship Type="http://schemas.openxmlformats.org/officeDocument/2006/relationships/hyperlink" Id="rId76" Target="https://doi.org/10.5281/zenodo.21688151" TargetMode="External" /><Relationship Type="http://schemas.openxmlformats.org/officeDocument/2006/relationships/hyperlink" Id="rId72"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7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2"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13-method benchmark and practical low-memory workflows, with actinn-jax</dc:title>
  <dc:creator>Ian Driver</dc:creator>
  <cp:keywords/>
  <dcterms:created xsi:type="dcterms:W3CDTF">2026-08-07T14:23:56Z</dcterms:created>
  <dcterms:modified xsi:type="dcterms:W3CDTF">2026-08-07T14:23:56Z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~130× in inference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behaviour from 3k to 49k reference cells), then use actinn-jax to demonstrate end-to-end workflows that a low, flat cost profile makes practical, on human data and — via a hierarchy derived from the Cell Ontology, which removes the GPU step from building a reference — on mouse: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pass than ours, and one we can distill into a broad-pass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