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34.png" ContentType="image/png"/>
  <Override PartName="/word/media/rId26.png" ContentType="image/png"/>
  <Override PartName="/word/media/rId38.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Cell-Ontology-derived hierarchy that takes the accelerator out of the build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 twelfth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with a dozen working</w:t>
      </w:r>
      <w:r>
        <w:t xml:space="preserve"> </w:t>
      </w:r>
      <w:r>
        <w:t xml:space="preserve">methods ([xkcd 927])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22"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w:t>
      </w:r>
      <w:r>
        <w:t xml:space="preserve"> </w:t>
      </w:r>
      <w:r>
        <w:t xml:space="preserve">([Bradbury 2018]),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2"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[Ma &amp; Pellegrini 2020]</w:t>
            </w:r>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r>
              <w:t xml:space="preserve">[Pedregosa 2011]</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[Pedregosa 2011]</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[Domínguez Conde 2022]</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[Pedregosa 2011] †</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[Yampolskaya 2023]</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[Aran 2019]</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[Kiselev 2018]</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[Xu 2021]</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[Lotfollahi 2022]</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[Guo &amp; Ding 2026]</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[Kalfon 2025]</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r>
        <w:tc>
          <w:tcPr/>
          <w:p>
            <w:pPr>
              <w:pStyle w:val="Compact"/>
            </w:pPr>
            <w:r>
              <w:rPr>
                <w:b/>
                <w:bCs/>
              </w:rPr>
              <w:t xml:space="preserve">Pan-human Azimuth</w:t>
            </w:r>
          </w:p>
        </w:tc>
        <w:tc>
          <w:tcPr/>
          <w:p>
            <w:pPr>
              <w:pStyle w:val="Compact"/>
            </w:pPr>
            <w:r>
              <w:t xml:space="preserve">[Sarkar et al. 2026]</w:t>
            </w:r>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.venv-panhuman</w:t>
            </w:r>
          </w:p>
        </w:tc>
      </w:tr>
    </w:tbl>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1"/>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1"/>
        </w:numPr>
      </w:pPr>
      <w:r>
        <w:rPr>
          <w:b/>
          <w:bCs/>
        </w:rPr>
        <w:t xml:space="preserve">Pan-human Azimuth</w:t>
      </w:r>
      <w:r>
        <w:t xml:space="preserve"> </w:t>
      </w:r>
      <w:r>
        <w:t xml:space="preserve">([Sarkar et al. 2026])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11">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2"/>
    <w:bookmarkStart w:id="13" w:name="datasets"/>
    <w:p>
      <w:pPr>
        <w:pStyle w:val="Heading2"/>
      </w:pPr>
      <w:r>
        <w:t xml:space="preserve">Datasets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[Travaglini 2020]</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[Sikkema 2023] → [Travaglini 2020]</w:t>
            </w:r>
          </w:p>
        </w:tc>
        <w:tc>
          <w:tcPr/>
          <w:p>
            <w:pPr>
              <w:pStyle w:val="Compact"/>
            </w:pPr>
            <w:r>
              <w:t xml:space="preserve">cross-dataset</w:t>
            </w:r>
          </w:p>
        </w:tc>
        <w:tc>
          <w:tcPr/>
          <w:p>
            <w:pPr>
              <w:pStyle w:val="Compact"/>
            </w:pPr>
            <w:r>
              <w:t xml:space="preserve">lung (HLCA→Krasnow)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[Edgar 2026]</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[Edgar 2026]</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[Alegbe 2026]</w:t>
            </w:r>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[10x Genomics 2016]</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3"/>
    <w:bookmarkStart w:id="1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w:t>
      </w:r>
      <w:r>
        <w:t xml:space="preserve">(sha256</w:t>
      </w:r>
      <w:r>
        <w:t xml:space="preserve"> </w:t>
      </w:r>
      <w:r>
        <w:rPr>
          <w:rStyle w:val="VerbatimChar"/>
        </w:rPr>
        <w:t xml:space="preserve">73996c63…</w:t>
      </w:r>
      <w:r>
        <w:t xml:space="preserve">), resolved once and reused by every scoring pass (</w:t>
      </w:r>
      <w:r>
        <w:rPr>
          <w:rStyle w:val="VerbatimChar"/>
        </w:rPr>
        <w:t xml:space="preserve">benchmark/metrics.py</w:t>
      </w:r>
      <w:r>
        <w:t xml:space="preserve">,</w:t>
      </w:r>
      <w:r>
        <w:t xml:space="preserve"> </w:t>
      </w:r>
      <w:r>
        <w:t xml:space="preserve">via</w:t>
      </w:r>
      <w:r>
        <w:t xml:space="preserve"> </w:t>
      </w:r>
      <w:r>
        <w:rPr>
          <w:rStyle w:val="VerbatimChar"/>
        </w:rPr>
        <w:t xml:space="preserve">pronto</w:t>
      </w:r>
      <w:r>
        <w:t xml:space="preserve">). This is not a hypothetical concern: re-running</w:t>
      </w:r>
      <w:r>
        <w:t xml:space="preserve"> </w:t>
      </w:r>
      <w:r>
        <w:rPr>
          <w:rStyle w:val="VerbatimChar"/>
        </w:rPr>
        <w:t xml:space="preserve">lung_cross</w:t>
      </w:r>
      <w:r>
        <w:t xml:space="preserve"> </w:t>
      </w:r>
      <w:r>
        <w:t xml:space="preserve">against a</w:t>
      </w:r>
      <w:r>
        <w:t xml:space="preserve"> </w:t>
      </w:r>
      <w:r>
        <w:t xml:space="preserve">later-fetched release reproduced the splits exactly (14,390 reference / 13,550 query cells)</w:t>
      </w:r>
      <w:r>
        <w:t xml:space="preserve"> </w:t>
      </w:r>
      <w:r>
        <w:t xml:space="preserve">and still moved concordance by 0.003, with no model changing. The release, its checksum, and</w:t>
      </w:r>
      <w:r>
        <w:t xml:space="preserve"> </w:t>
      </w:r>
      <w:r>
        <w:t xml:space="preserve">exact versions for all six benchmark environments are recorded in</w:t>
      </w:r>
      <w:r>
        <w:t xml:space="preserve"> </w:t>
      </w:r>
      <w:r>
        <w:rPr>
          <w:rStyle w:val="VerbatimChar"/>
        </w:rPr>
        <w:t xml:space="preserve">envs/locks/</w:t>
      </w:r>
      <w:r>
        <w:t xml:space="preserve"> </w:t>
      </w:r>
      <w:r>
        <w:t xml:space="preserve">(</w:t>
      </w:r>
      <w:r>
        <w:rPr>
          <w:rStyle w:val="VerbatimChar"/>
        </w:rPr>
        <w:t xml:space="preserve">tools/freeze_envs.py --check</w:t>
      </w:r>
      <w:r>
        <w:t xml:space="preserve"> </w:t>
      </w:r>
      <w:r>
        <w:t xml:space="preserve">reports drift).</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14"/>
    <w:bookmarkStart w:id="1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via subprocess isolation</w:t>
      </w:r>
      <w:r>
        <w:t xml:space="preserve"> </w:t>
      </w:r>
      <w:r>
        <w:t xml:space="preserve">(</w:t>
      </w:r>
      <w:r>
        <w:rPr>
          <w:rStyle w:val="VerbatimChar"/>
        </w:rPr>
        <w:t xml:space="preserve">benchmark/runner.py</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from a fixed seed, and hands the identical pair to every method,</w:t>
      </w:r>
      <w:r>
        <w:t xml:space="preserve"> </w:t>
      </w:r>
      <w:r>
        <w:t xml:space="preserve">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15"/>
    <w:bookmarkStart w:id="16"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 [CZI Census 2025]</w:t>
      </w:r>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2"/>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2"/>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16"/>
    <w:bookmarkStart w:id="17" w:name="distilling-a-pretrained-annotator"/>
    <w:p>
      <w:pPr>
        <w:pStyle w:val="Heading2"/>
      </w:pPr>
      <w:r>
        <w:t xml:space="preserve">Distilling a pretrained annotator</w:t>
      </w:r>
    </w:p>
    <w:p>
      <w:pPr>
        <w:pStyle w:val="FirstParagraph"/>
      </w:pPr>
      <w:r>
        <w:t xml:space="preserve">A broad reference can also be built without labels or an accelerator,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17"/>
    <w:bookmarkStart w:id="18"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3"/>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3"/>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3"/>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3"/>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18"/>
    <w:bookmarkStart w:id="19"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19"/>
    <w:bookmarkStart w:id="20"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r>
        <w:t xml:space="preserve">[Open Problems 2024] 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Where matched-concurrency data is</w:t>
      </w:r>
      <w:r>
        <w:t xml:space="preserve"> </w:t>
      </w:r>
      <w:r>
        <w:t xml:space="preserve">missing, §3.7 reports coverage and memory and declines to report runtime ratios.</w:t>
      </w:r>
    </w:p>
    <w:bookmarkEnd w:id="20"/>
    <w:bookmarkStart w:id="21"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4"/>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4"/>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4"/>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r>
        <w:t xml:space="preserve">[Rosen 2026] — an</w:t>
      </w:r>
      <w:r>
        <w:t xml:space="preserve"> </w:t>
      </w:r>
      <w:r>
        <w:t xml:space="preserve">expression-weighted mean of ESM2 [Lin 2023] protein-language-model gene embeddings — to test whether a foundation model’s value</w:t>
      </w:r>
      <w:r>
        <w:t xml:space="preserve"> </w:t>
      </w:r>
      <w:r>
        <w:t xml:space="preserve">survives a cheap pooling shortcut.</w:t>
      </w:r>
    </w:p>
    <w:bookmarkEnd w:id="21"/>
    <w:bookmarkEnd w:id="22"/>
    <w:bookmarkStart w:id="54" w:name="results"/>
    <w:p>
      <w:pPr>
        <w:pStyle w:val="Heading1"/>
      </w:pPr>
      <w:r>
        <w:t xml:space="preserve">Results</w:t>
      </w:r>
    </w:p>
    <w:bookmarkStart w:id="29" w:name="accuracy-and-cost"/>
    <w:p>
      <w:pPr>
        <w:pStyle w:val="Heading2"/>
      </w:pPr>
      <w:r>
        <w:t xml:space="preserve">Accuracy and cost</w:t>
      </w:r>
    </w:p>
    <w:p>
      <w:pPr>
        <w:pStyle w:val="FirstParagraph"/>
      </w:pPr>
      <w:r>
        <w:drawing>
          <wp:inline>
            <wp:extent cx="5334000" cy="4154905"/>
            <wp:effectExtent b="0" l="0" r="0" t="0"/>
            <wp:docPr descr="Accuracy by method (rows) and dataset (columns), in-house panel." title="" id="24" name="Picture"/>
            <a:graphic>
              <a:graphicData uri="http://schemas.openxmlformats.org/drawingml/2006/picture">
                <pic:pic>
                  <pic:nvPicPr>
                    <pic:cNvPr descr="/Users/iandriver/Downloads/actinn-jax-benchmark/docs/figures/fig_accuracy_heatmap.png" id="25" name="Picture"/>
                    <pic:cNvPicPr>
                      <a:picLocks noChangeArrowheads="1" noChangeAspect="1"/>
                    </pic:cNvPicPr>
                  </pic:nvPicPr>
                  <pic:blipFill>
                    <a:blip r:embed="rId23"/>
                    <a:stretch>
                      <a:fillRect/>
                    </a:stretch>
                  </pic:blipFill>
                  <pic:spPr bwMode="auto">
                    <a:xfrm>
                      <a:off x="0" y="0"/>
                      <a:ext cx="5334000" cy="4154905"/>
                    </a:xfrm>
                    <a:prstGeom prst="rect">
                      <a:avLst/>
                    </a:prstGeom>
                    <a:noFill/>
                    <a:ln w="9525">
                      <a:noFill/>
                      <a:headEnd/>
                      <a:tailEnd/>
                    </a:ln>
                  </pic:spPr>
                </pic:pic>
              </a:graphicData>
            </a:graphic>
          </wp:inline>
        </w:drawing>
      </w:r>
      <w:r>
        <w:t xml:space="preserve"> </w:t>
      </w:r>
      <w:r>
        <w:drawing>
          <wp:inline>
            <wp:extent cx="5334000" cy="1639186"/>
            <wp:effectExtent b="0" l="0" r="0" t="0"/>
            <wp:docPr descr="Per-query inference time and peak memory by method (in-house panel)." title="" id="27" name="Picture"/>
            <a:graphic>
              <a:graphicData uri="http://schemas.openxmlformats.org/drawingml/2006/picture">
                <pic:pic>
                  <pic:nvPicPr>
                    <pic:cNvPr descr="/Users/iandriver/Downloads/actinn-jax-benchmark/docs/figures/fig_speed_memory.png" id="28" name="Picture"/>
                    <pic:cNvPicPr>
                      <a:picLocks noChangeArrowheads="1" noChangeAspect="1"/>
                    </pic:cNvPicPr>
                  </pic:nvPicPr>
                  <pic:blipFill>
                    <a:blip r:embed="rId26"/>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Ordered by accuracy: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t xml:space="preserve">(*scANVI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the table above,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29"/>
    <w:bookmarkStart w:id="33"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31" name="Picture"/>
            <a:graphic>
              <a:graphicData uri="http://schemas.openxmlformats.org/drawingml/2006/picture">
                <pic:pic>
                  <pic:nvPicPr>
                    <pic:cNvPr descr="/Users/iandriver/Downloads/actinn-jax-benchmark/docs/figures/fig_pareto_liver_intra.png" id="32" name="Picture"/>
                    <pic:cNvPicPr>
                      <a:picLocks noChangeArrowheads="1" noChangeAspect="1"/>
                    </pic:cNvPicPr>
                  </pic:nvPicPr>
                  <pic:blipFill>
                    <a:blip r:embed="rId30"/>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33"/>
    <w:bookmarkStart w:id="37" w:name="scaling"/>
    <w:p>
      <w:pPr>
        <w:pStyle w:val="Heading2"/>
      </w:pPr>
      <w:r>
        <w:t xml:space="preserve">Scaling</w:t>
      </w:r>
    </w:p>
    <w:p>
      <w:pPr>
        <w:pStyle w:val="CaptionedFigure"/>
      </w:pPr>
      <w:r>
        <w:drawing>
          <wp:inline>
            <wp:extent cx="5334000" cy="1970216"/>
            <wp:effectExtent b="0" l="0" r="0" t="0"/>
            <wp:docPr descr="Fit and predict time versus reference size and cardinality; predict time stays flat and sub-second." title="" id="35" name="Picture"/>
            <a:graphic>
              <a:graphicData uri="http://schemas.openxmlformats.org/drawingml/2006/picture">
                <pic:pic>
                  <pic:nvPicPr>
                    <pic:cNvPr descr="/Users/iandriver/Downloads/actinn-jax-benchmark/docs/figures/fig_scaling.png" id="36" name="Picture"/>
                    <pic:cNvPicPr>
                      <a:picLocks noChangeArrowheads="1" noChangeAspect="1"/>
                    </pic:cNvPicPr>
                  </pic:nvPicPr>
                  <pic:blipFill>
                    <a:blip r:embed="rId34"/>
                    <a:stretch>
                      <a:fillRect/>
                    </a:stretch>
                  </pic:blipFill>
                  <pic:spPr bwMode="auto">
                    <a:xfrm>
                      <a:off x="0" y="0"/>
                      <a:ext cx="5334000" cy="1970216"/>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7"/>
    <w:bookmarkStart w:id="42"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CaptionedFigure"/>
      </w:pPr>
      <w:r>
        <w:drawing>
          <wp:inline>
            <wp:extent cx="5334000" cy="2195377"/>
            <wp:effectExtent b="0" l="0" r="0" t="0"/>
            <wp:docPr descr="the broad pass and the focused pass on one query" title="" id="39" name="Picture"/>
            <a:graphic>
              <a:graphicData uri="http://schemas.openxmlformats.org/drawingml/2006/picture">
                <pic:pic>
                  <pic:nvPicPr>
                    <pic:cNvPr descr="/Users/iandriver/Downloads/actinn-jax-benchmark/docs/figures/fig_workflow_umap.png" id="40" name="Picture"/>
                    <pic:cNvPicPr>
                      <a:picLocks noChangeArrowheads="1" noChangeAspect="1"/>
                    </pic:cNvPicPr>
                  </pic:nvPicPr>
                  <pic:blipFill>
                    <a:blip r:embed="rId38"/>
                    <a:stretch>
                      <a:fillRect/>
                    </a:stretch>
                  </pic:blipFill>
                  <pic:spPr bwMode="auto">
                    <a:xfrm>
                      <a:off x="0" y="0"/>
                      <a:ext cx="5334000" cy="2195377"/>
                    </a:xfrm>
                    <a:prstGeom prst="rect">
                      <a:avLst/>
                    </a:prstGeom>
                    <a:noFill/>
                    <a:ln w="9525">
                      <a:noFill/>
                      <a:headEnd/>
                      <a:tailEnd/>
                    </a:ln>
                  </pic:spPr>
                </pic:pic>
              </a:graphicData>
            </a:graphic>
          </wp:inline>
        </w:drawing>
      </w:r>
    </w:p>
    <w:p>
      <w:pPr>
        <w:pStyle w:val="ImageCaption"/>
      </w:pPr>
      <w:r>
        <w:t xml:space="preserve">the broad pass and the focused pass on one query</w:t>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accelerator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with no accelerator in it.</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41">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random grouping, same group sizes</w:t>
            </w:r>
          </w:p>
        </w:tc>
        <w:tc>
          <w:tcPr/>
          <w:p>
            <w:pPr>
              <w:pStyle w:val="Compact"/>
              <w:jc w:val="right"/>
            </w:pPr>
            <w:r>
              <w:t xml:space="preserve">0.539</w:t>
            </w:r>
          </w:p>
        </w:tc>
      </w:tr>
      <w:tr>
        <w:tc>
          <w:tcPr/>
          <w:p>
            <w:pPr>
              <w:pStyle w:val="Compact"/>
            </w:pPr>
            <w:r>
              <w:t xml:space="preserve">flat, no hierarchy</w:t>
            </w:r>
          </w:p>
        </w:tc>
        <w:tc>
          <w:tcPr/>
          <w:p>
            <w:pPr>
              <w:pStyle w:val="Compact"/>
              <w:jc w:val="right"/>
            </w:pPr>
            <w:r>
              <w:t xml:space="preserve">0.547</w:t>
            </w:r>
          </w:p>
        </w:tc>
      </w:tr>
    </w:tbl>
    <w:p>
      <w:pPr>
        <w:pStyle w:val="BodyText"/>
      </w:pPr>
      <w:r>
        <w:t xml:space="preserve">Random lands on flat, so it is the structure doing the work rather than the mere presence of</w:t>
      </w:r>
      <w:r>
        <w:t xml:space="preserve"> </w:t>
      </w:r>
      <w:r>
        <w:t xml:space="preserve">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42"/>
    <w:bookmarkStart w:id="43"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43"/>
    <w:bookmarkStart w:id="44"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44"/>
    <w:bookmarkStart w:id="53"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45">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[Chen &amp; Guestrin 2016]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46">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48" name="Picture"/>
            <a:graphic>
              <a:graphicData uri="http://schemas.openxmlformats.org/drawingml/2006/picture">
                <pic:pic>
                  <pic:nvPicPr>
                    <pic:cNvPr descr="/Users/iandriver/Downloads/actinn-jax-benchmark/docs/figures/gene_budget_curve.png" id="49" name="Picture"/>
                    <pic:cNvPicPr>
                      <a:picLocks noChangeArrowheads="1" noChangeAspect="1"/>
                    </pic:cNvPicPr>
                  </pic:nvPicPr>
                  <pic:blipFill>
                    <a:blip r:embed="rId47"/>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51" name="Picture"/>
            <a:graphic>
              <a:graphicData uri="http://schemas.openxmlformats.org/drawingml/2006/picture">
                <pic:pic>
                  <pic:nvPicPr>
                    <pic:cNvPr descr="/Users/iandriver/Downloads/actinn-jax-benchmark/docs/figures/gene_budget_signals.png" id="52" name="Picture"/>
                    <pic:cNvPicPr>
                      <a:picLocks noChangeArrowheads="1" noChangeAspect="1"/>
                    </pic:cNvPicPr>
                  </pic:nvPicPr>
                  <pic:blipFill>
                    <a:blip r:embed="rId50"/>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53"/>
    <w:bookmarkEnd w:id="54"/>
    <w:bookmarkStart w:id="55"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[Souza &amp; Mehta 2026]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55"/>
    <w:bookmarkStart w:id="56" w:name="limitations"/>
    <w:p>
      <w:pPr>
        <w:pStyle w:val="Heading1"/>
      </w:pPr>
      <w:r>
        <w:t xml:space="preserve">Limitations</w:t>
      </w:r>
    </w:p>
    <w:p>
      <w:pPr>
        <w:pStyle w:val="Compact"/>
        <w:numPr>
          <w:ilvl w:val="0"/>
          <w:numId w:val="1005"/>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5"/>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(§3.7)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5"/>
        </w:numPr>
      </w:pPr>
      <w:r>
        <w:t xml:space="preserve">Subsampled references (to keep the matrix tractable); the scaling section characterizes</w:t>
      </w:r>
      <w:r>
        <w:t xml:space="preserve"> </w:t>
      </w:r>
      <w:r>
        <w:t xml:space="preserve">the size dependence directly.</w:t>
      </w:r>
    </w:p>
    <w:p>
      <w:pPr>
        <w:pStyle w:val="Compact"/>
        <w:numPr>
          <w:ilvl w:val="0"/>
          <w:numId w:val="1005"/>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5"/>
        </w:numPr>
      </w:pPr>
      <w:r>
        <w:t xml:space="preserve">actinn-jax needs more cells/type than linear methods to reach parity (§3.1); on very small</w:t>
      </w:r>
      <w:r>
        <w:t xml:space="preserve"> </w:t>
      </w:r>
      <w:r>
        <w:t xml:space="preserve">references it trails.</w:t>
      </w:r>
    </w:p>
    <w:p>
      <w:pPr>
        <w:pStyle w:val="Compact"/>
        <w:numPr>
          <w:ilvl w:val="0"/>
          <w:numId w:val="1005"/>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5"/>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5"/>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5"/>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5"/>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5"/>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5"/>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56"/>
    <w:bookmarkStart w:id="63"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57">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in .</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58">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59">
        <w:r>
          <w:rPr>
            <w:rStyle w:val="Hyperlink"/>
          </w:rPr>
          <w:t xml:space="preserve">10.5281/zenodo.21688150</w:t>
        </w:r>
      </w:hyperlink>
      <w:r>
        <w:t xml:space="preserve"> </w:t>
      </w:r>
      <w:r>
        <w:t xml:space="preserve">for the</w:t>
      </w:r>
      <w:r>
        <w:t xml:space="preserve"> </w:t>
      </w:r>
      <w:r>
        <w:t xml:space="preserve">latest version).</w:t>
      </w:r>
      <w:r>
        <w:t xml:space="preserve"> </w:t>
      </w:r>
      <w:r>
        <w:rPr>
          <w:rStyle w:val="VerbatimChar"/>
        </w:rPr>
        <w:t xml:space="preserve">actinn_jax.bundled_reference(name)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60">
        <w:r>
          <w:rPr>
            <w:rStyle w:val="Hyperlink"/>
          </w:rPr>
          <w:t xml:space="preserve">doi:10.64898/2026.07.16.738997</w:t>
        </w:r>
      </w:hyperlink>
      <w:r>
        <w:t xml:space="preserve">); its weights are</w:t>
      </w:r>
      <w:r>
        <w:t xml:space="preserve"> </w:t>
      </w:r>
      <w:r>
        <w:t xml:space="preserve">© the authors under</w:t>
      </w:r>
      <w:r>
        <w:t xml:space="preserve"> </w:t>
      </w:r>
      <w:hyperlink r:id="rId6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62">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63"/>
    <w:bookmarkStart w:id="64" w:name="references"/>
    <w:p>
      <w:pPr>
        <w:pStyle w:val="Heading1"/>
      </w:pPr>
      <w:r>
        <w:t xml:space="preserve">References</w:t>
      </w:r>
    </w:p>
    <w:p>
      <w:pPr>
        <w:pStyle w:val="Compact"/>
        <w:numPr>
          <w:ilvl w:val="0"/>
          <w:numId w:val="1006"/>
        </w:numPr>
      </w:pPr>
      <w:r>
        <w:t xml:space="preserve">10x Genomics. 3k PBMCs from a healthy donor, Cell Ranger 1.1.0 (2016). Distributed with scanpy as</w:t>
      </w:r>
      <w:r>
        <w:t xml:space="preserve"> </w:t>
      </w:r>
      <w:r>
        <w:rPr>
          <w:rStyle w:val="VerbatimChar"/>
        </w:rPr>
        <w:t xml:space="preserve">pbmc3k</w:t>
      </w:r>
      <w:r>
        <w:t xml:space="preserve">.</w:t>
      </w:r>
    </w:p>
    <w:p>
      <w:pPr>
        <w:pStyle w:val="Compact"/>
        <w:numPr>
          <w:ilvl w:val="0"/>
          <w:numId w:val="1006"/>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 doi:10.1186/s13059-019-1795-z.</w:t>
      </w:r>
    </w:p>
    <w:p>
      <w:pPr>
        <w:pStyle w:val="Compact"/>
        <w:numPr>
          <w:ilvl w:val="0"/>
          <w:numId w:val="1006"/>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 doi:10.1038/s41586-026-10627-z.</w:t>
      </w:r>
    </w:p>
    <w:p>
      <w:pPr>
        <w:pStyle w:val="Compact"/>
        <w:numPr>
          <w:ilvl w:val="0"/>
          <w:numId w:val="1006"/>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 doi:10.1038/s41590-018-0276-y.</w:t>
      </w:r>
    </w:p>
    <w:p>
      <w:pPr>
        <w:pStyle w:val="Compact"/>
        <w:numPr>
          <w:ilvl w:val="0"/>
          <w:numId w:val="1006"/>
        </w:numPr>
      </w:pPr>
      <w:r>
        <w:t xml:space="preserve">Bradbury J, et al. JAX: composable transformations of Python+NumPy programs (2018). github.com/google/jax.</w:t>
      </w:r>
    </w:p>
    <w:p>
      <w:pPr>
        <w:pStyle w:val="Compact"/>
        <w:numPr>
          <w:ilvl w:val="0"/>
          <w:numId w:val="1006"/>
        </w:numPr>
      </w:pPr>
      <w:r>
        <w:t xml:space="preserve">CZI Cell Science Program. CZ CELLxGENE Discover Census, LTS release 2025-11-08. chanzuckerberg.github.io/cellxgene-census.</w:t>
      </w:r>
    </w:p>
    <w:p>
      <w:pPr>
        <w:pStyle w:val="Compact"/>
        <w:numPr>
          <w:ilvl w:val="0"/>
          <w:numId w:val="1006"/>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6"/>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 doi:10.1126/science.abl5197.</w:t>
      </w:r>
    </w:p>
    <w:p>
      <w:pPr>
        <w:pStyle w:val="Compact"/>
        <w:numPr>
          <w:ilvl w:val="0"/>
          <w:numId w:val="1006"/>
        </w:numPr>
      </w:pPr>
      <w:r>
        <w:t xml:space="preserve">Edgar R, et al. The Human Liver Cell Atlas (HLiCA).</w:t>
      </w:r>
      <w:r>
        <w:t xml:space="preserve"> </w:t>
      </w:r>
      <w:r>
        <w:rPr>
          <w:i/>
          <w:iCs/>
        </w:rPr>
        <w:t xml:space="preserve">bioRxiv</w:t>
      </w:r>
      <w:r>
        <w:t xml:space="preserve"> </w:t>
      </w:r>
      <w:r>
        <w:t xml:space="preserve">(2026). doi:10.64898/2026.06.30.735539.</w:t>
      </w:r>
    </w:p>
    <w:p>
      <w:pPr>
        <w:pStyle w:val="Compact"/>
        <w:numPr>
          <w:ilvl w:val="0"/>
          <w:numId w:val="1006"/>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6"/>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6"/>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(2025). doi:10.1038/s41467-025-58699-1.</w:t>
      </w:r>
    </w:p>
    <w:p>
      <w:pPr>
        <w:pStyle w:val="Compact"/>
        <w:numPr>
          <w:ilvl w:val="0"/>
          <w:numId w:val="1006"/>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 doi:10.1038/nmeth.4644.</w:t>
      </w:r>
    </w:p>
    <w:p>
      <w:pPr>
        <w:pStyle w:val="Compact"/>
        <w:numPr>
          <w:ilvl w:val="0"/>
          <w:numId w:val="1006"/>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 doi:10.1126/science.ade2574.</w:t>
      </w:r>
    </w:p>
    <w:p>
      <w:pPr>
        <w:pStyle w:val="Compact"/>
        <w:numPr>
          <w:ilvl w:val="0"/>
          <w:numId w:val="1006"/>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 doi:10.1038/s41587-021-01001-7.</w:t>
      </w:r>
    </w:p>
    <w:p>
      <w:pPr>
        <w:pStyle w:val="Compact"/>
        <w:numPr>
          <w:ilvl w:val="0"/>
          <w:numId w:val="1006"/>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 doi:10.1093/bioinformatics/btz592.</w:t>
      </w:r>
    </w:p>
    <w:p>
      <w:pPr>
        <w:pStyle w:val="Compact"/>
        <w:numPr>
          <w:ilvl w:val="0"/>
          <w:numId w:val="1006"/>
        </w:numPr>
      </w:pPr>
      <w:r>
        <w:t xml:space="preserve">Open Problems for Single-Cell Analysis Consortium. Open Problems: a living benchmark for single-cell analysis. openproblems.bio (2024).</w:t>
      </w:r>
    </w:p>
    <w:p>
      <w:pPr>
        <w:pStyle w:val="Compact"/>
        <w:numPr>
          <w:ilvl w:val="0"/>
          <w:numId w:val="1006"/>
        </w:numPr>
      </w:pPr>
      <w:r>
        <w:t xml:space="preserve">Pedregosa F, et al. Scikit-learn: machine learning in Python.</w:t>
      </w:r>
      <w:r>
        <w:t xml:space="preserve"> </w:t>
      </w:r>
      <w:r>
        <w:rPr>
          <w:i/>
          <w:iCs/>
        </w:rPr>
        <w:t xml:space="preserve">JMLR</w:t>
      </w:r>
      <w:r>
        <w:t xml:space="preserve"> </w:t>
      </w:r>
      <w:r>
        <w:t xml:space="preserve">12:2825-2830 (2011).</w:t>
      </w:r>
    </w:p>
    <w:p>
      <w:pPr>
        <w:pStyle w:val="Compact"/>
        <w:numPr>
          <w:ilvl w:val="0"/>
          <w:numId w:val="1006"/>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6"/>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p>
      <w:pPr>
        <w:pStyle w:val="Compact"/>
        <w:numPr>
          <w:ilvl w:val="0"/>
          <w:numId w:val="1006"/>
        </w:numPr>
      </w:pPr>
      <w:r>
        <w:t xml:space="preserve">Sikkema L, et al. An integrated cell atlas of the lung in health and disease (HLCA).</w:t>
      </w:r>
      <w:r>
        <w:t xml:space="preserve"> </w:t>
      </w:r>
      <w:r>
        <w:rPr>
          <w:i/>
          <w:iCs/>
        </w:rPr>
        <w:t xml:space="preserve">Nature Medicine</w:t>
      </w:r>
      <w:r>
        <w:t xml:space="preserve"> </w:t>
      </w:r>
      <w:r>
        <w:t xml:space="preserve">29:1563-1577 (2023). doi:10.1038/s41591-023-02327-2.</w:t>
      </w:r>
    </w:p>
    <w:p>
      <w:pPr>
        <w:pStyle w:val="Compact"/>
        <w:numPr>
          <w:ilvl w:val="0"/>
          <w:numId w:val="1006"/>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6"/>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 doi:10.1038/s41586-020-2922-4.</w:t>
      </w:r>
    </w:p>
    <w:p>
      <w:pPr>
        <w:pStyle w:val="Compact"/>
        <w:numPr>
          <w:ilvl w:val="0"/>
          <w:numId w:val="1006"/>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 doi:10.15252/msb.20209620.</w:t>
      </w:r>
    </w:p>
    <w:p>
      <w:pPr>
        <w:pStyle w:val="Compact"/>
        <w:numPr>
          <w:ilvl w:val="0"/>
          <w:numId w:val="1006"/>
        </w:numPr>
      </w:pPr>
      <w:r>
        <w:t xml:space="preserve">Yampolskaya M, Souza H, et al. scTOP: cell identity from single-cell data via parameter-free projection. github.com/Emergent-Behaviors-in-Biology/scTOP.</w:t>
      </w:r>
    </w:p>
    <w:p>
      <w:pPr>
        <w:pStyle w:val="Compact"/>
        <w:numPr>
          <w:ilvl w:val="0"/>
          <w:numId w:val="1006"/>
        </w:numPr>
      </w:pPr>
      <w:r>
        <w:t xml:space="preserve">Munroe R. Standards.</w:t>
      </w:r>
      <w:r>
        <w:t xml:space="preserve"> </w:t>
      </w:r>
      <w:r>
        <w:rPr>
          <w:i/>
          <w:iCs/>
        </w:rPr>
        <w:t xml:space="preserve">xkcd</w:t>
      </w:r>
      <w:r>
        <w:t xml:space="preserve"> </w:t>
      </w:r>
      <w:r>
        <w:t xml:space="preserve">927. xkcd.com/927.</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2026-07-31T21:06:01Z</dcterms:created>
  <dcterms:modified xsi:type="dcterms:W3CDTF">2026-07-31T21:06:01Z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Cell-Ontology-derived hierarchy that takes the accelerator out of the build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