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55.png" ContentType="image/png"/>
  <Override PartName="/word/media/rId62.png" ContentType="image/png"/>
  <Override PartName="/word/media/rId48.png" ContentType="image/png"/>
  <Override PartName="/word/media/rId52.png" ContentType="image/png"/>
  <Override PartName="/word/media/rId59.png" ContentType="image/png"/>
  <Override PartName="/word/media/rId73.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benchmark of annotation methods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 pretrained pan-human annotator (Pan-human Azimuth), and a foundation model (scPRINT) — across</w:t>
      </w:r>
      <w:r>
        <w:t xml:space="preserve"> </w:t>
      </w:r>
      <w:r>
        <w:rPr>
          <w:b/>
          <w:bCs/>
        </w:rPr>
        <w:t xml:space="preserve">six</w:t>
      </w:r>
      <w:r>
        <w:t xml:space="preserve"> </w:t>
      </w:r>
      <w:r>
        <w:t xml:space="preserve">datasets (within-dataset, cross-dataset and cross-study; 8 to 86 cell types), measuring accuracy, macro-F1, ontology-aware concordance, fit and predict time, and peak memory on commodity Apple-Silicon hardware. Because a ranking measured on a subsampled reference need not hold at full size, we repeat the comparison across reference sizes on two atlases, from 3k cells up to atlas scale.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~260× in predict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the leading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behavior from 3k to 49k reference cells. We then use actinn-jax to demonstrate</w:t>
      </w:r>
      <w:r>
        <w:t xml:space="preserve"> </w:t>
      </w:r>
      <w:r>
        <w:rPr>
          <w:b/>
          <w:bCs/>
        </w:rPr>
        <w:t xml:space="preserve">end-to-end workflows that a low, flat cost profile makes practical</w:t>
      </w:r>
      <w:r>
        <w:t xml:space="preserve"> </w:t>
      </w:r>
      <w:r>
        <w:t xml:space="preserve">— on human data, and on mouse via a hierarchy derived from the Cell Ontology that removes the GPU step from building a reference. The workflows are: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broad→focused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No part of this workflow is exclusive to actinn-jax: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6–9×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somebody</w:t>
      </w:r>
      <w:r>
        <w:rPr>
          <w:b/>
          <w:bCs/>
        </w:rPr>
        <w:t xml:space="preserve"> </w:t>
      </w:r>
      <w:r>
        <w:rPr>
          <w:b/>
          <w:bCs/>
        </w:rPr>
        <w:t xml:space="preserve">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sweep across reference sizes up to</w:t>
      </w:r>
      <w:r>
        <w:rPr>
          <w:b/>
          <w:bCs/>
        </w:rPr>
        <w:t xml:space="preserve"> </w:t>
      </w:r>
      <w:r>
        <w:rPr>
          <w:b/>
          <w:bCs/>
        </w:rPr>
        <w:t xml:space="preserve">full atlas scale</w:t>
      </w:r>
      <w:r>
        <w:t xml:space="preserve">, which is what shows that the ranking is a function of how much</w:t>
      </w:r>
      <w:r>
        <w:t xml:space="preserve"> </w:t>
      </w:r>
      <w:r>
        <w:t xml:space="preserve">reference data each method is given.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CELLxGENE files conventionally store them in.</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 the</w:t>
      </w:r>
      <w:r>
        <w:t xml:space="preserve"> </w:t>
      </w:r>
      <w:r>
        <w:t xml:space="preserve">TensorFlow-1.x original,</w:t>
      </w:r>
      <w:r>
        <w:t xml:space="preserve"> </w:t>
      </w:r>
      <w:r>
        <w:rPr>
          <w:b/>
          <w:bCs/>
        </w:rPr>
        <w:t xml:space="preserve">installs on current Python/ML environments</w:t>
      </w:r>
      <w:r>
        <w:t xml:space="preserve"> </w:t>
      </w:r>
      <w:r>
        <w:t xml:space="preserve">— the original’s</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 a</w:t>
      </w:r>
      <w:r>
        <w:t xml:space="preserve"> </w:t>
      </w:r>
      <w:r>
        <w:t xml:space="preserve">working scientist would accept it.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A benchmark run at one reference size measures that size, not the method. Since a reference</w:t>
      </w:r>
      <w:r>
        <w:t xml:space="preserve"> </w:t>
      </w:r>
      <w:r>
        <w:t xml:space="preserve">can be anything from a few thousand cells to a whole atlas, we subsample the reference and hold</w:t>
      </w:r>
      <w:r>
        <w:t xml:space="preserve"> </w:t>
      </w:r>
      <w:r>
        <w:t xml:space="preserve">the query fixed, so accuracy, fit time, predict time and peak memory become functions of</w:t>
      </w:r>
      <w:r>
        <w:t xml:space="preserve"> </w:t>
      </w:r>
      <w:r>
        <w:t xml:space="preserve">reference size alone.</w:t>
      </w:r>
    </w:p>
    <w:p>
      <w:pPr>
        <w:pStyle w:val="BodyText"/>
      </w:pPr>
      <w:r>
        <w:t xml:space="preserve">Each sweep answers a different question.</w:t>
      </w:r>
      <w:r>
        <w:t xml:space="preserve"> </w:t>
      </w:r>
      <w:r>
        <w:rPr>
          <w:b/>
          <w:bCs/>
        </w:rPr>
        <w:t xml:space="preserve">Cost against size and</w:t>
      </w:r>
      <w:r>
        <w:rPr>
          <w:b/>
          <w:bCs/>
        </w:rPr>
        <w:t xml:space="preserve"> </w:t>
      </w:r>
      <w:r>
        <w:rPr>
          <w:b/>
          <w:bCs/>
        </w:rPr>
        <w:t xml:space="preserve">cardinality</w:t>
      </w:r>
      <w:r>
        <w:t xml:space="preserve"> </w:t>
      </w:r>
      <w:r>
        <w:t xml:space="preserve">(§3.3, Figure 2) covers six reference sizes to 24k cells and separately varies</w:t>
      </w:r>
      <w:r>
        <w:t xml:space="preserve"> </w:t>
      </w:r>
      <w:r>
        <w:t xml:space="preserve">the number of cell types, and asks whether inference cost grows with either — the property the</w:t>
      </w:r>
      <w:r>
        <w:t xml:space="preserve"> </w:t>
      </w:r>
      <w:r>
        <w:t xml:space="preserve">multi-stage workflow depends on.</w:t>
      </w:r>
      <w:r>
        <w:t xml:space="preserve"> </w:t>
      </w:r>
      <w:r>
        <w:rPr>
          <w:b/>
          <w:bCs/>
        </w:rPr>
        <w:t xml:space="preserve">Accuracy and memory to atlas scale</w:t>
      </w:r>
      <w:r>
        <w:t xml:space="preserve"> </w:t>
      </w:r>
      <w:r>
        <w:t xml:space="preserve">covers five sizes</w:t>
      </w:r>
      <w:r>
        <w:t xml:space="preserve"> </w:t>
      </w:r>
      <w:r>
        <w:t xml:space="preserve">to 49k cells on lung and four to 47k on the HLiCA liver atlas (§3.3, Figure 3), and asks</w:t>
      </w:r>
      <w:r>
        <w:t xml:space="preserve"> </w:t>
      </w:r>
      <w:r>
        <w:t xml:space="preserve">whether the ranking at laptop size survives at atlas size. Sizes are set by capping cells per</w:t>
      </w:r>
      <w:r>
        <w:t xml:space="preserve"> </w:t>
      </w:r>
      <w:r>
        <w:t xml:space="preserve">type, which is why they are not round numbers. The lung sweep’s top point is the whole atlas</w:t>
      </w:r>
      <w:r>
        <w:t xml:space="preserve"> </w:t>
      </w:r>
      <w:r>
        <w:t xml:space="preserve">once the query is held out; the liver atlas is far larger (525k cells), so its sweep stops at</w:t>
      </w:r>
      <w:r>
        <w:t xml:space="preserve"> </w:t>
      </w:r>
      <w:r>
        <w:t xml:space="preserve">a matching reference size rather than at its own ceiling, which is what lets the two be read</w:t>
      </w:r>
      <w:r>
        <w:t xml:space="preserve"> </w:t>
      </w:r>
      <w:r>
        <w:t xml:space="preserve">against each other.</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9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80"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ontology concordance the mean over the four datasets that</w:t>
      </w:r>
      <w:r>
        <w:t xml:space="preserve"> </w:t>
      </w:r>
      <w:r>
        <w:t xml:space="preserve">carry Cell Ontology ids;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ontology concordance the mean</w:t>
      </w:r>
      <w:r>
        <w:t xml:space="preserve"> </w:t>
      </w:r>
      <w:r>
        <w:t xml:space="preserve">over the four datasets carrying Cell Ontology ids, and cost 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~260×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176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the weakest on accuracy and macro-F1 throughout (0.23 macro-F1 on</w:t>
      </w:r>
      <w:r>
        <w:t xml:space="preserve"> </w:t>
      </w:r>
      <w:r>
        <w:t xml:space="preserve">liver_cross), though not on ontology concordance.</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2.</w:t>
      </w:r>
    </w:p>
    <w:p>
      <w:pPr>
        <w:pStyle w:val="BodyText"/>
      </w:pPr>
      <w:r>
        <w:t xml:space="preserve">The</w:t>
      </w:r>
      <w:r>
        <w:t xml:space="preserve"> </w:t>
      </w:r>
      <w:r>
        <w:rPr>
          <w:b/>
          <w:bCs/>
        </w:rPr>
        <w:t xml:space="preserve">tuned linear 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36–373× the predict time.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1"/>
    <w:bookmarkStart w:id="58"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Fit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does no work at fit time beyond storing the reference, so all of its cost lands on</w:t>
      </w:r>
      <w:r>
        <w:t xml:space="preserve"> </w:t>
      </w:r>
      <w:r>
        <w:t xml:space="preserve">predict, where it is also the least accurate method here.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(This sweep’s own</w:t>
      </w:r>
      <w:r>
        <w:t xml:space="preserve"> </w:t>
      </w:r>
      <w:r>
        <w:t xml:space="preserve">memory column is process-cumulative and not a clean per-size measurement; the atlas sweep</w:t>
      </w:r>
      <w:r>
        <w:t xml:space="preserve"> </w:t>
      </w:r>
      <w:r>
        <w:t xml:space="preserve">below and the matrix of §3.1 both run each method in its own process, and are what the</w:t>
      </w:r>
      <w:r>
        <w:t xml:space="preserve"> </w:t>
      </w:r>
      <w:r>
        <w:t xml:space="preserve">memory numbers come from.)</w:t>
      </w:r>
    </w:p>
    <w:p>
      <w:pPr>
        <w:pStyle w:val="BodyText"/>
      </w:pPr>
      <w:r>
        <w:rPr>
          <w:b/>
          <w:bCs/>
        </w:rPr>
        <w:t xml:space="preserve">At atlas scale the ordering changes.</w:t>
      </w:r>
      <w:r>
        <w:t xml:space="preserve"> </w:t>
      </w:r>
      <w:r>
        <w:t xml:space="preserve">The sweep above stops at 24k cells. Carrying four</w:t>
      </w:r>
      <w:r>
        <w:t xml:space="preserve"> </w:t>
      </w:r>
      <w:r>
        <w:t xml:space="preserve">methods to full atlas size — 49k reference cells on lung, 47k on the HLiCA liver atlas —</w:t>
      </w:r>
      <w:r>
        <w:t xml:space="preserve"> </w:t>
      </w:r>
      <w:r>
        <w:t xml:space="preserve">reverses the accuracy ranking (Figure 3A, B). ProtoCloud goes from the weakest method at 3k</w:t>
      </w:r>
      <w:r>
        <w:t xml:space="preserve"> </w:t>
      </w:r>
      <w:r>
        <w:t xml:space="preserve">cells (0.722 lung, 0.581 liver) to the strongest at full scale (</w:t>
      </w:r>
      <w:r>
        <w:rPr>
          <w:b/>
          <w:bCs/>
        </w:rPr>
        <w:t xml:space="preserve">0.976</w:t>
      </w:r>
      <w:r>
        <w:t xml:space="preserve"> </w:t>
      </w:r>
      <w:r>
        <w:t xml:space="preserve">and</w:t>
      </w:r>
      <w:r>
        <w:t xml:space="preserve"> </w:t>
      </w:r>
      <w:r>
        <w:rPr>
          <w:b/>
          <w:bCs/>
        </w:rPr>
        <w:t xml:space="preserve">0.905</w:t>
      </w:r>
      <w:r>
        <w:t xml:space="preserve">),</w:t>
      </w:r>
      <w:r>
        <w:t xml:space="preserve"> </w:t>
      </w:r>
      <w:r>
        <w:t xml:space="preserve">clear of the linear pipeline (0.939, 0.863) and actinn-jax (0.936, 0.824), at 19× actinn-jax’s</w:t>
      </w:r>
      <w:r>
        <w:t xml:space="preserve"> </w:t>
      </w:r>
      <w:r>
        <w:t xml:space="preserve">CPU fit cost. scTOP gains nothing from scale on lung (0.819 → 0.846) and loses ground on liver</w:t>
      </w:r>
      <w:r>
        <w:t xml:space="preserve"> </w:t>
      </w:r>
      <w:r>
        <w:t xml:space="preserve">(0.657 → 0.583). Peak memory grows for every method, but the spread stays</w:t>
      </w:r>
      <w:r>
        <w:t xml:space="preserve"> </w:t>
      </w:r>
      <w:r>
        <w:rPr>
          <w:b/>
          <w:bCs/>
        </w:rPr>
        <w:t xml:space="preserve">bounded at ~2×</w:t>
      </w:r>
      <w:r>
        <w:t xml:space="preserve"> </w:t>
      </w:r>
      <w:r>
        <w:t xml:space="preserve">rather than widening (Figure 3C): the linear pipeline is heaviest throughout — 13.2 GB against</w:t>
      </w:r>
      <w:r>
        <w:t xml:space="preserve"> </w:t>
      </w:r>
      <w:r>
        <w:t xml:space="preserve">actinn-jax’s 6.1 GB at 49k lung cells, a 2.15× ratio — and scTOP crosses over from lightest to</w:t>
      </w:r>
      <w:r>
        <w:t xml:space="preserve"> </w:t>
      </w:r>
      <w:r>
        <w:t xml:space="preserve">heaviest as its rank processing densifies (9.3 vs 6.5 GB at 47k liver cells). Conclusions drawn</w:t>
      </w:r>
      <w:r>
        <w:t xml:space="preserve"> </w:t>
      </w:r>
      <w:r>
        <w:t xml:space="preserve">from subsampled references do not transfer to atlas scale, in either direction.</w:t>
      </w:r>
    </w:p>
    <w:p>
      <w:pPr>
        <w:pStyle w:val="BodyText"/>
      </w:pPr>
      <w:r>
        <w:drawing>
          <wp:inline>
            <wp:extent cx="5334000" cy="1702553"/>
            <wp:effectExtent b="0" l="0" r="0" t="0"/>
            <wp:docPr descr="accuracy and memory against reference size on two atlases" title="" id="56" name="Picture"/>
            <a:graphic>
              <a:graphicData uri="http://schemas.openxmlformats.org/drawingml/2006/picture">
                <pic:pic>
                  <pic:nvPicPr>
                    <pic:cNvPr descr="/Users/iandriver/Downloads/actinn-jax-benchmark/docs/figures/fig_atlas_scaling.png" id="57" name="Picture"/>
                    <pic:cNvPicPr>
                      <a:picLocks noChangeArrowheads="1" noChangeAspect="1"/>
                    </pic:cNvPicPr>
                  </pic:nvPicPr>
                  <pic:blipFill>
                    <a:blip r:embed="rId55"/>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and peak memory against reference size, four methods carried to full</w:t>
      </w:r>
      <w:r>
        <w:t xml:space="preserve"> </w:t>
      </w:r>
      <w:r>
        <w:t xml:space="preserve">atlas scale on two datasets.</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w:t>
      </w:r>
      <w:r>
        <w:t xml:space="preserve"> </w:t>
      </w:r>
      <w:r>
        <w:t xml:space="preserve">2.7k → 47k, an independent replication of the same reversal.</w:t>
      </w:r>
      <w:r>
        <w:t xml:space="preserve"> </w:t>
      </w:r>
      <w:r>
        <w:rPr>
          <w:i/>
          <w:iCs/>
        </w:rPr>
        <w:t xml:space="preserve">C:</w:t>
      </w:r>
      <w:r>
        <w:t xml:space="preserve"> </w:t>
      </w:r>
      <w:r>
        <w:t xml:space="preserve">peak memory over both</w:t>
      </w:r>
      <w:r>
        <w:t xml:space="preserve"> </w:t>
      </w:r>
      <w:r>
        <w:t xml:space="preserve">sweeps. Fit time is not plotted: the 47k liver point was measured under CPU contention, so a</w:t>
      </w:r>
      <w:r>
        <w:t xml:space="preserve"> </w:t>
      </w:r>
      <w:r>
        <w:t xml:space="preserve">cost axis there would report scheduling rather than scaling.</w:t>
      </w:r>
    </w:p>
    <w:bookmarkEnd w:id="58"/>
    <w:bookmarkStart w:id="65"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60" name="Picture"/>
            <a:graphic>
              <a:graphicData uri="http://schemas.openxmlformats.org/drawingml/2006/picture">
                <pic:pic>
                  <pic:nvPicPr>
                    <pic:cNvPr descr="/Users/iandriver/Downloads/actinn-jax-benchmark/docs/figures/fig_workflow_umap_ondata.png" id="61" name="Picture"/>
                    <pic:cNvPicPr>
                      <a:picLocks noChangeArrowheads="1" noChangeAspect="1"/>
                    </pic:cNvPicPr>
                  </pic:nvPicPr>
                  <pic:blipFill>
                    <a:blip r:embed="rId59"/>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137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Centre:</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Can a broad reference be built for an organism with no pretrained annotator?</w:t>
      </w:r>
      <w:r>
        <w:t xml:space="preserve"> </w:t>
      </w:r>
      <w:r>
        <w:t xml:space="preserve">For mouse,</w:t>
      </w:r>
      <w:r>
        <w:t xml:space="preserve"> </w:t>
      </w:r>
      <w:r>
        <w:t xml:space="preserve">neither human route carries over intact, but for different reasons. Distillation needs a</w:t>
      </w:r>
      <w:r>
        <w:t xml:space="preserve"> </w:t>
      </w:r>
      <w:r>
        <w:t xml:space="preserve">teacher, and Pan-human Azimuth is human-only — there is no mouse model to distill. The census</w:t>
      </w:r>
      <w:r>
        <w:t xml:space="preserve"> </w:t>
      </w:r>
      <w:r>
        <w:t xml:space="preserve">route does apply to mouse, but its one expensive step does not travel cheaply: the coarse</w:t>
      </w:r>
      <w:r>
        <w:t xml:space="preserve"> </w:t>
      </w:r>
      <w:r>
        <w:t xml:space="preserve">groups are found by Ward-clustering scPRINT embeddings of per-type expression centroids, which</w:t>
      </w:r>
      <w:r>
        <w:t xml:space="preserve"> </w:t>
      </w:r>
      <w:r>
        <w:t xml:space="preserve">wants a GPU, and scPRINT’s mouse support is untested here.</w:t>
      </w:r>
    </w:p>
    <w:p>
      <w:pPr>
        <w:pStyle w:val="BodyText"/>
      </w:pPr>
      <w:r>
        <w:t xml:space="preserve">That clustering step is the only one that has to be replaced (Figure 5A). The census already</w:t>
      </w:r>
      <w:r>
        <w:t xml:space="preserve"> </w:t>
      </w:r>
      <w:r>
        <w:t xml:space="preserve">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with the same Ward linkage, gives a</w:t>
      </w:r>
      <w:r>
        <w:t xml:space="preserve"> </w:t>
      </w:r>
      <w:r>
        <w:t xml:space="preserve">hierarchy that is free, deterministic and species-independent.</w:t>
      </w:r>
    </w:p>
    <w:p>
      <w:pPr>
        <w:pStyle w:val="BodyText"/>
      </w:pPr>
      <w:r>
        <w:drawing>
          <wp:inline>
            <wp:extent cx="5334000" cy="3388824"/>
            <wp:effectExtent b="0" l="0" r="0" t="0"/>
            <wp:docPr descr="building a coarse hierarchy without a GPU" title="" id="63" name="Picture"/>
            <a:graphic>
              <a:graphicData uri="http://schemas.openxmlformats.org/drawingml/2006/picture">
                <pic:pic>
                  <pic:nvPicPr>
                    <pic:cNvPr descr="/Users/iandriver/Downloads/actinn-jax-benchmark/docs/figures/fig_ontology_hierarchy.png" id="64" name="Picture"/>
                    <pic:cNvPicPr>
                      <a:picLocks noChangeArrowheads="1" noChangeAspect="1"/>
                    </pic:cNvPicPr>
                  </pic:nvPicPr>
                  <pic:blipFill>
                    <a:blip r:embed="rId62"/>
                    <a:stretch>
                      <a:fillRect/>
                    </a:stretch>
                  </pic:blipFill>
                  <pic:spPr bwMode="auto">
                    <a:xfrm>
                      <a:off x="0" y="0"/>
                      <a:ext cx="5334000" cy="3388824"/>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Replacing the one step of the reference build that needs a GPU.</w:t>
      </w:r>
      <w:r>
        <w:t xml:space="preserve"> </w:t>
      </w:r>
      <w:r>
        <w:rPr>
          <w:i/>
          <w:iCs/>
        </w:rPr>
        <w:t xml:space="preserve">A:</w:t>
      </w:r>
      <w:r>
        <w:t xml:space="preserve"> </w:t>
      </w:r>
      <w:r>
        <w:t xml:space="preserve">both routes</w:t>
      </w:r>
      <w:r>
        <w:t xml:space="preserve"> </w:t>
      </w:r>
      <w:r>
        <w:t xml:space="preserve">to the coarse groups; only the middle step differs.</w:t>
      </w:r>
      <w:r>
        <w:t xml:space="preserve"> </w:t>
      </w:r>
      <w:r>
        <w:rPr>
          <w:i/>
          <w:iCs/>
        </w:rPr>
        <w:t xml:space="preserve">B:</w:t>
      </w:r>
      <w:r>
        <w:t xml:space="preserve"> </w:t>
      </w:r>
      <w:r>
        <w:t xml:space="preserve">the 21 coarse groups of</w:t>
      </w:r>
      <w:r>
        <w:t xml:space="preserve"> </w:t>
      </w:r>
      <w:r>
        <w:rPr>
          <w:rStyle w:val="VerbatimChar"/>
        </w:rPr>
        <w:t xml:space="preserve">broad_mouse_v1</w:t>
      </w:r>
      <w:r>
        <w:t xml:space="preserve">, each named by the Cell Ontology term its members share, with a percentage</w:t>
      </w:r>
      <w:r>
        <w:t xml:space="preserve"> </w:t>
      </w:r>
      <w:r>
        <w:t xml:space="preserve">where that term covers most but not all of the group; the gray bar is the single group whose</w:t>
      </w:r>
      <w:r>
        <w:t xml:space="preserve"> </w:t>
      </w:r>
      <w:r>
        <w:t xml:space="preserve">members share no term below the generic ones.</w:t>
      </w:r>
      <w:r>
        <w:t xml:space="preserve"> </w:t>
      </w:r>
      <w:r>
        <w:rPr>
          <w:i/>
          <w:iCs/>
        </w:rPr>
        <w:t xml:space="preserve">C:</w:t>
      </w:r>
      <w:r>
        <w:t xml:space="preserve"> </w:t>
      </w:r>
      <w:r>
        <w:t xml:space="preserve">the ontology grouping against no hierarchy</w:t>
      </w:r>
      <w:r>
        <w:t xml:space="preserve"> </w:t>
      </w:r>
      <w:r>
        <w:t xml:space="preserve">and against a random grouping with the same group sizes, scored by ontology concordance on the</w:t>
      </w:r>
      <w:r>
        <w:t xml:space="preserve"> </w:t>
      </w:r>
      <w:r>
        <w:t xml:space="preserve">held-out human lung atlas.</w:t>
      </w:r>
    </w:p>
    <w:p>
      <w:pPr>
        <w:pStyle w:val="BodyText"/>
      </w:pPr>
      <w:r>
        <w:rPr>
          <w:b/>
          <w:bCs/>
        </w:rPr>
        <w:t xml:space="preserve">The groups it produces are lineages.</w:t>
      </w:r>
      <w:r>
        <w:t xml:space="preserve"> </w:t>
      </w:r>
      <w:r>
        <w:t xml:space="preserve">Twenty of the 21 mouse groups resolve to one CL</w:t>
      </w:r>
      <w:r>
        <w:t xml:space="preserve"> </w:t>
      </w:r>
      <w:r>
        <w:t xml:space="preserve">lineage each — lymphocytes, neurons, epithelium, endothelium, mononuclear phagocytes, kidney</w:t>
      </w:r>
      <w:r>
        <w:t xml:space="preserve"> </w:t>
      </w:r>
      <w:r>
        <w:t xml:space="preserve">tubule — and the twenty-first is a catch-all of 48 types whose census labels (</w:t>
      </w:r>
      <w:r>
        <w:rPr>
          <w:rStyle w:val="VerbatimChar"/>
        </w:rPr>
        <w:t xml:space="preserve">cell</w:t>
      </w:r>
      <w:r>
        <w:t xml:space="preserve">,</w:t>
      </w:r>
      <w:r>
        <w:t xml:space="preserve"> </w:t>
      </w:r>
      <w:r>
        <w:rPr>
          <w:rStyle w:val="VerbatimChar"/>
        </w:rPr>
        <w:t xml:space="preserve">blood cell</w:t>
      </w:r>
      <w:r>
        <w:t xml:space="preserve">) are too vague to place anywhere (Figure 5B).</w:t>
      </w:r>
    </w:p>
    <w:p>
      <w:pPr>
        <w:pStyle w:val="BodyText"/>
      </w:pPr>
      <w:r>
        <w:rPr>
          <w:b/>
          <w:bCs/>
        </w:rPr>
        <w:t xml:space="preserve">The grouping is doing the work, not the splitting.</w:t>
      </w:r>
      <w:r>
        <w:t xml:space="preserve"> </w:t>
      </w:r>
      <w:r>
        <w:t xml:space="preserve">Any partition gives each fine</w:t>
      </w:r>
      <w:r>
        <w:t xml:space="preserve"> </w:t>
      </w:r>
      <w:r>
        <w:t xml:space="preserve">classifier a smaller problem, so the substitution needs a control. Built from one human corpus</w:t>
      </w:r>
      <w:r>
        <w:t xml:space="preserve"> </w:t>
      </w:r>
      <w:r>
        <w:t xml:space="preserve">(51,346 cells / 867 types) and scored on the held-out lung atlas, a random grouping with the</w:t>
      </w:r>
      <w:r>
        <w:t xml:space="preserve"> </w:t>
      </w:r>
      <w:r>
        <w:t xml:space="preserve">same group sizes scores</w:t>
      </w:r>
      <w:r>
        <w:t xml:space="preserve"> </w:t>
      </w:r>
      <w:r>
        <w:rPr>
          <w:b/>
          <w:bCs/>
        </w:rPr>
        <w:t xml:space="preserve">0.539</w:t>
      </w:r>
      <w:r>
        <w:t xml:space="preserve"> </w:t>
      </w:r>
      <w:r>
        <w:t xml:space="preserve">— no better than the</w:t>
      </w:r>
      <w:r>
        <w:t xml:space="preserve"> </w:t>
      </w:r>
      <w:r>
        <w:rPr>
          <w:b/>
          <w:bCs/>
        </w:rPr>
        <w:t xml:space="preserve">0.547</w:t>
      </w:r>
      <w:r>
        <w:t xml:space="preserve"> </w:t>
      </w:r>
      <w:r>
        <w:t xml:space="preserve">of no hierarchy at all —</w:t>
      </w:r>
      <w:r>
        <w:t xml:space="preserve"> </w:t>
      </w:r>
      <w:r>
        <w:t xml:space="preserve">while the ontology grouping reaches</w:t>
      </w:r>
      <w:r>
        <w:t xml:space="preserve"> </w:t>
      </w:r>
      <w:r>
        <w:rPr>
          <w:b/>
          <w:bCs/>
        </w:rPr>
        <w:t xml:space="preserve">0.616</w:t>
      </w:r>
      <w:r>
        <w:t xml:space="preserve"> </w:t>
      </w:r>
      <w:r>
        <w:t xml:space="preserve">(Figure 5C). What matters is</w:t>
      </w:r>
      <w:r>
        <w:t xml:space="preserve"> </w:t>
      </w:r>
      <w:r>
        <w:rPr>
          <w:i/>
          <w:iCs/>
        </w:rPr>
        <w:t xml:space="preserve">which</w:t>
      </w:r>
      <w:r>
        <w:t xml:space="preserve"> </w:t>
      </w:r>
      <w:r>
        <w:t xml:space="preserve">types share</w:t>
      </w:r>
      <w:r>
        <w:t xml:space="preserve"> </w:t>
      </w:r>
      <w:r>
        <w:t xml:space="preserve">a group. Each group has its own fine classifier and the coarse call decides which one ever</w:t>
      </w:r>
      <w:r>
        <w:t xml:space="preserve"> </w:t>
      </w:r>
      <w:r>
        <w:t xml:space="preserve">sees the cell, so a group pays off only if the coarse classifier can recognize the group</w:t>
      </w:r>
      <w:r>
        <w:t xml:space="preserve"> </w:t>
      </w:r>
      <w:r>
        <w:rPr>
          <w:i/>
          <w:iCs/>
        </w:rPr>
        <w:t xml:space="preserve">and</w:t>
      </w:r>
      <w:r>
        <w:t xml:space="preserve"> </w:t>
      </w:r>
      <w:r>
        <w:t xml:space="preserve">the right answer is inside it. Lineage groups manage both; same-sized random groups manage</w:t>
      </w:r>
      <w:r>
        <w:t xml:space="preserve"> </w:t>
      </w:r>
      <w:r>
        <w:t xml:space="preserve">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7.</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at the same</w:t>
      </w:r>
      <w:r>
        <w:t xml:space="preserve"> </w:t>
      </w:r>
      <w:r>
        <w:rPr>
          <w:rStyle w:val="VerbatimChar"/>
        </w:rPr>
        <w:t xml:space="preserve">p ≥ 0.5</w:t>
      </w:r>
      <w:r>
        <w:t xml:space="preserve"> </w:t>
      </w:r>
      <w:r>
        <w:t xml:space="preserve">threshold it still answers for</w:t>
      </w:r>
      <w:r>
        <w:t xml:space="preserve"> </w:t>
      </w:r>
      <w:r>
        <w:rPr>
          <w:b/>
          <w:bCs/>
        </w:rPr>
        <w:t xml:space="preserve">71%</w:t>
      </w:r>
      <w:r>
        <w:t xml:space="preserve"> </w:t>
      </w:r>
      <w:r>
        <w:t xml:space="preserve">of cells (Table 7), against</w:t>
      </w:r>
      <w:r>
        <w:t xml:space="preserve"> </w:t>
      </w:r>
      <w:r>
        <w:rPr>
          <w:b/>
          <w:bCs/>
        </w:rPr>
        <w:t xml:space="preserve">38%</w:t>
      </w:r>
      <w:r>
        <w:t xml:space="preserve"> </w:t>
      </w:r>
      <w:r>
        <w:t xml:space="preserve">for</w:t>
      </w:r>
      <w:r>
        <w:t xml:space="preserve"> </w:t>
      </w:r>
      <w:r>
        <w:rPr>
          <w:rStyle w:val="VerbatimChar"/>
        </w:rPr>
        <w:t xml:space="preserve">broad_human_v1</w:t>
      </w:r>
      <w:r>
        <w:t xml:space="preserve"> </w:t>
      </w:r>
      <w:r>
        <w:t xml:space="preserve">on its own held-out atlas, because mouse census carries fewer near-duplicate</w:t>
      </w:r>
      <w:r>
        <w:t xml:space="preserve"> </w:t>
      </w:r>
      <w:r>
        <w:t xml:space="preserve">subtypes than human’s ~800-way vocabulary. Coverage at a fixed threshold is the part that</w:t>
      </w:r>
      <w:r>
        <w:t xml:space="preserve"> </w:t>
      </w:r>
      <w:r>
        <w:t xml:space="preserve">compares across the two — the accuracies come from different queries and should not be read</w:t>
      </w:r>
      <w:r>
        <w:t xml:space="preserve"> </w:t>
      </w:r>
      <w:r>
        <w:t xml:space="preserve">head-to-head.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5"/>
    <w:bookmarkStart w:id="69"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8.</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The difference is in the shape rather than in any single row (Figure 6).</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r>
        <w:t xml:space="preserve"> </w:t>
      </w:r>
      <w:r>
        <w:drawing>
          <wp:inline>
            <wp:extent cx="5334000" cy="2130714"/>
            <wp:effectExtent b="0" l="0" r="0" t="0"/>
            <wp:docPr descr="the abstain trade-off" title="" id="67" name="Picture"/>
            <a:graphic>
              <a:graphicData uri="http://schemas.openxmlformats.org/drawingml/2006/picture">
                <pic:pic>
                  <pic:nvPicPr>
                    <pic:cNvPr descr="/Users/iandriver/Downloads/actinn-jax-benchmark/docs/figures/fig_abstain.png" id="68" name="Picture"/>
                    <pic:cNvPicPr>
                      <a:picLocks noChangeArrowheads="1" noChangeAspect="1"/>
                    </pic:cNvPicPr>
                  </pic:nvPicPr>
                  <pic:blipFill>
                    <a:blip r:embed="rId66"/>
                    <a:stretch>
                      <a:fillRect/>
                    </a:stretch>
                  </pic:blipFill>
                  <pic:spPr bwMode="auto">
                    <a:xfrm>
                      <a:off x="0" y="0"/>
                      <a:ext cx="5334000" cy="2130714"/>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What abstention buys, and whether it finds the novel cells.</w:t>
      </w:r>
      <w:r>
        <w:t xml:space="preserve"> </w:t>
      </w:r>
      <w:r>
        <w:rPr>
          <w:i/>
          <w:iCs/>
        </w:rPr>
        <w:t xml:space="preserve">Left:</w:t>
      </w:r>
      <w:r>
        <w:t xml:space="preserve"> </w:t>
      </w:r>
      <w:r>
        <w:t xml:space="preserve">accuracy on</w:t>
      </w:r>
      <w:r>
        <w:t xml:space="preserve"> </w:t>
      </w:r>
      <w:r>
        <w:t xml:space="preserve">kept cells against the fraction kept.</w:t>
      </w:r>
      <w:r>
        <w:t xml:space="preserve"> </w:t>
      </w:r>
      <w:r>
        <w:rPr>
          <w:i/>
          <w:iCs/>
        </w:rPr>
        <w:t xml:space="preserve">Right:</w:t>
      </w:r>
      <w:r>
        <w:t xml:space="preserve"> </w:t>
      </w:r>
      <w:r>
        <w:t xml:space="preserve">the share of held-out-type cells flagged as the</w:t>
      </w:r>
      <w:r>
        <w:t xml:space="preserve"> </w:t>
      </w:r>
      <w:r>
        <w:t xml:space="preserve">threshold rises. actinn-jax traces a usable curve on both axes; CellTypist’s probabilities are</w:t>
      </w:r>
      <w:r>
        <w:t xml:space="preserve"> </w:t>
      </w:r>
      <w:r>
        <w:t xml:space="preserve">saturated, so thresholds from 0.3 to 0.9 land on one operating point.</w:t>
      </w:r>
    </w:p>
    <w:bookmarkEnd w:id="69"/>
    <w:bookmarkStart w:id="70"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w:t>
      </w:r>
      <w:r>
        <w:t xml:space="preserve"> </w:t>
      </w:r>
      <w:r>
        <w:t xml:space="preserve">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70"/>
    <w:bookmarkStart w:id="79"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71">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2">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9.</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takes macro-F1 (0.689) from fifth on</w:t>
      </w:r>
      <w:r>
        <w:t xml:space="preserve"> </w:t>
      </w:r>
      <w:r>
        <w:t xml:space="preserve">accuracy, at the 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7).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8)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4" name="Picture"/>
            <a:graphic>
              <a:graphicData uri="http://schemas.openxmlformats.org/drawingml/2006/picture">
                <pic:pic>
                  <pic:nvPicPr>
                    <pic:cNvPr descr="/Users/iandriver/Downloads/actinn-jax-benchmark/docs/figures/gene_budget_curve.png" id="75" name="Picture"/>
                    <pic:cNvPicPr>
                      <a:picLocks noChangeArrowheads="1" noChangeAspect="1"/>
                    </pic:cNvPicPr>
                  </pic:nvPicPr>
                  <pic:blipFill>
                    <a:blip r:embed="rId73"/>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7" name="Picture"/>
            <a:graphic>
              <a:graphicData uri="http://schemas.openxmlformats.org/drawingml/2006/picture">
                <pic:pic>
                  <pic:nvPicPr>
                    <pic:cNvPr descr="/Users/iandriver/Downloads/actinn-jax-benchmark/docs/figures/gene_budget_signals.png" id="78" name="Picture"/>
                    <pic:cNvPicPr>
                      <a:picLocks noChangeArrowheads="1" noChangeAspect="1"/>
                    </pic:cNvPicPr>
                  </pic:nvPicPr>
                  <pic:blipFill>
                    <a:blip r:embed="rId76"/>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9"/>
    <w:bookmarkEnd w:id="80"/>
    <w:bookmarkStart w:id="82"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~260×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are independent support, from a group with</w:t>
      </w:r>
      <w:r>
        <w:t xml:space="preserve"> </w:t>
      </w:r>
      <w:r>
        <w:t xml:space="preserve">no stake in our conclusion, for our two claims: that training-data quality and organization</w:t>
      </w:r>
      <w:r>
        <w:t xml:space="preserve"> </w:t>
      </w:r>
      <w:r>
        <w:t xml:space="preserve">matter as much as model architecture, and that zero-shot foundation-model labels are the</w:t>
      </w:r>
      <w:r>
        <w:t xml:space="preserve"> </w:t>
      </w:r>
      <w:r>
        <w:t xml:space="preserve">weaker option.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1">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2"/>
    <w:bookmarkStart w:id="83"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9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The main matrix uses subsampled references, and its ranking does not survive atlas scale.</w:t>
      </w:r>
      <w:r>
        <w:t xml:space="preserve"> </w:t>
      </w:r>
      <w:r>
        <w:t xml:space="preserve">Carried to 49k lung and 47k liver reference cells, ProtoCloud moves from the weakest method</w:t>
      </w:r>
      <w:r>
        <w:t xml:space="preserve"> </w:t>
      </w:r>
      <w:r>
        <w:t xml:space="preserve">to the strongest and scTOP crosses from the lightest to heavier than actinn-jax (§3.3,</w:t>
      </w:r>
      <w:r>
        <w:t xml:space="preserve"> </w:t>
      </w:r>
      <w:r>
        <w:t xml:space="preserve">Figure 3). The accuracy ordering of Table 3 describes laptop-sized references, which is the</w:t>
      </w:r>
      <w:r>
        <w:t xml:space="preserve"> </w:t>
      </w:r>
      <w:r>
        <w:t xml:space="preserve">regime this paper is about, but it should not be read as a ranking at atlas scale.</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3"/>
    <w:bookmarkStart w:id="89"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84">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5">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6">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7">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8">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across eleven methods on three</w:t>
      </w:r>
      <w:r>
        <w:t xml:space="preserve"> </w:t>
      </w:r>
      <w:r>
        <w:t xml:space="preserve">splits — and Tables S1–S3, the method and dataset descriptions and per-dataset accuracy.</w:t>
      </w:r>
    </w:p>
    <w:bookmarkEnd w:id="89"/>
    <w:bookmarkStart w:id="90"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2">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1">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hyperlink" Id="rId36" Target="https://chanzuckerberg.github.io/cellxgene-census/" TargetMode="External" /><Relationship Type="http://schemas.openxmlformats.org/officeDocument/2006/relationships/hyperlink" Id="rId87"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8" Target="https://doi.org/10.5281/zenodo.20401417" TargetMode="External" /><Relationship Type="http://schemas.openxmlformats.org/officeDocument/2006/relationships/hyperlink" Id="rId86" Target="https://doi.org/10.5281/zenodo.21688150" TargetMode="External" /><Relationship Type="http://schemas.openxmlformats.org/officeDocument/2006/relationships/hyperlink" Id="rId85" Target="https://doi.org/10.5281/zenodo.21688151"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4"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7"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8" Target="https://doi.org/10.5281/zenodo.20401417" TargetMode="External" /><Relationship Type="http://schemas.openxmlformats.org/officeDocument/2006/relationships/hyperlink" Id="rId86" Target="https://doi.org/10.5281/zenodo.21688150" TargetMode="External" /><Relationship Type="http://schemas.openxmlformats.org/officeDocument/2006/relationships/hyperlink" Id="rId85" Target="https://doi.org/10.5281/zenodo.21688151"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4"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benchmark of annotation methods and practical low-memory workflows, with actinn-jax</dc:title>
  <dc:creator>Ian Driver</dc:creator>
  <cp:keywords/>
  <dcterms:created xsi:type="dcterms:W3CDTF">2026-08-10T16:31:01Z</dcterms:created>
  <dcterms:modified xsi:type="dcterms:W3CDTF">2026-08-10T16:31:01Z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 pretrained pan-human annotator (Pan-human Azimuth), and a foundation model (scPRINT) — across six datasets (within-dataset, cross-dataset and cross-study; 8 to 86 cell types), measuring accuracy, macro-F1, ontology-aware concordance, fit and predict time, and peak memory on commodity Apple-Silicon hardware. Because a ranking measured on a subsampled reference need not hold at full size, we repeat the comparison across reference sizes on two atlases, from 3k cells up to atlas scale.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~260× in predict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the leading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behavior from 3k to 49k reference cells. We then use actinn-jax to demonstrate end-to-end workflows that a low, flat cost profile makes practical — on human data, and on mouse via a hierarchy derived from the Cell Ontology that removes the GPU step from building a reference. The workflows are: annotating an unknown human dataset from a shipped census-scale reference (~800 cell types, calibrated abstain) with no training; tissue-aware refinement that halves spurious cross-tissue labels on a liver query; a broad→focused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No part of this workflow is exclusive to actinn-jax: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6–9×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