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“Annotating single-cell data on a laptop”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S1–S4 and Supplementary Table S1–S3.</w:t>
      </w:r>
    </w:p>
    <w:bookmarkStart w:id="21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scores below each panel are means over the twelve truth types drawn, not over the whole</w:t>
      </w:r>
      <w:r>
        <w:t xml:space="preserve"> </w:t>
      </w:r>
      <w:r>
        <w:t xml:space="preserve">query, so they run lower than the query-wide figures quoted in the main text. The broad pass</w:t>
      </w:r>
      <w:r>
        <w:t xml:space="preserve"> </w:t>
      </w:r>
      <w:r>
        <w:t xml:space="preserve">scores 0.12 exact and recovers +0.22 through the ontology — its mistakes are the right lineage</w:t>
      </w:r>
      <w:r>
        <w:t xml:space="preserve"> </w:t>
      </w:r>
      <w:r>
        <w:t xml:space="preserve">at the wrong depth (hepatocyte → midzonal or centrilobular hepatocyte; NK cell → hepatic pit</w:t>
      </w:r>
      <w:r>
        <w:t xml:space="preserve"> </w:t>
      </w:r>
      <w:r>
        <w:t xml:space="preserve">cell, the Cell Ontology term for a liver NK cell). The focused pass scores 0.63 exact, +0.05:</w:t>
      </w:r>
      <w:r>
        <w:t xml:space="preserve"> </w:t>
      </w:r>
      <w:r>
        <w:t xml:space="preserve">it is already right most of the time, so the ontology has little left to recover.</w:t>
      </w:r>
    </w:p>
    <w:p>
      <w:pPr>
        <w:pStyle w:val="BodyText"/>
      </w:pPr>
      <w:r>
        <w:drawing>
          <wp:inline>
            <wp:extent cx="5334000" cy="3641513"/>
            <wp:effectExtent b="0" l="0" r="0" t="0"/>
            <wp:docPr descr="per-class recall, blood and gut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 — the test split</w:t>
      </w:r>
      <w:r>
        <w:t xml:space="preserve"> </w:t>
      </w:r>
      <w:r>
        <w:t xml:space="preserve">is capped per label at 14–30 cells for all 86 classes, and the ten smallest classes score</w:t>
      </w:r>
      <w:r>
        <w:t xml:space="preserve"> </w:t>
      </w:r>
      <w:r>
        <w:t xml:space="preserve">slightly higher than the ten largest (0.865 vs 0.827).</w:t>
      </w:r>
    </w:p>
    <w:p>
      <w:pPr>
        <w:pStyle w:val="BodyText"/>
      </w:pPr>
      <w:r>
        <w:drawing>
          <wp:inline>
            <wp:extent cx="5334000" cy="3680721"/>
            <wp:effectExtent b="0" l="0" r="0" t="0"/>
            <wp:docPr descr="per-class recall, lung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0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on the 46-type lung split, drawn as in Figure S2. Methods</w:t>
      </w:r>
      <w:r>
        <w:t xml:space="preserve"> </w:t>
      </w:r>
      <w:r>
        <w:t xml:space="preserve">agree more here than on blood+gut: mean pairwise Spearman 0.65, median best-minus-worst 0.16.</w:t>
      </w:r>
    </w:p>
    <w:p>
      <w:pPr>
        <w:pStyle w:val="BodyText"/>
      </w:pPr>
      <w:r>
        <w:drawing>
          <wp:inline>
            <wp:extent cx="5334000" cy="3829399"/>
            <wp:effectExtent b="0" l="0" r="0" t="0"/>
            <wp:docPr descr="per-class recall, liver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36-type liver split, drawn as in Figure S2. Mean</w:t>
      </w:r>
      <w:r>
        <w:t xml:space="preserve"> </w:t>
      </w:r>
      <w:r>
        <w:t xml:space="preserve">pairwise Spearman is 0.66, but the median best-minus-worst gap is 0.43 — the widest</w:t>
      </w:r>
      <w:r>
        <w:t xml:space="preserve"> </w:t>
      </w:r>
      <w:r>
        <w:t xml:space="preserve">disagreement of the three splits, and a reminder that a high rank correlation between methods</w:t>
      </w:r>
      <w:r>
        <w:t xml:space="preserve"> </w:t>
      </w:r>
      <w:r>
        <w:t xml:space="preserve">still leaves large per-class differences.</w:t>
      </w:r>
    </w:p>
    <w:bookmarkEnd w:id="21"/>
    <w:bookmarkStart w:id="22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 Bold marks</w:t>
      </w:r>
      <w:r>
        <w:t xml:space="preserve"> </w:t>
      </w:r>
      <w:r>
        <w:t xml:space="preserve">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six benchmark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2026-08-10T20:24:39Z</dcterms:created>
  <dcterms:modified xsi:type="dcterms:W3CDTF">2026-08-10T20:24:39Z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