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and the test is worth stating plainly.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w:t>
      </w:r>
      <w:r>
        <w:t xml:space="preserve"> </w:t>
      </w:r>
      <w:r>
        <w:rPr>
          <w:b/>
          <w:bCs/>
        </w:rPr>
        <w:t xml:space="preserve">within Open Problems’ method set</w:t>
      </w:r>
      <w:r>
        <w:t xml:space="preserve">, on</w:t>
      </w:r>
      <w:r>
        <w:t xml:space="preserve"> </w:t>
      </w:r>
      <w:r>
        <w:t xml:space="preserve">controlled hardware, nothing beats actinn-jax on accuracy and cost at the same time.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 (per-run numbers in the</w:t>
      </w:r>
      <w:r>
        <w:t xml:space="preserve"> </w:t>
      </w:r>
      <w:hyperlink r:id="rId33">
        <w:r>
          <w:rPr>
            <w:rStyle w:val="Hyperlink"/>
          </w:rPr>
          <w:t xml:space="preserve">benchmark repository</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 for a reason worth recording.</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 its feature-selection step caps the</w:t>
      </w:r>
      <w:r>
        <w:t xml:space="preserve"> </w:t>
      </w:r>
      <w:r>
        <w:t xml:space="preserve">dense matrix at 20,000 genes,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2026-08-06T00:24:00Z</dcterms:created>
  <dcterms:modified xsi:type="dcterms:W3CDTF">2026-08-06T00:24:00Z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