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27.png" ContentType="image/png"/>
  <Override PartName="/word/media/rId19.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We report the benchmark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14"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(§3.8).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1"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bl>
    <w:p>
      <w:pPr>
        <w:pStyle w:val="BodyText"/>
      </w:pPr>
      <w:r>
        <w:t xml:space="preserve">Every method above except scPRINT runs the full accuracy/speed/memory matrix of §3.1–§3.2 on</w:t>
      </w:r>
      <w:r>
        <w:t xml:space="preserve"> </w:t>
      </w:r>
      <w:r>
        <w:t xml:space="preserve">all six datasets, so no method is compared on only a subset. Two are deliberately outside that</w:t>
      </w:r>
      <w:r>
        <w:t xml:space="preserve"> </w:t>
      </w:r>
      <w:r>
        <w:t xml:space="preserve">matrix, each for a stated reason:</w:t>
      </w:r>
      <w:r>
        <w:t xml:space="preserve"> </w:t>
      </w:r>
      <w:r>
        <w:t xml:space="preserve">-</w:t>
      </w:r>
      <w:r>
        <w:t xml:space="preserve"> </w:t>
      </w:r>
      <w:r>
        <w:rPr>
          <w:b/>
          <w:bCs/>
        </w:rPr>
        <w:t xml:space="preserve">scPRINT</w:t>
      </w:r>
      <w:r>
        <w:t xml:space="preserve"> </w:t>
      </w:r>
      <w:r>
        <w:t xml:space="preserve">is a zero-shot foundation model with a</w:t>
      </w:r>
      <w:r>
        <w:t xml:space="preserve"> </w:t>
      </w:r>
      <w:r>
        <w:rPr>
          <w:i/>
          <w:iCs/>
        </w:rPr>
        <w:t xml:space="preserve">fixed</w:t>
      </w:r>
      <w:r>
        <w:t xml:space="preserve"> </w:t>
      </w:r>
      <w:r>
        <w:t xml:space="preserve">Cell-Ontology label vocabulary;</w:t>
      </w:r>
      <w:r>
        <w:t xml:space="preserve"> </w:t>
      </w:r>
      <w:r>
        <w:t xml:space="preserve">it cannot emit labels outside that set and skips symbol-keyed datasets, so it is not a</w:t>
      </w:r>
      <w:r>
        <w:t xml:space="preserve"> </w:t>
      </w:r>
      <w:r>
        <w:t xml:space="preserve">drop-in reference classifier. We report it separately as the</w:t>
      </w:r>
      <w:r>
        <w:t xml:space="preserve"> </w:t>
      </w:r>
      <w:r>
        <w:t xml:space="preserve">“just use a foundation model”</w:t>
      </w:r>
      <w:r>
        <w:t xml:space="preserve"> </w:t>
      </w:r>
      <w:r>
        <w:t xml:space="preserve">reference point (§3.7, and externally in §3.8).</w:t>
      </w:r>
      <w:r>
        <w:t xml:space="preserve"> </w:t>
      </w:r>
      <w:r>
        <w:t xml:space="preserve">-</w:t>
      </w:r>
      <w:r>
        <w:t xml:space="preserve"> </w:t>
      </w: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1"/>
    <w:bookmarkStart w:id="12"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2"/>
    <w:bookmarkStart w:id="13" w:name="metrics-protocol"/>
    <w:p>
      <w:pPr>
        <w:pStyle w:val="Heading2"/>
      </w:pPr>
      <w:r>
        <w:t xml:space="preserve">Metrics &amp; protocol</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w:t>
      </w:r>
      <w:r>
        <w:t xml:space="preserve">(unweighted over classes, so</w:t>
      </w:r>
      <w:r>
        <w:t xml:space="preserve"> </w:t>
      </w:r>
      <w:r>
        <w:t xml:space="preserve">rare types count),</w:t>
      </w:r>
      <w:r>
        <w:t xml:space="preserve"> </w:t>
      </w:r>
      <w:r>
        <w:rPr>
          <w:b/>
          <w:bCs/>
        </w:rPr>
        <w:t xml:space="preserve">ontology-aware concordance</w:t>
      </w:r>
      <w:r>
        <w:t xml:space="preserve"> </w:t>
      </w:r>
      <w:r>
        <w:t xml:space="preserve">(a call is correct if it is the same</w:t>
      </w:r>
      <w:r>
        <w:t xml:space="preserve"> </w:t>
      </w:r>
      <w:r>
        <w:t xml:space="preserve">node, an ancestor, or a descendant of the truth in the Cell Ontology — credits</w:t>
      </w:r>
      <w:r>
        <w:t xml:space="preserve"> </w:t>
      </w:r>
      <w:r>
        <w:t xml:space="preserve">right-lineage-wrong-granularity calls; only where both ref and query carry CL ids),</w:t>
      </w:r>
      <w:r>
        <w:t xml:space="preserve"> </w:t>
      </w:r>
      <w:r>
        <w:rPr>
          <w:b/>
          <w:bCs/>
        </w:rPr>
        <w:t xml:space="preserve">fit time</w:t>
      </w:r>
      <w:r>
        <w:t xml:space="preserve">,</w:t>
      </w:r>
      <w:r>
        <w:t xml:space="preserve"> </w:t>
      </w:r>
      <w:r>
        <w:rPr>
          <w:b/>
          <w:bCs/>
        </w:rPr>
        <w:t xml:space="preserve">predict time</w:t>
      </w:r>
      <w:r>
        <w:t xml:space="preserve">,</w:t>
      </w:r>
      <w:r>
        <w:t xml:space="preserve"> </w:t>
      </w:r>
      <w:r>
        <w:rPr>
          <w:b/>
          <w:bCs/>
        </w:rPr>
        <w:t xml:space="preserve">peak RSS</w:t>
      </w:r>
      <w:r>
        <w:t xml:space="preserve">. Each method runs in its own venv via</w:t>
      </w:r>
      <w:r>
        <w:t xml:space="preserve"> </w:t>
      </w:r>
      <w:r>
        <w:t xml:space="preserve">subprocess isolation (</w:t>
      </w:r>
      <w:r>
        <w:rPr>
          <w:rStyle w:val="VerbatimChar"/>
        </w:rPr>
        <w:t xml:space="preserve">benchmark/runner.py</w:t>
      </w:r>
      <w:r>
        <w:t xml:space="preserve">); the driver (</w:t>
      </w:r>
      <w:r>
        <w:rPr>
          <w:rStyle w:val="VerbatimChar"/>
        </w:rPr>
        <w:t xml:space="preserve">benchmark/driver.py</w:t>
      </w:r>
      <w:r>
        <w:t xml:space="preserve">) builds</w:t>
      </w:r>
      <w:r>
        <w:t xml:space="preserve"> </w:t>
      </w:r>
      <w:r>
        <w:t xml:space="preserve">identical ref/query splits once per dataset and scores every method against them.</w:t>
      </w:r>
      <w:r>
        <w:t xml:space="preserve"> </w:t>
      </w:r>
      <w:r>
        <w:rPr>
          <w:b/>
          <w:bCs/>
        </w:rPr>
        <w:t xml:space="preserve">repeats = 3</w:t>
      </w:r>
      <w:r>
        <w:t xml:space="preserve"> </w:t>
      </w:r>
      <w:r>
        <w:t xml:space="preserve">(scPRINT: 1, near-deterministic and embed-dominated).</w:t>
      </w:r>
    </w:p>
    <w:p>
      <w:pPr>
        <w:pStyle w:val="BodyText"/>
      </w:pPr>
      <w:r>
        <w:rPr>
          <w:b/>
          <w:bCs/>
        </w:rPr>
        <w:t xml:space="preserve">Hardware</w:t>
      </w:r>
      <w:r>
        <w:t xml:space="preserve">: Apple Silicon (M-series), CPU for the classical/linear/correlation tiers and</w:t>
      </w:r>
      <w:r>
        <w:t xml:space="preserve"> </w:t>
      </w:r>
      <w:r>
        <w:t xml:space="preserve">actinn-jax; Apple MPS for the deep and foundation tiers. No discrete GPU, no cloud — the</w:t>
      </w:r>
      <w:r>
        <w:t xml:space="preserve"> </w:t>
      </w:r>
      <w:r>
        <w:t xml:space="preserve">regime the benchmark is about. Math-library threads are left uncapped (wall-clock as a</w:t>
      </w:r>
      <w:r>
        <w:t xml:space="preserve"> </w:t>
      </w:r>
      <w:r>
        <w:t xml:space="preserve">practitioner sees it); an optional thread cap is available for stricter reproducibility.</w:t>
      </w:r>
    </w:p>
    <w:bookmarkEnd w:id="13"/>
    <w:bookmarkEnd w:id="14"/>
    <w:bookmarkStart w:id="43" w:name="results"/>
    <w:p>
      <w:pPr>
        <w:pStyle w:val="Heading1"/>
      </w:pPr>
      <w:r>
        <w:t xml:space="preserve">Results</w:t>
      </w:r>
    </w:p>
    <w:bookmarkStart w:id="18" w:name="accuracy-across-datasets"/>
    <w:p>
      <w:pPr>
        <w:pStyle w:val="Heading2"/>
      </w:pPr>
      <w:r>
        <w:t xml:space="preserve">Accuracy across datasets</w:t>
      </w:r>
    </w:p>
    <w:p>
      <w:pPr>
        <w:pStyle w:val="CaptionedFigure"/>
      </w:pPr>
      <w:r>
        <w:drawing>
          <wp:inline>
            <wp:extent cx="5334000" cy="4154905"/>
            <wp:effectExtent b="0" l="0" r="0" t="0"/>
            <wp:docPr descr="Accuracy by method (rows) and dataset (columns), in-house panel." title="" id="16" name="Picture"/>
            <a:graphic>
              <a:graphicData uri="http://schemas.openxmlformats.org/drawingml/2006/picture">
                <pic:pic>
                  <pic:nvPicPr>
                    <pic:cNvPr descr="/Users/iandriver/Downloads/actinn-jax-benchmark/docs/figures/fig_accuracy_heatmap.png" id="17" name="Picture"/>
                    <pic:cNvPicPr>
                      <a:picLocks noChangeArrowheads="1" noChangeAspect="1"/>
                    </pic:cNvPicPr>
                  </pic:nvPicPr>
                  <pic:blipFill>
                    <a:blip r:embed="rId15"/>
                    <a:stretch>
                      <a:fillRect/>
                    </a:stretch>
                  </pic:blipFill>
                  <pic:spPr bwMode="auto">
                    <a:xfrm>
                      <a:off x="0" y="0"/>
                      <a:ext cx="5334000" cy="4154905"/>
                    </a:xfrm>
                    <a:prstGeom prst="rect">
                      <a:avLst/>
                    </a:prstGeom>
                    <a:noFill/>
                    <a:ln w="9525">
                      <a:noFill/>
                      <a:headEnd/>
                      <a:tailEnd/>
                    </a:ln>
                  </pic:spPr>
                </pic:pic>
              </a:graphicData>
            </a:graphic>
          </wp:inline>
        </w:drawing>
      </w:r>
    </w:p>
    <w:p>
      <w:pPr>
        <w:pStyle w:val="ImageCaption"/>
      </w:pPr>
      <w:r>
        <w:t xml:space="preserve">Accuracy by method (rows) and dataset (columns), in-house panel.</w:t>
      </w:r>
    </w:p>
    <w:p>
      <w:pPr>
        <w:pStyle w:val="BodyText"/>
      </w:pPr>
      <w:r>
        <w:t xml:space="preserve">Mean accuracy across the</w:t>
      </w:r>
      <w:r>
        <w:t xml:space="preserve"> </w:t>
      </w:r>
      <w:r>
        <w:rPr>
          <w:b/>
          <w:bCs/>
        </w:rPr>
        <w:t xml:space="preserve">five shared-vocabulary datasets</w:t>
      </w:r>
      <w:r>
        <w:t xml:space="preserve"> </w:t>
      </w:r>
      <w:r>
        <w:t xml:space="preserve">(lung_cross excluded — its</w:t>
      </w:r>
      <w:r>
        <w:t xml:space="preserve"> </w:t>
      </w:r>
      <w:r>
        <w:t xml:space="preserve">exact accuracy is a vocabulary artifact, see the † note below; means over all six are ~0.08</w:t>
      </w:r>
      <w:r>
        <w:t xml:space="preserve"> </w:t>
      </w:r>
      <w:r>
        <w:t xml:space="preserve">lower for every method with the identical ranking):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acc (5 datasets)</w:t>
            </w:r>
          </w:p>
        </w:tc>
        <w:tc>
          <w:tcPr/>
          <w:p>
            <w:pPr>
              <w:pStyle w:val="Compact"/>
            </w:pPr>
            <w:r>
              <w:t xml:space="preserve">mean macro-F1 (6)</w:t>
            </w:r>
          </w:p>
        </w:tc>
        <w:tc>
          <w:tcPr/>
          <w:p>
            <w:pPr>
              <w:pStyle w:val="Compact"/>
            </w:pPr>
            <w:r>
              <w:t xml:space="preserve">mean ontology (6)</w:t>
            </w:r>
          </w:p>
        </w:tc>
      </w:tr>
      <w:tr>
        <w:tc>
          <w:tcPr/>
          <w:p>
            <w:pPr>
              <w:pStyle w:val="Compact"/>
            </w:pPr>
            <w:r>
              <w:rPr>
                <w:b/>
                <w:bCs/>
              </w:rPr>
              <w:t xml:space="preserve">linear-anova-pca</w:t>
            </w:r>
          </w:p>
        </w:tc>
        <w:tc>
          <w:tcPr/>
          <w:p>
            <w:pPr>
              <w:pStyle w:val="Compact"/>
            </w:pPr>
            <w:r>
              <w:rPr>
                <w:b/>
                <w:bCs/>
              </w:rPr>
              <w:t xml:space="preserve">0.839</w:t>
            </w:r>
          </w:p>
        </w:tc>
        <w:tc>
          <w:tcPr/>
          <w:p>
            <w:pPr>
              <w:pStyle w:val="Compact"/>
            </w:pPr>
            <w:r>
              <w:t xml:space="preserve">0.699</w:t>
            </w:r>
          </w:p>
        </w:tc>
        <w:tc>
          <w:tcPr/>
          <w:p>
            <w:pPr>
              <w:pStyle w:val="Compact"/>
            </w:pPr>
            <w:r>
              <w:t xml:space="preserve">0.808</w:t>
            </w:r>
          </w:p>
        </w:tc>
      </w:tr>
      <w:tr>
        <w:tc>
          <w:tcPr/>
          <w:p>
            <w:pPr>
              <w:pStyle w:val="Compact"/>
            </w:pPr>
            <w:r>
              <w:t xml:space="preserve">scANVI</w:t>
            </w:r>
          </w:p>
        </w:tc>
        <w:tc>
          <w:tcPr/>
          <w:p>
            <w:pPr>
              <w:pStyle w:val="Compact"/>
            </w:pPr>
            <w:r>
              <w:t xml:space="preserve">0.835</w:t>
            </w:r>
          </w:p>
        </w:tc>
        <w:tc>
          <w:tcPr/>
          <w:p>
            <w:pPr>
              <w:pStyle w:val="Compact"/>
            </w:pPr>
            <w:r>
              <w:rPr>
                <w:b/>
                <w:bCs/>
              </w:rPr>
              <w:t xml:space="preserve">0.701</w:t>
            </w:r>
          </w:p>
        </w:tc>
        <w:tc>
          <w:tcPr/>
          <w:p>
            <w:pPr>
              <w:pStyle w:val="Compact"/>
            </w:pPr>
            <w:r>
              <w:rPr>
                <w:b/>
                <w:bCs/>
              </w:rPr>
              <w:t xml:space="preserve">0.812</w:t>
            </w:r>
          </w:p>
        </w:tc>
      </w:tr>
      <w:tr>
        <w:tc>
          <w:tcPr/>
          <w:p>
            <w:pPr>
              <w:pStyle w:val="Compact"/>
            </w:pPr>
            <w:r>
              <w:t xml:space="preserve">scArches</w:t>
            </w:r>
          </w:p>
        </w:tc>
        <w:tc>
          <w:tcPr/>
          <w:p>
            <w:pPr>
              <w:pStyle w:val="Compact"/>
            </w:pPr>
            <w:r>
              <w:t xml:space="preserve">0.833</w:t>
            </w:r>
          </w:p>
        </w:tc>
        <w:tc>
          <w:tcPr/>
          <w:p>
            <w:pPr>
              <w:pStyle w:val="Compact"/>
            </w:pPr>
            <w:r>
              <w:t xml:space="preserve">0.700</w:t>
            </w:r>
          </w:p>
        </w:tc>
        <w:tc>
          <w:tcPr/>
          <w:p>
            <w:pPr>
              <w:pStyle w:val="Compact"/>
            </w:pPr>
            <w:r>
              <w:t xml:space="preserve">0.809</w:t>
            </w:r>
          </w:p>
        </w:tc>
      </w:tr>
      <w:tr>
        <w:tc>
          <w:tcPr/>
          <w:p>
            <w:pPr>
              <w:pStyle w:val="Compact"/>
            </w:pPr>
            <w:r>
              <w:rPr>
                <w:b/>
                <w:bCs/>
              </w:rPr>
              <w:t xml:space="preserve">actinn-jax</w:t>
            </w:r>
          </w:p>
        </w:tc>
        <w:tc>
          <w:tcPr/>
          <w:p>
            <w:pPr>
              <w:pStyle w:val="Compact"/>
            </w:pPr>
            <w:r>
              <w:t xml:space="preserve">0.831</w:t>
            </w:r>
          </w:p>
        </w:tc>
        <w:tc>
          <w:tcPr/>
          <w:p>
            <w:pPr>
              <w:pStyle w:val="Compact"/>
            </w:pPr>
            <w:r>
              <w:t xml:space="preserve">0.683</w:t>
            </w:r>
          </w:p>
        </w:tc>
        <w:tc>
          <w:tcPr/>
          <w:p>
            <w:pPr>
              <w:pStyle w:val="Compact"/>
            </w:pPr>
            <w:r>
              <w:t xml:space="preserve">0.811</w:t>
            </w:r>
          </w:p>
        </w:tc>
      </w:tr>
      <w:tr>
        <w:tc>
          <w:tcPr/>
          <w:p>
            <w:pPr>
              <w:pStyle w:val="Compact"/>
            </w:pPr>
            <w:r>
              <w:t xml:space="preserve">CellTypist</w:t>
            </w:r>
          </w:p>
        </w:tc>
        <w:tc>
          <w:tcPr/>
          <w:p>
            <w:pPr>
              <w:pStyle w:val="Compact"/>
            </w:pPr>
            <w:r>
              <w:t xml:space="preserve">0.831</w:t>
            </w:r>
          </w:p>
        </w:tc>
        <w:tc>
          <w:tcPr/>
          <w:p>
            <w:pPr>
              <w:pStyle w:val="Compact"/>
            </w:pPr>
            <w:r>
              <w:t xml:space="preserve">0.697</w:t>
            </w:r>
          </w:p>
        </w:tc>
        <w:tc>
          <w:tcPr/>
          <w:p>
            <w:pPr>
              <w:pStyle w:val="Compact"/>
            </w:pPr>
            <w:r>
              <w:t xml:space="preserve">0.807</w:t>
            </w:r>
          </w:p>
        </w:tc>
      </w:tr>
      <w:tr>
        <w:tc>
          <w:tcPr/>
          <w:p>
            <w:pPr>
              <w:pStyle w:val="Compact"/>
            </w:pPr>
            <w:r>
              <w:t xml:space="preserve">SVM</w:t>
            </w:r>
          </w:p>
        </w:tc>
        <w:tc>
          <w:tcPr/>
          <w:p>
            <w:pPr>
              <w:pStyle w:val="Compact"/>
            </w:pPr>
            <w:r>
              <w:t xml:space="preserve">0.816</w:t>
            </w:r>
          </w:p>
        </w:tc>
        <w:tc>
          <w:tcPr/>
          <w:p>
            <w:pPr>
              <w:pStyle w:val="Compact"/>
            </w:pPr>
            <w:r>
              <w:t xml:space="preserve">0.688</w:t>
            </w:r>
          </w:p>
        </w:tc>
        <w:tc>
          <w:tcPr/>
          <w:p>
            <w:pPr>
              <w:pStyle w:val="Compact"/>
            </w:pPr>
            <w:r>
              <w:t xml:space="preserve">0.797</w:t>
            </w:r>
          </w:p>
        </w:tc>
      </w:tr>
      <w:tr>
        <w:tc>
          <w:tcPr/>
          <w:p>
            <w:pPr>
              <w:pStyle w:val="Compact"/>
            </w:pPr>
            <w:r>
              <w:t xml:space="preserve">ProtoCloud</w:t>
            </w:r>
          </w:p>
        </w:tc>
        <w:tc>
          <w:tcPr/>
          <w:p>
            <w:pPr>
              <w:pStyle w:val="Compact"/>
            </w:pPr>
            <w:r>
              <w:t xml:space="preserve">0.790</w:t>
            </w:r>
          </w:p>
        </w:tc>
        <w:tc>
          <w:tcPr/>
          <w:p>
            <w:pPr>
              <w:pStyle w:val="Compact"/>
            </w:pPr>
            <w:r>
              <w:t xml:space="preserve">0.649</w:t>
            </w:r>
          </w:p>
        </w:tc>
        <w:tc>
          <w:tcPr/>
          <w:p>
            <w:pPr>
              <w:pStyle w:val="Compact"/>
            </w:pPr>
            <w:r>
              <w:t xml:space="preserve">0.778</w:t>
            </w:r>
          </w:p>
        </w:tc>
      </w:tr>
      <w:tr>
        <w:tc>
          <w:tcPr/>
          <w:p>
            <w:pPr>
              <w:pStyle w:val="Compact"/>
            </w:pPr>
            <w:r>
              <w:t xml:space="preserve">SingleR</w:t>
            </w:r>
          </w:p>
        </w:tc>
        <w:tc>
          <w:tcPr/>
          <w:p>
            <w:pPr>
              <w:pStyle w:val="Compact"/>
            </w:pPr>
            <w:r>
              <w:t xml:space="preserve">0.770</w:t>
            </w:r>
          </w:p>
        </w:tc>
        <w:tc>
          <w:tcPr/>
          <w:p>
            <w:pPr>
              <w:pStyle w:val="Compact"/>
            </w:pPr>
            <w:r>
              <w:t xml:space="preserve">0.652</w:t>
            </w:r>
          </w:p>
        </w:tc>
        <w:tc>
          <w:tcPr/>
          <w:p>
            <w:pPr>
              <w:pStyle w:val="Compact"/>
            </w:pPr>
            <w:r>
              <w:t xml:space="preserve">0.750</w:t>
            </w:r>
          </w:p>
        </w:tc>
      </w:tr>
      <w:tr>
        <w:tc>
          <w:tcPr/>
          <w:p>
            <w:pPr>
              <w:pStyle w:val="Compact"/>
            </w:pPr>
            <w:r>
              <w:t xml:space="preserve">kNN</w:t>
            </w:r>
          </w:p>
        </w:tc>
        <w:tc>
          <w:tcPr/>
          <w:p>
            <w:pPr>
              <w:pStyle w:val="Compact"/>
            </w:pPr>
            <w:r>
              <w:t xml:space="preserve">0.770</w:t>
            </w:r>
          </w:p>
        </w:tc>
        <w:tc>
          <w:tcPr/>
          <w:p>
            <w:pPr>
              <w:pStyle w:val="Compact"/>
            </w:pPr>
            <w:r>
              <w:t xml:space="preserve">0.624</w:t>
            </w:r>
          </w:p>
        </w:tc>
        <w:tc>
          <w:tcPr/>
          <w:p>
            <w:pPr>
              <w:pStyle w:val="Compact"/>
            </w:pPr>
            <w:r>
              <w:t xml:space="preserve">0.769</w:t>
            </w:r>
          </w:p>
        </w:tc>
      </w:tr>
      <w:tr>
        <w:tc>
          <w:tcPr/>
          <w:p>
            <w:pPr>
              <w:pStyle w:val="Compact"/>
            </w:pPr>
            <w:r>
              <w:t xml:space="preserve">scTOP</w:t>
            </w:r>
          </w:p>
        </w:tc>
        <w:tc>
          <w:tcPr/>
          <w:p>
            <w:pPr>
              <w:pStyle w:val="Compact"/>
            </w:pPr>
            <w:r>
              <w:t xml:space="preserve">0.739</w:t>
            </w:r>
          </w:p>
        </w:tc>
        <w:tc>
          <w:tcPr/>
          <w:p>
            <w:pPr>
              <w:pStyle w:val="Compact"/>
            </w:pPr>
            <w:r>
              <w:t xml:space="preserve">0.619</w:t>
            </w:r>
          </w:p>
        </w:tc>
        <w:tc>
          <w:tcPr/>
          <w:p>
            <w:pPr>
              <w:pStyle w:val="Compact"/>
            </w:pPr>
            <w:r>
              <w:t xml:space="preserve">0.703</w:t>
            </w:r>
          </w:p>
        </w:tc>
      </w:tr>
      <w:tr>
        <w:tc>
          <w:tcPr/>
          <w:p>
            <w:pPr>
              <w:pStyle w:val="Compact"/>
            </w:pPr>
            <w:r>
              <w:t xml:space="preserve">scmap-cluster</w:t>
            </w:r>
          </w:p>
        </w:tc>
        <w:tc>
          <w:tcPr/>
          <w:p>
            <w:pPr>
              <w:pStyle w:val="Compact"/>
            </w:pPr>
            <w:r>
              <w:t xml:space="preserve">0.646</w:t>
            </w:r>
          </w:p>
        </w:tc>
        <w:tc>
          <w:tcPr/>
          <w:p>
            <w:pPr>
              <w:pStyle w:val="Compact"/>
            </w:pPr>
            <w:r>
              <w:t xml:space="preserve">0.550</w:t>
            </w:r>
          </w:p>
        </w:tc>
        <w:tc>
          <w:tcPr/>
          <w:p>
            <w:pPr>
              <w:pStyle w:val="Compact"/>
            </w:pPr>
            <w:r>
              <w:t xml:space="preserve">0.771</w:t>
            </w:r>
          </w:p>
        </w:tc>
      </w:tr>
    </w:tbl>
    <w:p>
      <w:pPr>
        <w:pStyle w:val="BodyText"/>
      </w:pPr>
      <w:r>
        <w:t xml:space="preserve">The top of the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18"/>
    <w:bookmarkStart w:id="22" w:name="speed-and-memory"/>
    <w:p>
      <w:pPr>
        <w:pStyle w:val="Heading2"/>
      </w:pPr>
      <w:r>
        <w:t xml:space="preserve">Speed and memory</w:t>
      </w:r>
    </w:p>
    <w:p>
      <w:pPr>
        <w:pStyle w:val="CaptionedFigure"/>
      </w:pPr>
      <w:r>
        <w:drawing>
          <wp:inline>
            <wp:extent cx="5334000" cy="1639186"/>
            <wp:effectExtent b="0" l="0" r="0" t="0"/>
            <wp:docPr descr="Per-query inference time and peak memory by method (in-house panel)." title="" id="20" name="Picture"/>
            <a:graphic>
              <a:graphicData uri="http://schemas.openxmlformats.org/drawingml/2006/picture">
                <pic:pic>
                  <pic:nvPicPr>
                    <pic:cNvPr descr="/Users/iandriver/Downloads/actinn-jax-benchmark/docs/figures/fig_speed_memory.png" id="21" name="Picture"/>
                    <pic:cNvPicPr>
                      <a:picLocks noChangeArrowheads="1" noChangeAspect="1"/>
                    </pic:cNvPicPr>
                  </pic:nvPicPr>
                  <pic:blipFill>
                    <a:blip r:embed="rId19"/>
                    <a:stretch>
                      <a:fillRect/>
                    </a:stretch>
                  </pic:blipFill>
                  <pic:spPr bwMode="auto">
                    <a:xfrm>
                      <a:off x="0" y="0"/>
                      <a:ext cx="5334000" cy="1639186"/>
                    </a:xfrm>
                    <a:prstGeom prst="rect">
                      <a:avLst/>
                    </a:prstGeom>
                    <a:noFill/>
                    <a:ln w="9525">
                      <a:noFill/>
                      <a:headEnd/>
                      <a:tailEnd/>
                    </a:ln>
                  </pic:spPr>
                </pic:pic>
              </a:graphicData>
            </a:graphic>
          </wp:inline>
        </w:drawing>
      </w:r>
    </w:p>
    <w:p>
      <w:pPr>
        <w:pStyle w:val="ImageCaption"/>
      </w:pPr>
      <w:r>
        <w:t xml:space="preserve">Per-query inference time and peak memory by method (in-house panel).</w:t>
      </w:r>
    </w:p>
    <w:p>
      <w:pPr>
        <w:pStyle w:val="BodyText"/>
      </w:pPr>
      <w:r>
        <w:t xml:space="preserve">The accuracy tie hides a two-order-of-magnitude spread in cost. Mean per query across</w:t>
      </w:r>
      <w:r>
        <w:t xml:space="preserve"> </w:t>
      </w:r>
      <w:r>
        <w:t xml:space="preserve">datasets: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fit (s)</w:t>
            </w:r>
          </w:p>
        </w:tc>
        <w:tc>
          <w:tcPr/>
          <w:p>
            <w:pPr>
              <w:pStyle w:val="Compact"/>
            </w:pPr>
            <w:r>
              <w:rPr>
                <w:b/>
                <w:bCs/>
              </w:rPr>
              <w:t xml:space="preserve">predict (s)</w:t>
            </w:r>
          </w:p>
        </w:tc>
        <w:tc>
          <w:tcPr/>
          <w:p>
            <w:pPr>
              <w:pStyle w:val="Compact"/>
            </w:pPr>
            <w:r>
              <w:t xml:space="preserve">peak mem (MB)</w:t>
            </w:r>
          </w:p>
        </w:tc>
      </w:tr>
      <w:tr>
        <w:tc>
          <w:tcPr/>
          <w:p>
            <w:pPr>
              <w:pStyle w:val="Compact"/>
            </w:pPr>
            <w:r>
              <w:t xml:space="preserve">SVM</w:t>
            </w:r>
          </w:p>
        </w:tc>
        <w:tc>
          <w:tcPr/>
          <w:p>
            <w:pPr>
              <w:pStyle w:val="Compact"/>
            </w:pPr>
            <w:r>
              <w:t xml:space="preserve">24.9</w:t>
            </w:r>
          </w:p>
        </w:tc>
        <w:tc>
          <w:tcPr/>
          <w:p>
            <w:pPr>
              <w:pStyle w:val="Compact"/>
            </w:pPr>
            <w:r>
              <w:rPr>
                <w:b/>
                <w:bCs/>
              </w:rPr>
              <w:t xml:space="preserve">0.10</w:t>
            </w:r>
          </w:p>
        </w:tc>
        <w:tc>
          <w:tcPr/>
          <w:p>
            <w:pPr>
              <w:pStyle w:val="Compact"/>
            </w:pPr>
            <w:r>
              <w:t xml:space="preserve">1480</w:t>
            </w:r>
          </w:p>
        </w:tc>
      </w:tr>
      <w:tr>
        <w:tc>
          <w:tcPr/>
          <w:p>
            <w:pPr>
              <w:pStyle w:val="Compact"/>
            </w:pPr>
            <w:r>
              <w:t xml:space="preserve">kNN</w:t>
            </w:r>
          </w:p>
        </w:tc>
        <w:tc>
          <w:tcPr/>
          <w:p>
            <w:pPr>
              <w:pStyle w:val="Compact"/>
            </w:pPr>
            <w:r>
              <w:t xml:space="preserve">2.3</w:t>
            </w:r>
          </w:p>
        </w:tc>
        <w:tc>
          <w:tcPr/>
          <w:p>
            <w:pPr>
              <w:pStyle w:val="Compact"/>
            </w:pPr>
            <w:r>
              <w:rPr>
                <w:b/>
                <w:bCs/>
              </w:rPr>
              <w:t xml:space="preserve">0.24</w:t>
            </w:r>
          </w:p>
        </w:tc>
        <w:tc>
          <w:tcPr/>
          <w:p>
            <w:pPr>
              <w:pStyle w:val="Compact"/>
            </w:pPr>
            <w:r>
              <w:t xml:space="preserve">1546</w:t>
            </w:r>
          </w:p>
        </w:tc>
      </w:tr>
      <w:tr>
        <w:tc>
          <w:tcPr/>
          <w:p>
            <w:pPr>
              <w:pStyle w:val="Compact"/>
            </w:pPr>
            <w:r>
              <w:rPr>
                <w:b/>
                <w:bCs/>
              </w:rPr>
              <w:t xml:space="preserve">linear-anova-pca</w:t>
            </w:r>
          </w:p>
        </w:tc>
        <w:tc>
          <w:tcPr/>
          <w:p>
            <w:pPr>
              <w:pStyle w:val="Compact"/>
            </w:pPr>
            <w:r>
              <w:rPr>
                <w:b/>
                <w:bCs/>
              </w:rPr>
              <w:t xml:space="preserve">4.0</w:t>
            </w:r>
          </w:p>
        </w:tc>
        <w:tc>
          <w:tcPr/>
          <w:p>
            <w:pPr>
              <w:pStyle w:val="Compact"/>
            </w:pPr>
            <w:r>
              <w:rPr>
                <w:b/>
                <w:bCs/>
              </w:rPr>
              <w:t xml:space="preserve">0.35</w:t>
            </w:r>
          </w:p>
        </w:tc>
        <w:tc>
          <w:tcPr/>
          <w:p>
            <w:pPr>
              <w:pStyle w:val="Compact"/>
            </w:pPr>
            <w:r>
              <w:t xml:space="preserve">4403</w:t>
            </w:r>
          </w:p>
        </w:tc>
      </w:tr>
      <w:tr>
        <w:tc>
          <w:tcPr/>
          <w:p>
            <w:pPr>
              <w:pStyle w:val="Compact"/>
            </w:pPr>
            <w:r>
              <w:rPr>
                <w:b/>
                <w:bCs/>
              </w:rPr>
              <w:t xml:space="preserve">actinn-jax</w:t>
            </w:r>
          </w:p>
        </w:tc>
        <w:tc>
          <w:tcPr/>
          <w:p>
            <w:pPr>
              <w:pStyle w:val="Compact"/>
            </w:pPr>
            <w:r>
              <w:t xml:space="preserve">16.0</w:t>
            </w:r>
          </w:p>
        </w:tc>
        <w:tc>
          <w:tcPr/>
          <w:p>
            <w:pPr>
              <w:pStyle w:val="Compact"/>
            </w:pPr>
            <w:r>
              <w:rPr>
                <w:b/>
                <w:bCs/>
              </w:rPr>
              <w:t xml:space="preserve">0.37</w:t>
            </w:r>
          </w:p>
        </w:tc>
        <w:tc>
          <w:tcPr/>
          <w:p>
            <w:pPr>
              <w:pStyle w:val="Compact"/>
            </w:pPr>
            <w:r>
              <w:t xml:space="preserve">2145</w:t>
            </w:r>
          </w:p>
        </w:tc>
      </w:tr>
      <w:tr>
        <w:tc>
          <w:tcPr/>
          <w:p>
            <w:pPr>
              <w:pStyle w:val="Compact"/>
            </w:pPr>
            <w:r>
              <w:t xml:space="preserve">CellTypist</w:t>
            </w:r>
          </w:p>
        </w:tc>
        <w:tc>
          <w:tcPr/>
          <w:p>
            <w:pPr>
              <w:pStyle w:val="Compact"/>
            </w:pPr>
            <w:r>
              <w:t xml:space="preserve">27.0</w:t>
            </w:r>
          </w:p>
        </w:tc>
        <w:tc>
          <w:tcPr/>
          <w:p>
            <w:pPr>
              <w:pStyle w:val="Compact"/>
            </w:pPr>
            <w:r>
              <w:rPr>
                <w:b/>
                <w:bCs/>
              </w:rPr>
              <w:t xml:space="preserve">0.63</w:t>
            </w:r>
          </w:p>
        </w:tc>
        <w:tc>
          <w:tcPr/>
          <w:p>
            <w:pPr>
              <w:pStyle w:val="Compact"/>
            </w:pPr>
            <w:r>
              <w:t xml:space="preserve">1661</w:t>
            </w:r>
          </w:p>
        </w:tc>
      </w:tr>
      <w:tr>
        <w:tc>
          <w:tcPr/>
          <w:p>
            <w:pPr>
              <w:pStyle w:val="Compact"/>
            </w:pPr>
            <w:r>
              <w:t xml:space="preserve">scTOP</w:t>
            </w:r>
          </w:p>
        </w:tc>
        <w:tc>
          <w:tcPr/>
          <w:p>
            <w:pPr>
              <w:pStyle w:val="Compact"/>
            </w:pPr>
            <w:r>
              <w:t xml:space="preserve">1.0</w:t>
            </w:r>
          </w:p>
        </w:tc>
        <w:tc>
          <w:tcPr/>
          <w:p>
            <w:pPr>
              <w:pStyle w:val="Compact"/>
            </w:pPr>
            <w:r>
              <w:t xml:space="preserve">1.08</w:t>
            </w:r>
          </w:p>
        </w:tc>
        <w:tc>
          <w:tcPr/>
          <w:p>
            <w:pPr>
              <w:pStyle w:val="Compact"/>
            </w:pPr>
            <w:r>
              <w:t xml:space="preserve">1928</w:t>
            </w:r>
          </w:p>
        </w:tc>
      </w:tr>
      <w:tr>
        <w:tc>
          <w:tcPr/>
          <w:p>
            <w:pPr>
              <w:pStyle w:val="Compact"/>
            </w:pPr>
            <w:r>
              <w:t xml:space="preserve">ProtoCloud</w:t>
            </w:r>
          </w:p>
        </w:tc>
        <w:tc>
          <w:tcPr/>
          <w:p>
            <w:pPr>
              <w:pStyle w:val="Compact"/>
            </w:pPr>
            <w:r>
              <w:t xml:space="preserve">145.9</w:t>
            </w:r>
          </w:p>
        </w:tc>
        <w:tc>
          <w:tcPr/>
          <w:p>
            <w:pPr>
              <w:pStyle w:val="Compact"/>
            </w:pPr>
            <w:r>
              <w:t xml:space="preserve">1.42</w:t>
            </w:r>
          </w:p>
        </w:tc>
        <w:tc>
          <w:tcPr/>
          <w:p>
            <w:pPr>
              <w:pStyle w:val="Compact"/>
            </w:pPr>
            <w:r>
              <w:t xml:space="preserve">1895</w:t>
            </w:r>
          </w:p>
        </w:tc>
      </w:tr>
      <w:tr>
        <w:tc>
          <w:tcPr/>
          <w:p>
            <w:pPr>
              <w:pStyle w:val="Compact"/>
            </w:pPr>
            <w:r>
              <w:t xml:space="preserve">scmap-cluster</w:t>
            </w:r>
          </w:p>
        </w:tc>
        <w:tc>
          <w:tcPr/>
          <w:p>
            <w:pPr>
              <w:pStyle w:val="Compact"/>
            </w:pPr>
            <w:r>
              <w:t xml:space="preserve">0.2</w:t>
            </w:r>
          </w:p>
        </w:tc>
        <w:tc>
          <w:tcPr/>
          <w:p>
            <w:pPr>
              <w:pStyle w:val="Compact"/>
            </w:pPr>
            <w:r>
              <w:t xml:space="preserve">9.0</w:t>
            </w:r>
          </w:p>
        </w:tc>
        <w:tc>
          <w:tcPr/>
          <w:p>
            <w:pPr>
              <w:pStyle w:val="Compact"/>
            </w:pPr>
            <w:r>
              <w:t xml:space="preserve">8550</w:t>
            </w:r>
          </w:p>
        </w:tc>
      </w:tr>
      <w:tr>
        <w:tc>
          <w:tcPr/>
          <w:p>
            <w:pPr>
              <w:pStyle w:val="Compact"/>
            </w:pPr>
            <w:r>
              <w:t xml:space="preserve">scArches</w:t>
            </w:r>
          </w:p>
        </w:tc>
        <w:tc>
          <w:tcPr/>
          <w:p>
            <w:pPr>
              <w:pStyle w:val="Compact"/>
            </w:pPr>
            <w:r>
              <w:t xml:space="preserve">47.7</w:t>
            </w:r>
          </w:p>
        </w:tc>
        <w:tc>
          <w:tcPr/>
          <w:p>
            <w:pPr>
              <w:pStyle w:val="Compact"/>
            </w:pPr>
            <w:r>
              <w:t xml:space="preserve">18.7</w:t>
            </w:r>
          </w:p>
        </w:tc>
        <w:tc>
          <w:tcPr/>
          <w:p>
            <w:pPr>
              <w:pStyle w:val="Compact"/>
            </w:pPr>
            <w:r>
              <w:t xml:space="preserve">1783</w:t>
            </w:r>
          </w:p>
        </w:tc>
      </w:tr>
      <w:tr>
        <w:tc>
          <w:tcPr/>
          <w:p>
            <w:pPr>
              <w:pStyle w:val="Compact"/>
            </w:pPr>
            <w:r>
              <w:t xml:space="preserve">SingleR</w:t>
            </w:r>
          </w:p>
        </w:tc>
        <w:tc>
          <w:tcPr/>
          <w:p>
            <w:pPr>
              <w:pStyle w:val="Compact"/>
            </w:pPr>
            <w:r>
              <w:t xml:space="preserve">0.2</w:t>
            </w:r>
          </w:p>
        </w:tc>
        <w:tc>
          <w:tcPr/>
          <w:p>
            <w:pPr>
              <w:pStyle w:val="Compact"/>
            </w:pPr>
            <w:r>
              <w:t xml:space="preserve">42.4</w:t>
            </w:r>
          </w:p>
        </w:tc>
        <w:tc>
          <w:tcPr/>
          <w:p>
            <w:pPr>
              <w:pStyle w:val="Compact"/>
            </w:pPr>
            <w:r>
              <w:t xml:space="preserve">3621</w:t>
            </w:r>
          </w:p>
        </w:tc>
      </w:tr>
      <w:tr>
        <w:tc>
          <w:tcPr/>
          <w:p>
            <w:pPr>
              <w:pStyle w:val="Compact"/>
            </w:pPr>
            <w:r>
              <w:t xml:space="preserve">scANVI</w:t>
            </w:r>
          </w:p>
        </w:tc>
        <w:tc>
          <w:tcPr/>
          <w:p>
            <w:pPr>
              <w:pStyle w:val="Compact"/>
            </w:pPr>
            <w:r>
              <w:t xml:space="preserve">0.0*</w:t>
            </w:r>
          </w:p>
        </w:tc>
        <w:tc>
          <w:tcPr/>
          <w:p>
            <w:pPr>
              <w:pStyle w:val="Compact"/>
            </w:pPr>
            <w:r>
              <w:t xml:space="preserve">73.1</w:t>
            </w:r>
          </w:p>
        </w:tc>
        <w:tc>
          <w:tcPr/>
          <w:p>
            <w:pPr>
              <w:pStyle w:val="Compact"/>
            </w:pPr>
            <w:r>
              <w:t xml:space="preserve">2118</w:t>
            </w:r>
          </w:p>
        </w:tc>
      </w:tr>
    </w:tbl>
    <w:p>
      <w:pPr>
        <w:pStyle w:val="BodyText"/>
      </w:pPr>
      <w:r>
        <w:t xml:space="preserve">(*scANVI does most of its work in a single train+predict pass, attributed to predict.) Five</w:t>
      </w:r>
      <w:r>
        <w:t xml:space="preserve"> </w:t>
      </w:r>
      <w:r>
        <w:t xml:space="preserve">methods — SVM, kNN, the linear pipeline, actinn-jax, CellTypist — predict in well under a</w:t>
      </w:r>
      <w:r>
        <w:t xml:space="preserve"> </w:t>
      </w:r>
      <w:r>
        <w:t xml:space="preserve">second; scTOP and ProtoCloud are ~1–1.4 s; the deep/correlation tiers are 25–200× slower.</w:t>
      </w:r>
      <w:r>
        <w:t xml:space="preserve"> </w:t>
      </w:r>
      <w:r>
        <w:t xml:space="preserve">actinn-jax predicts in</w:t>
      </w:r>
      <w:r>
        <w:t xml:space="preserve"> </w:t>
      </w:r>
      <w:r>
        <w:rPr>
          <w:b/>
          <w:bCs/>
        </w:rPr>
        <w:t xml:space="preserve">0.37 s vs. scANVI’s 73 s at statistically tied accuracy</w:t>
      </w:r>
      <w:r>
        <w:t xml:space="preserve"> </w:t>
      </w:r>
      <w:r>
        <w:t xml:space="preserve">(~195×),</w:t>
      </w:r>
      <w:r>
        <w:t xml:space="preserve"> </w:t>
      </w:r>
      <w:r>
        <w:t xml:space="preserve">and is far lighter than the memory-heavy tiers (scmap 8.5 GB, SingleR 3.6 GB).</w:t>
      </w:r>
    </w:p>
    <w:bookmarkEnd w:id="22"/>
    <w:bookmarkStart w:id="26"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24" name="Picture"/>
            <a:graphic>
              <a:graphicData uri="http://schemas.openxmlformats.org/drawingml/2006/picture">
                <pic:pic>
                  <pic:nvPicPr>
                    <pic:cNvPr descr="/Users/iandriver/Downloads/actinn-jax-benchmark/docs/figures/fig_pareto_liver_intra.png" id="25" name="Picture"/>
                    <pic:cNvPicPr>
                      <a:picLocks noChangeArrowheads="1" noChangeAspect="1"/>
                    </pic:cNvPicPr>
                  </pic:nvPicPr>
                  <pic:blipFill>
                    <a:blip r:embed="rId23"/>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§3.4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26"/>
    <w:bookmarkStart w:id="30"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28" name="Picture"/>
            <a:graphic>
              <a:graphicData uri="http://schemas.openxmlformats.org/drawingml/2006/picture">
                <pic:pic>
                  <pic:nvPicPr>
                    <pic:cNvPr descr="/Users/iandriver/Downloads/actinn-jax-benchmark/docs/figures/fig_scaling.png" id="29" name="Picture"/>
                    <pic:cNvPicPr>
                      <a:picLocks noChangeArrowheads="1" noChangeAspect="1"/>
                    </pic:cNvPicPr>
                  </pic:nvPicPr>
                  <pic:blipFill>
                    <a:blip r:embed="rId27"/>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0"/>
    <w:bookmarkStart w:id="31" w:name="the-largerefined-annotation-workflow"/>
    <w:p>
      <w:pPr>
        <w:pStyle w:val="Heading2"/>
      </w:pPr>
      <w:r>
        <w:t xml:space="preserve">The large→refined annotation workflow</w:t>
      </w:r>
    </w:p>
    <w:p>
      <w:pPr>
        <w:pStyle w:val="FirstParagraph"/>
      </w:pPr>
      <w:r>
        <w:t xml:space="preserve">What actinn-jax is built around is not a single classifier but a</w:t>
      </w:r>
      <w:r>
        <w:t xml:space="preserve"> </w:t>
      </w:r>
      <w:r>
        <w:rPr>
          <w:b/>
          <w:bCs/>
        </w:rPr>
        <w:t xml:space="preserve">two-tier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(§3.2, §3.4), the whole workflow runs on a laptop.</w:t>
      </w:r>
    </w:p>
    <w:p>
      <w:pPr>
        <w:pStyle w:val="BodyText"/>
      </w:pPr>
      <w:r>
        <w:rPr>
          <w:b/>
          <w:bCs/>
        </w:rPr>
        <w:t xml:space="preserve">Tier 1 — broad,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§3.6). This is the</w:t>
      </w:r>
      <w:r>
        <w:t xml:space="preserve"> </w:t>
      </w:r>
      <w:r>
        <w:t xml:space="preserve">“what am I looking at”</w:t>
      </w:r>
      <w:r>
        <w:t xml:space="preserve"> </w:t>
      </w:r>
      <w:r>
        <w:t xml:space="preserve">pass — broad coverage, deliberately not fine-grained.</w:t>
      </w:r>
    </w:p>
    <w:p>
      <w:pPr>
        <w:pStyle w:val="BodyText"/>
      </w:pPr>
      <w:r>
        <w:rPr>
          <w:b/>
          <w:bCs/>
        </w:rPr>
        <w:t xml:space="preserve">Tier 2 — refined, tissue-focused.</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as tier 1 lifts the broad pass</w:t>
      </w:r>
      <w:r>
        <w:t xml:space="preserve"> </w:t>
      </w:r>
      <w:r>
        <w:t xml:space="preserve">(ontology 0.380 vs 0.338 for our own broad model) but changes nothing downstream. Using that</w:t>
      </w:r>
      <w:r>
        <w:t xml:space="preserve"> </w:t>
      </w:r>
      <w:r>
        <w:t xml:space="preserve">tier-1 call to</w:t>
      </w:r>
      <w:r>
        <w:t xml:space="preserve"> </w:t>
      </w:r>
      <w:r>
        <w:rPr>
          <w:i/>
          <w:iCs/>
        </w:rPr>
        <w:t xml:space="preserve">narrow</w:t>
      </w:r>
      <w:r>
        <w:t xml:space="preserve"> </w:t>
      </w:r>
      <w:r>
        <w:t xml:space="preserve">tier 2’s classes — the zero-retrain masking actinn-jax ships — makes</w:t>
      </w:r>
      <w:r>
        <w:t xml:space="preserve"> </w:t>
      </w:r>
      <w:r>
        <w:t xml:space="preserve">the result</w:t>
      </w:r>
      <w:r>
        <w:t xml:space="preserve"> </w:t>
      </w:r>
      <w:r>
        <w:rPr>
          <w:b/>
          <w:bCs/>
        </w:rPr>
        <w:t xml:space="preserve">worse</w:t>
      </w:r>
      <w:r>
        <w:t xml:space="preserve">, 0.731 → 0.708: tier 1’s coarse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tier 2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31"/>
    <w:bookmarkStart w:id="32"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§3.5.</w:t>
      </w:r>
    </w:p>
    <w:bookmarkEnd w:id="32"/>
    <w:bookmarkStart w:id="33"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33"/>
    <w:bookmarkStart w:id="42"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34">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§3.7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§3.2),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35">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37" name="Picture"/>
            <a:graphic>
              <a:graphicData uri="http://schemas.openxmlformats.org/drawingml/2006/picture">
                <pic:pic>
                  <pic:nvPicPr>
                    <pic:cNvPr descr="/Users/iandriver/Downloads/actinn-jax-benchmark/docs/figures/gene_budget_curve.png" id="38" name="Picture"/>
                    <pic:cNvPicPr>
                      <a:picLocks noChangeArrowheads="1" noChangeAspect="1"/>
                    </pic:cNvPicPr>
                  </pic:nvPicPr>
                  <pic:blipFill>
                    <a:blip r:embed="rId36"/>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40" name="Picture"/>
            <a:graphic>
              <a:graphicData uri="http://schemas.openxmlformats.org/drawingml/2006/picture">
                <pic:pic>
                  <pic:nvPicPr>
                    <pic:cNvPr descr="/Users/iandriver/Downloads/actinn-jax-benchmark/docs/figures/gene_budget_signals.png" id="41" name="Picture"/>
                    <pic:cNvPicPr>
                      <a:picLocks noChangeArrowheads="1" noChangeAspect="1"/>
                    </pic:cNvPicPr>
                  </pic:nvPicPr>
                  <pic:blipFill>
                    <a:blip r:embed="rId39"/>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42"/>
    <w:bookmarkEnd w:id="43"/>
    <w:bookmarkStart w:id="44"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§3.2),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(§3.4)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(§3.5):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(§3.8),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(§3.8). Their further result that simple methods do</w:t>
      </w:r>
      <w:r>
        <w:t xml:space="preserve"> </w:t>
      </w:r>
      <w:r>
        <w:rPr>
          <w:i/>
          <w:iCs/>
        </w:rPr>
        <w:t xml:space="preserve">best</w:t>
      </w:r>
      <w:r>
        <w:t xml:space="preserve"> </w:t>
      </w:r>
      <w:r>
        <w:t xml:space="preserve">out-of-distribution — novel cell types and unseen organisms — also rhymes with the</w:t>
      </w:r>
      <w:r>
        <w:t xml:space="preserve"> </w:t>
      </w:r>
      <w:r>
        <w:t xml:space="preserve">rejection behavior we depend on (§3.6).</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calibration</w:t>
      </w:r>
      <w:r>
        <w:t xml:space="preserve"> </w:t>
      </w:r>
      <w:r>
        <w:t xml:space="preserve">measured at ECE 0.0044, running at ~1,000 cells/s on a laptop. It is better resourced than</w:t>
      </w:r>
      <w:r>
        <w:t xml:space="preserve"> </w:t>
      </w:r>
      <w:r>
        <w:t xml:space="preserve">our shipped reference and we do not claim to improve on it. The part of our workflow it</w:t>
      </w:r>
      <w:r>
        <w:t xml:space="preserve"> </w:t>
      </w:r>
      <w:r>
        <w:t xml:space="preserve">cannot perform is the</w:t>
      </w:r>
      <w:r>
        <w:t xml:space="preserve"> </w:t>
      </w:r>
      <w:r>
        <w:rPr>
          <w:b/>
          <w:bCs/>
        </w:rPr>
        <w:t xml:space="preserve">hand-off</w:t>
      </w:r>
      <w:r>
        <w:t xml:space="preserve">: its typology is fixed, so it cannot re-annotate into a</w:t>
      </w:r>
      <w:r>
        <w:t xml:space="preserve"> </w:t>
      </w:r>
      <w:r>
        <w:t xml:space="preserve">user’s own focused label set (the HLiCA liver reference, cross-study 0.23/0.58 → 0.72/0.86)</w:t>
      </w:r>
      <w:r>
        <w:t xml:space="preserve"> </w:t>
      </w:r>
      <w:r>
        <w:t xml:space="preserve">or resolve states below a leaf (hepatocyte zonation). ProtoCloud likewise provides</w:t>
      </w:r>
      <w:r>
        <w:t xml:space="preserve"> </w:t>
      </w:r>
      <w:r>
        <w:t xml:space="preserve">uncertainty, gene attribution and a refinement path (fine-tuning a pretrained model). What</w:t>
      </w:r>
      <w:r>
        <w:t xml:space="preserve"> </w:t>
      </w:r>
      <w:r>
        <w:t xml:space="preserve">survives as distinct to actinn-jax is therefore not the broad reference but</w:t>
      </w:r>
      <w:r>
        <w:t xml:space="preserve"> </w:t>
      </w:r>
      <w:r>
        <w:rPr>
          <w:b/>
          <w:bCs/>
        </w:rPr>
        <w:t xml:space="preserve">refinement</w:t>
      </w:r>
      <w:r>
        <w:rPr>
          <w:b/>
          <w:bCs/>
        </w:rPr>
        <w:t xml:space="preserve"> </w:t>
      </w:r>
      <w:r>
        <w:rPr>
          <w:b/>
          <w:bCs/>
        </w:rPr>
        <w:t xml:space="preserve">into label sets no pretrained model carries</w:t>
      </w:r>
      <w:r>
        <w:t xml:space="preserve">, at a cost that keeps the chain on a laptop.</w:t>
      </w:r>
    </w:p>
    <w:bookmarkEnd w:id="44"/>
    <w:bookmarkStart w:id="45" w:name="limitations"/>
    <w:p>
      <w:pPr>
        <w:pStyle w:val="Heading1"/>
      </w:pPr>
      <w:r>
        <w:t xml:space="preserve">Limitations</w:t>
      </w:r>
    </w:p>
    <w:p>
      <w:pPr>
        <w:pStyle w:val="Compact"/>
        <w:numPr>
          <w:ilvl w:val="0"/>
          <w:numId w:val="1001"/>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§3.8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1"/>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(§3.8)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1"/>
        </w:numPr>
      </w:pPr>
      <w:r>
        <w:t xml:space="preserve">Subsampled references (to keep the matrix tractable); the scaling section characterizes</w:t>
      </w:r>
      <w:r>
        <w:t xml:space="preserve"> </w:t>
      </w:r>
      <w:r>
        <w:t xml:space="preserve">the size dependence directly.</w:t>
      </w:r>
    </w:p>
    <w:p>
      <w:pPr>
        <w:pStyle w:val="Compact"/>
        <w:numPr>
          <w:ilvl w:val="0"/>
          <w:numId w:val="1001"/>
        </w:numPr>
      </w:pPr>
      <w:r>
        <w:t xml:space="preserve">Human only; six datasets per benchmark; GPU foundation models beyond scPRINT/UCE (scGPT,</w:t>
      </w:r>
      <w:r>
        <w:t xml:space="preserve"> </w:t>
      </w:r>
      <w:r>
        <w:t xml:space="preserve">Geneformer, popV) not run locally.</w:t>
      </w:r>
    </w:p>
    <w:p>
      <w:pPr>
        <w:pStyle w:val="Compact"/>
        <w:numPr>
          <w:ilvl w:val="0"/>
          <w:numId w:val="1001"/>
        </w:numPr>
      </w:pPr>
      <w:r>
        <w:t xml:space="preserve">actinn-jax needs more cells/type than linear methods to reach parity (§3.1); on very small</w:t>
      </w:r>
      <w:r>
        <w:t xml:space="preserve"> </w:t>
      </w:r>
      <w:r>
        <w:t xml:space="preserve">references it trails.</w:t>
      </w:r>
    </w:p>
    <w:p>
      <w:pPr>
        <w:pStyle w:val="Compact"/>
        <w:numPr>
          <w:ilvl w:val="0"/>
          <w:numId w:val="1001"/>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1"/>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1"/>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1"/>
        </w:numPr>
      </w:pPr>
      <w:r>
        <w:rPr>
          <w:b/>
          <w:bCs/>
        </w:rPr>
        <w:t xml:space="preserve">Two claims from earlier drafts are retracted</w:t>
      </w:r>
      <w:r>
        <w:t xml:space="preserve"> </w:t>
      </w:r>
      <w:r>
        <w:t xml:space="preserve">(</w:t>
      </w:r>
      <w:r>
        <w:rPr>
          <w:rStyle w:val="VerbatimChar"/>
        </w:rPr>
        <w:t xml:space="preserve">SCALING_MEMORY.md</w:t>
      </w:r>
      <w:r>
        <w:t xml:space="preserve">).</w:t>
      </w:r>
    </w:p>
    <w:p>
      <w:pPr>
        <w:pStyle w:val="Compact"/>
        <w:numPr>
          <w:ilvl w:val="1"/>
          <w:numId w:val="1002"/>
        </w:numPr>
      </w:pPr>
      <w:r>
        <w:t xml:space="preserve">We projected the linear pipeline would need ~32 GB and fail at atlas scale; measured, it</w:t>
      </w:r>
      <w:r>
        <w:t xml:space="preserve"> </w:t>
      </w:r>
      <w:r>
        <w:t xml:space="preserve">used</w:t>
      </w:r>
      <w:r>
        <w:t xml:space="preserve"> </w:t>
      </w:r>
      <w:r>
        <w:rPr>
          <w:b/>
          <w:bCs/>
        </w:rPr>
        <w:t xml:space="preserve">13.2 GB</w:t>
      </w:r>
      <w:r>
        <w:t xml:space="preserve"> </w:t>
      </w:r>
      <w:r>
        <w:t xml:space="preserve">and completed —</w:t>
      </w:r>
      <w:r>
        <w:t xml:space="preserve"> </w:t>
      </w:r>
      <w:r>
        <w:rPr>
          <w:rStyle w:val="VerbatimChar"/>
        </w:rPr>
        <w:t xml:space="preserve">SelectKBest(k=20000)</w:t>
      </w:r>
      <w:r>
        <w:t xml:space="preserve"> </w:t>
      </w:r>
      <w:r>
        <w:t xml:space="preserve">caps the dense matrix well below the</w:t>
      </w:r>
      <w:r>
        <w:t xml:space="preserve"> </w:t>
      </w:r>
      <w:r>
        <w:t xml:space="preserve">full gene set. (ii) We claimed the memory gap widens structurally with data; it is</w:t>
      </w:r>
      <w:r>
        <w:t xml:space="preserve"> </w:t>
      </w:r>
      <w:r>
        <w:rPr>
          <w:b/>
          <w:bCs/>
        </w:rPr>
        <w:t xml:space="preserve">bounded</w:t>
      </w:r>
      <w:r>
        <w:rPr>
          <w:b/>
          <w:bCs/>
        </w:rPr>
        <w:t xml:space="preserve"> </w:t>
      </w:r>
      <w:r>
        <w:rPr>
          <w:b/>
          <w:bCs/>
        </w:rPr>
        <w:t xml:space="preserve">at ~2–3×</w:t>
      </w:r>
      <w:r>
        <w:t xml:space="preserve"> </w:t>
      </w:r>
      <w:r>
        <w:t xml:space="preserve">(2.15× at full scale), so there is no scaling cliff and no regime tested where</w:t>
      </w:r>
      <w:r>
        <w:t xml:space="preserve"> </w:t>
      </w:r>
      <w:r>
        <w:t xml:space="preserve">the linear pipeline stops being usable.</w:t>
      </w:r>
    </w:p>
    <w:p>
      <w:pPr>
        <w:pStyle w:val="Compact"/>
        <w:numPr>
          <w:ilvl w:val="0"/>
          <w:numId w:val="1001"/>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1"/>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45"/>
    <w:bookmarkStart w:id="47"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46">
        <w:r>
          <w:rPr>
            <w:rStyle w:val="Hyperlink"/>
          </w:rPr>
          <w:t xml:space="preserve">github.com/iandriver/actinn-jax</w:t>
        </w:r>
      </w:hyperlink>
      <w:r>
        <w:t xml:space="preserve">) are in these</w:t>
      </w:r>
      <w:r>
        <w:t xml:space="preserve"> </w:t>
      </w:r>
      <w:r>
        <w:t xml:space="preserve">two repositories. HLiCA data © Edgar et al. 2026 (CC-BY 4.0), [doi:10.64898/2026.06.30.735539].</w:t>
      </w:r>
    </w:p>
    <w:bookmarkEnd w:id="47"/>
    <w:bookmarkStart w:id="48" w:name="references"/>
    <w:p>
      <w:pPr>
        <w:pStyle w:val="Heading1"/>
      </w:pPr>
      <w:r>
        <w:t xml:space="preserve">References</w:t>
      </w:r>
    </w:p>
    <w:p>
      <w:pPr>
        <w:pStyle w:val="Compact"/>
        <w:numPr>
          <w:ilvl w:val="0"/>
          <w:numId w:val="1003"/>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3"/>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3"/>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3"/>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3"/>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3"/>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3"/>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3"/>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3"/>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3"/>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3"/>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3"/>
        </w:numPr>
      </w:pPr>
      <w:r>
        <w:t xml:space="preserve">Open Problems for Single-Cell Analysis Consortium. Open Problems: a living benchmark for single-cell analysis. openproblems.bio (2024).</w:t>
      </w:r>
    </w:p>
    <w:p>
      <w:pPr>
        <w:pStyle w:val="Compact"/>
        <w:numPr>
          <w:ilvl w:val="0"/>
          <w:numId w:val="1003"/>
        </w:numPr>
      </w:pPr>
      <w:r>
        <w:t xml:space="preserve">Bradbury J, et al. JAX: composable transformations of Python+NumPy programs (2018). github.com/google/jax.</w:t>
      </w:r>
    </w:p>
    <w:p>
      <w:pPr>
        <w:pStyle w:val="Compact"/>
        <w:numPr>
          <w:ilvl w:val="0"/>
          <w:numId w:val="1003"/>
        </w:numPr>
      </w:pPr>
      <w:r>
        <w:t xml:space="preserve">Edgar R, et al. The Human Liver Cell Atlas (HLiCA). doi:10.64898/2026.06.30.735539.</w:t>
      </w:r>
    </w:p>
    <w:p>
      <w:pPr>
        <w:pStyle w:val="Compact"/>
        <w:numPr>
          <w:ilvl w:val="0"/>
          <w:numId w:val="1003"/>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3"/>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3"/>
        </w:numPr>
      </w:pPr>
      <w:r>
        <w:t xml:space="preserve">Yampolskaya M, Souza H, et al. scTOP: cell identity from single-cell data via parameter-free projection. github.com/Emergent-Behaviors-in-Biology/scTOP.</w:t>
      </w:r>
    </w:p>
    <w:p>
      <w:pPr>
        <w:pStyle w:val="Compact"/>
        <w:numPr>
          <w:ilvl w:val="0"/>
          <w:numId w:val="1003"/>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46" Target="https://github.com/iandriver/actinn-jax" TargetMode="External" /><Relationship Type="http://schemas.openxmlformats.org/officeDocument/2006/relationships/hyperlink" Id="rId34" Target="https://openproblems.bio/benchmarks/label_projection" TargetMode="External" /><Relationship Type="http://schemas.openxmlformats.org/officeDocument/2006/relationships/hyperlink" Id="rId35"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2026-07-27T20:41:33Z</dcterms:created>
  <dcterms:modified xsi:type="dcterms:W3CDTF">2026-07-27T20:41:33Z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We report the benchmark as a decision aid (accuracy-per-second, accuracy-per-byte, and behaviour from 3k to 49k reference cells), then use actinn-jax to demonstrate end-to-end workflows that a low, flat cost profile makes practical: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