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55.png" ContentType="image/png"/>
  <Override PartName="/word/media/rId62.png" ContentType="image/png"/>
  <Override PartName="/word/media/rId48.png" ContentType="image/png"/>
  <Override PartName="/word/media/rId52.png" ContentType="image/png"/>
  <Override PartName="/word/media/rId59.png" ContentType="image/png"/>
  <Override PartName="/word/media/rId73.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benchmark of annotation methods and practical low-memory workflows, with actinn-jax</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not ours to</w:t>
      </w:r>
      <w:r>
        <w:rPr>
          <w:b/>
          <w:bCs/>
        </w:rPr>
        <w:t xml:space="preserve"> </w:t>
      </w:r>
      <w:r>
        <w:rPr>
          <w:b/>
          <w:bCs/>
        </w:rPr>
        <w:t xml:space="preserve">design</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Python and ML</w:t>
      </w:r>
      <w:r>
        <w:t xml:space="preserve"> </w:t>
      </w:r>
      <w:r>
        <w:t xml:space="preserve">environments,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sweep across reference sizes up to</w:t>
      </w:r>
      <w:r>
        <w:rPr>
          <w:b/>
          <w:bCs/>
        </w:rPr>
        <w:t xml:space="preserve"> </w:t>
      </w:r>
      <w:r>
        <w:rPr>
          <w:b/>
          <w:bCs/>
        </w:rPr>
        <w:t xml:space="preserve">full atlas scale</w:t>
      </w:r>
      <w:r>
        <w:t xml:space="preserve">, which is what shows that the ranking is a function of how much</w:t>
      </w:r>
      <w:r>
        <w:t xml:space="preserve"> </w:t>
      </w:r>
      <w:r>
        <w:t xml:space="preserve">reference data each method is given.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where CELLxGENE files conventionally store them.</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w:t>
      </w:r>
      <w:r>
        <w:t xml:space="preserve"> </w:t>
      </w:r>
      <w:r>
        <w:t xml:space="preserve">the TensorFlow-1.x original,</w:t>
      </w:r>
      <w:r>
        <w:t xml:space="preserve"> </w:t>
      </w:r>
      <w:r>
        <w:rPr>
          <w:b/>
          <w:bCs/>
        </w:rPr>
        <w:t xml:space="preserve">installs on current Python and ML environments</w:t>
      </w:r>
      <w:r>
        <w:t xml:space="preserve">. Because the</w:t>
      </w:r>
      <w:r>
        <w:t xml:space="preserve"> </w:t>
      </w:r>
      <w:r>
        <w:t xml:space="preserve">two are the same 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is the standard controlled vocabulary of cell types, used throughout as the common</w:t>
      </w:r>
      <w:r>
        <w:t xml:space="preserve"> </w:t>
      </w:r>
      <w:r>
        <w:t xml:space="preserve">ground between datasets that name the same cell differently. scPRINT cannot emit labels</w:t>
      </w:r>
      <w:r>
        <w:t xml:space="preserve"> </w:t>
      </w:r>
      <w:r>
        <w:t xml:space="preserve">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not included: it is unmaintained, and no longer installs against current</w:t>
      </w:r>
      <w:r>
        <w:t xml:space="preserve"> </w:t>
      </w:r>
      <w:r>
        <w:t xml:space="preserve">releases of the harmony dependency it builds on.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since a method or reference built on one convention cannot read</w:t>
      </w:r>
      <w:r>
        <w:t xml:space="preserve"> </w:t>
      </w:r>
      <w:r>
        <w:t xml:space="preserve">the other without remapping.</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w:t>
      </w:r>
      <w:r>
        <w:t xml:space="preserve"> </w:t>
      </w:r>
      <w:r>
        <w:t xml:space="preserve">though the lineage is correct and only the depth is wrong.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methods</w:t>
      </w:r>
      <w:r>
        <w:t xml:space="preserve"> </w:t>
      </w:r>
      <w:r>
        <w:t xml:space="preserve">compete for cores; §2.10 explains how that is handled.</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routes.</w:t>
      </w:r>
      <w:r>
        <w:t xml:space="preserve"> </w:t>
      </w:r>
      <w:r>
        <w:t xml:space="preserve">The model is a coarse classifier over groups plus one</w:t>
      </w:r>
      <w:r>
        <w:t xml:space="preserve"> </w:t>
      </w:r>
      <w:r>
        <w:t xml:space="preserve">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scores this route against no hierarchy</w:t>
      </w:r>
      <w:r>
        <w:t xml:space="preserve"> </w:t>
      </w:r>
      <w:r>
        <w:t xml:space="preserve">and against a random grouping.</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A benchmark run at one reference size measures that size, not the method. Since a reference</w:t>
      </w:r>
      <w:r>
        <w:t xml:space="preserve"> </w:t>
      </w:r>
      <w:r>
        <w:t xml:space="preserve">can be anything from a few thousand cells to a whole atlas, we subsample the reference and hold</w:t>
      </w:r>
      <w:r>
        <w:t xml:space="preserve"> </w:t>
      </w:r>
      <w:r>
        <w:t xml:space="preserve">the query fixed, so accuracy, fit time, predict time and peak memory become functions of</w:t>
      </w:r>
      <w:r>
        <w:t xml:space="preserve"> </w:t>
      </w:r>
      <w:r>
        <w:t xml:space="preserve">reference size alone.</w:t>
      </w:r>
    </w:p>
    <w:p>
      <w:pPr>
        <w:pStyle w:val="BodyText"/>
      </w:pPr>
      <w:r>
        <w:t xml:space="preserve">Each sweep answers a different question.</w:t>
      </w:r>
      <w:r>
        <w:t xml:space="preserve"> </w:t>
      </w:r>
      <w:r>
        <w:rPr>
          <w:b/>
          <w:bCs/>
        </w:rPr>
        <w:t xml:space="preserve">Cost against size and</w:t>
      </w:r>
      <w:r>
        <w:rPr>
          <w:b/>
          <w:bCs/>
        </w:rPr>
        <w:t xml:space="preserve"> </w:t>
      </w:r>
      <w:r>
        <w:rPr>
          <w:b/>
          <w:bCs/>
        </w:rPr>
        <w:t xml:space="preserve">cardinality</w:t>
      </w:r>
      <w:r>
        <w:t xml:space="preserve"> </w:t>
      </w:r>
      <w:r>
        <w:t xml:space="preserve">(§3.3, Figure 2) covers six reference sizes to 24k cells and separately varies</w:t>
      </w:r>
      <w:r>
        <w:t xml:space="preserve"> </w:t>
      </w:r>
      <w:r>
        <w:t xml:space="preserve">the number of cell types, and asks whether inference cost grows with either — the property the</w:t>
      </w:r>
      <w:r>
        <w:t xml:space="preserve"> </w:t>
      </w:r>
      <w:r>
        <w:t xml:space="preserve">multi-stage workflow depends on.</w:t>
      </w:r>
      <w:r>
        <w:t xml:space="preserve"> </w:t>
      </w:r>
      <w:r>
        <w:rPr>
          <w:b/>
          <w:bCs/>
        </w:rPr>
        <w:t xml:space="preserve">Accuracy and memory to atlas scale</w:t>
      </w:r>
      <w:r>
        <w:t xml:space="preserve"> </w:t>
      </w:r>
      <w:r>
        <w:t xml:space="preserve">covers five sizes</w:t>
      </w:r>
      <w:r>
        <w:t xml:space="preserve"> </w:t>
      </w:r>
      <w:r>
        <w:t xml:space="preserve">to 49k cells on lung and four to 47k on the HLiCA liver atlas (§3.3, Figure 3), and asks</w:t>
      </w:r>
      <w:r>
        <w:t xml:space="preserve"> </w:t>
      </w:r>
      <w:r>
        <w:t xml:space="preserve">whether the ranking at laptop size survives at atlas size. Sizes are set by capping cells per</w:t>
      </w:r>
      <w:r>
        <w:t xml:space="preserve"> </w:t>
      </w:r>
      <w:r>
        <w:t xml:space="preserve">type, which is why they are not round numbers. The lung sweep’s top point is the whole atlas</w:t>
      </w:r>
      <w:r>
        <w:t xml:space="preserve"> </w:t>
      </w:r>
      <w:r>
        <w:t xml:space="preserve">once the query is held out; the liver atlas is far larger (525k cells), so its sweep stops at</w:t>
      </w:r>
      <w:r>
        <w:t xml:space="preserve"> </w:t>
      </w:r>
      <w:r>
        <w:t xml:space="preserve">a matching reference size rather than at its own ceiling, which is what lets the two be read</w:t>
      </w:r>
      <w:r>
        <w:t xml:space="preserve"> </w:t>
      </w:r>
      <w:r>
        <w:t xml:space="preserve">against each other.</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A CPU-only featurization in the</w:t>
      </w:r>
      <w:r>
        <w:t xml:space="preserve"> </w:t>
      </w:r>
      <w:r>
        <w:t xml:space="preserve">style of</w:t>
      </w:r>
      <w:r>
        <w:t xml:space="preserve"> </w:t>
      </w:r>
      <w:r>
        <w:rPr>
          <w:b/>
          <w:bCs/>
        </w:rPr>
        <w:t xml:space="preserve">Universal Cell Embeddings (UCE)</w:t>
      </w:r>
      <w:r>
        <w:t xml:space="preserve"> </w:t>
      </w:r>
      <w:hyperlink r:id="rId43">
        <w:r>
          <w:rPr>
            <w:rStyle w:val="Hyperlink"/>
          </w:rPr>
          <w:t xml:space="preserve">[Rosen 2026]</w:t>
        </w:r>
      </w:hyperlink>
      <w:r>
        <w:t xml:space="preserve">: an expression-weighted mean of</w:t>
      </w:r>
      <w:r>
        <w:t xml:space="preserve"> </w:t>
      </w:r>
      <w:r>
        <w:t xml:space="preserve">ESM2</w:t>
      </w:r>
      <w:r>
        <w:t xml:space="preserve"> </w:t>
      </w:r>
      <w:hyperlink r:id="rId44">
        <w:r>
          <w:rPr>
            <w:rStyle w:val="Hyperlink"/>
          </w:rPr>
          <w:t xml:space="preserve">[Lin 2023]</w:t>
        </w:r>
      </w:hyperlink>
      <w:r>
        <w:t xml:space="preserve"> </w:t>
      </w:r>
      <w:r>
        <w:t xml:space="preserve">protein-language-model gene embeddings. It tests whether a foundation</w:t>
      </w:r>
      <w:r>
        <w:t xml:space="preserve"> </w:t>
      </w:r>
      <w:r>
        <w:t xml:space="preserve">model’s value survives a cheap pooling shortcut.</w:t>
      </w:r>
    </w:p>
    <w:bookmarkEnd w:id="45"/>
    <w:bookmarkEnd w:id="46"/>
    <w:bookmarkStart w:id="80"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ontology concordance the mean over the four datasets that</w:t>
      </w:r>
      <w:r>
        <w:t xml:space="preserve"> </w:t>
      </w:r>
      <w:r>
        <w:t xml:space="preserve">carry Cell Ontology ids;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ontology concordance the mean</w:t>
      </w:r>
      <w:r>
        <w:t xml:space="preserve"> </w:t>
      </w:r>
      <w:r>
        <w:t xml:space="preserve">over the four datasets carrying Cell Ontology ids, and cost 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~260×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176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Those four are the tuned</w:t>
      </w:r>
      <w:r>
        <w:t xml:space="preserve"> </w:t>
      </w:r>
      <w:r>
        <w:rPr>
          <w:b/>
          <w:bCs/>
        </w:rPr>
        <w:t xml:space="preserve">linear pipeline (0.839)</w:t>
      </w:r>
      <w:r>
        <w:t xml:space="preserve">, scANVI (0.833), scArches (0.832) and</w:t>
      </w:r>
      <w:r>
        <w:t xml:space="preserve"> </w:t>
      </w:r>
      <w:r>
        <w:t xml:space="preserve">actinn-jax (0.831) — led by the linear pipeline rather than by a deep model. CellTypist</w:t>
      </w:r>
      <w:r>
        <w:t xml:space="preserve"> </w:t>
      </w:r>
      <w:r>
        <w:t xml:space="preserve">(0.823) sits just outside them.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(§3.3),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the weakest on accuracy and macro-F1 throughout (0.23 macro-F1 on</w:t>
      </w:r>
      <w:r>
        <w:t xml:space="preserve"> </w:t>
      </w:r>
      <w:r>
        <w:t xml:space="preserve">liver_cross), though not on ontology concordance.</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Figures 2 and 3.</w:t>
      </w:r>
    </w:p>
    <w:p>
      <w:pPr>
        <w:pStyle w:val="BodyText"/>
      </w:pPr>
      <w:r>
        <w:t xml:space="preserve">The</w:t>
      </w:r>
      <w:r>
        <w:t xml:space="preserve"> </w:t>
      </w:r>
      <w:r>
        <w:rPr>
          <w:b/>
          <w:bCs/>
        </w:rPr>
        <w:t xml:space="preserve">tuned linear pipeline</w:t>
      </w:r>
      <w:r>
        <w:t xml:space="preserve"> </w:t>
      </w:r>
      <w:r>
        <w:t xml:space="preserve">holds the fast-frontier point: the highest accuracy in Table 3</w:t>
      </w:r>
      <w:r>
        <w:t xml:space="preserve"> </w:t>
      </w:r>
      <w:r>
        <w:t xml:space="preserve">(0.839) at the lowest fit time of any method in the leading cluster (3.0 s), placing it above</w:t>
      </w:r>
      <w:r>
        <w:t xml:space="preserve"> </w:t>
      </w:r>
      <w:r>
        <w:t xml:space="preserve">and to the left of actinn-jax, SVM, kNN and CellTypist. The deep methods buy little or nothing on accuracy here — at or below the</w:t>
      </w:r>
      <w:r>
        <w:t xml:space="preserve"> </w:t>
      </w:r>
      <w:r>
        <w:t xml:space="preserve">linear pipeline on every dataset except lung — for 36–373× the predict time. actinn-jax</w:t>
      </w:r>
      <w:r>
        <w:t xml:space="preserve"> </w:t>
      </w:r>
      <w:r>
        <w:t xml:space="preserve">sits just inside the frontier at this reference size; what separates it is not visible on a</w:t>
      </w:r>
      <w:r>
        <w:t xml:space="preserve"> </w:t>
      </w:r>
      <w:r>
        <w:t xml:space="preserve">fixed-size plot but on the scaling axes of §3.3: predict time that stays flat as the</w:t>
      </w:r>
      <w:r>
        <w:t xml:space="preserve"> </w:t>
      </w:r>
      <w:r>
        <w:t xml:space="preserve">reference grows, and ~2× lower peak memory that holds to atlas scale. The figure is drawn</w:t>
      </w:r>
      <w:r>
        <w:t xml:space="preserve"> </w:t>
      </w:r>
      <w:r>
        <w:t xml:space="preserve">from the liver_intra panel alone, and is consistent with the panel-wide ranking of Tables 3</w:t>
      </w:r>
      <w:r>
        <w:t xml:space="preserve"> </w:t>
      </w:r>
      <w:r>
        <w:t xml:space="preserve">and 5.</w:t>
      </w:r>
    </w:p>
    <w:bookmarkEnd w:id="51"/>
    <w:bookmarkStart w:id="58"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Fit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does no work at fit time beyond storing the reference, so all of its cost lands on</w:t>
      </w:r>
      <w:r>
        <w:t xml:space="preserve"> </w:t>
      </w:r>
      <w:r>
        <w:t xml:space="preserve">predict, where it is also the least accurate method here.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(This sweep’s own</w:t>
      </w:r>
      <w:r>
        <w:t xml:space="preserve"> </w:t>
      </w:r>
      <w:r>
        <w:t xml:space="preserve">memory column is process-cumulative and not a clean per-size measurement; the atlas sweep</w:t>
      </w:r>
      <w:r>
        <w:t xml:space="preserve"> </w:t>
      </w:r>
      <w:r>
        <w:t xml:space="preserve">below and the matrix of §3.1 both run each method in its own process, and are what the</w:t>
      </w:r>
      <w:r>
        <w:t xml:space="preserve"> </w:t>
      </w:r>
      <w:r>
        <w:t xml:space="preserve">memory numbers come from.)</w:t>
      </w:r>
    </w:p>
    <w:p>
      <w:pPr>
        <w:pStyle w:val="BodyText"/>
      </w:pPr>
      <w:r>
        <w:rPr>
          <w:b/>
          <w:bCs/>
        </w:rPr>
        <w:t xml:space="preserve">At atlas scale the ordering changes.</w:t>
      </w:r>
      <w:r>
        <w:t xml:space="preserve"> </w:t>
      </w:r>
      <w:r>
        <w:t xml:space="preserve">The sweep above stops at 24k cells. Carrying four</w:t>
      </w:r>
      <w:r>
        <w:t xml:space="preserve"> </w:t>
      </w:r>
      <w:r>
        <w:t xml:space="preserve">methods to full atlas size — 49k reference cells on lung, 47k on the HLiCA liver atlas —</w:t>
      </w:r>
      <w:r>
        <w:t xml:space="preserve"> </w:t>
      </w:r>
      <w:r>
        <w:t xml:space="preserve">reverses the accuracy ranking (Figure 3A, B). ProtoCloud goes from the weakest method at 3k</w:t>
      </w:r>
      <w:r>
        <w:t xml:space="preserve"> </w:t>
      </w:r>
      <w:r>
        <w:t xml:space="preserve">cells (0.722 lung, 0.581 liver) to the strongest at full scale (</w:t>
      </w:r>
      <w:r>
        <w:rPr>
          <w:b/>
          <w:bCs/>
        </w:rPr>
        <w:t xml:space="preserve">0.976</w:t>
      </w:r>
      <w:r>
        <w:t xml:space="preserve"> </w:t>
      </w:r>
      <w:r>
        <w:t xml:space="preserve">and</w:t>
      </w:r>
      <w:r>
        <w:t xml:space="preserve"> </w:t>
      </w:r>
      <w:r>
        <w:rPr>
          <w:b/>
          <w:bCs/>
        </w:rPr>
        <w:t xml:space="preserve">0.905</w:t>
      </w:r>
      <w:r>
        <w:t xml:space="preserve">),</w:t>
      </w:r>
      <w:r>
        <w:t xml:space="preserve"> </w:t>
      </w:r>
      <w:r>
        <w:t xml:space="preserve">clear of the linear pipeline (0.939, 0.863) and actinn-jax (0.936, 0.824), at 19× actinn-jax’s</w:t>
      </w:r>
      <w:r>
        <w:t xml:space="preserve"> </w:t>
      </w:r>
      <w:r>
        <w:t xml:space="preserve">CPU fit cost. scTOP gains little from scale on lung (0.819 → 0.846, barely outside its</w:t>
      </w:r>
      <w:r>
        <w:t xml:space="preserve"> </w:t>
      </w:r>
      <w:r>
        <w:t xml:space="preserve">interval) and loses ground on liver (0.657 → 0.583). Peak memory grows for every method, but the spread stays</w:t>
      </w:r>
      <w:r>
        <w:t xml:space="preserve"> </w:t>
      </w:r>
      <w:r>
        <w:rPr>
          <w:b/>
          <w:bCs/>
        </w:rPr>
        <w:t xml:space="preserve">bounded at ~2×</w:t>
      </w:r>
      <w:r>
        <w:t xml:space="preserve"> </w:t>
      </w:r>
      <w:r>
        <w:t xml:space="preserve">rather than widening (Figure 3C): the linear pipeline is heaviest throughout — 13.2 GB against</w:t>
      </w:r>
      <w:r>
        <w:t xml:space="preserve"> </w:t>
      </w:r>
      <w:r>
        <w:t xml:space="preserve">actinn-jax’s 6.1 GB at 49k lung cells, a 2.15× ratio — and scTOP crosses over from lightest to</w:t>
      </w:r>
      <w:r>
        <w:t xml:space="preserve"> </w:t>
      </w:r>
      <w:r>
        <w:t xml:space="preserve">heaviest as its rank processing densifies (9.3 vs 6.5 GB at 47k liver cells). Conclusions drawn</w:t>
      </w:r>
      <w:r>
        <w:t xml:space="preserve"> </w:t>
      </w:r>
      <w:r>
        <w:t xml:space="preserve">from subsampled references do not transfer to atlas scale, in either direction.</w:t>
      </w:r>
    </w:p>
    <w:p>
      <w:pPr>
        <w:pStyle w:val="BodyText"/>
      </w:pPr>
      <w:r>
        <w:drawing>
          <wp:inline>
            <wp:extent cx="5334000" cy="1702553"/>
            <wp:effectExtent b="0" l="0" r="0" t="0"/>
            <wp:docPr descr="accuracy and memory against reference size on two atlases" title="" id="56" name="Picture"/>
            <a:graphic>
              <a:graphicData uri="http://schemas.openxmlformats.org/drawingml/2006/picture">
                <pic:pic>
                  <pic:nvPicPr>
                    <pic:cNvPr descr="/Users/iandriver/Downloads/actinn-jax-benchmark/docs/figures/fig_atlas_scaling.png" id="57" name="Picture"/>
                    <pic:cNvPicPr>
                      <a:picLocks noChangeArrowheads="1" noChangeAspect="1"/>
                    </pic:cNvPicPr>
                  </pic:nvPicPr>
                  <pic:blipFill>
                    <a:blip r:embed="rId55"/>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and peak memory against reference size, four methods carried to full</w:t>
      </w:r>
      <w:r>
        <w:t xml:space="preserve"> </w:t>
      </w:r>
      <w:r>
        <w:t xml:space="preserve">atlas scale on two datasets.</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w:t>
      </w:r>
      <w:r>
        <w:t xml:space="preserve"> </w:t>
      </w:r>
      <w:r>
        <w:t xml:space="preserve">2.7k → 47k, an independent replication of the same reversal.</w:t>
      </w:r>
      <w:r>
        <w:t xml:space="preserve"> </w:t>
      </w:r>
      <w:r>
        <w:rPr>
          <w:i/>
          <w:iCs/>
        </w:rPr>
        <w:t xml:space="preserve">C:</w:t>
      </w:r>
      <w:r>
        <w:t xml:space="preserve"> </w:t>
      </w:r>
      <w:r>
        <w:t xml:space="preserve">peak memory over both</w:t>
      </w:r>
      <w:r>
        <w:t xml:space="preserve"> </w:t>
      </w:r>
      <w:r>
        <w:t xml:space="preserve">sweeps. Error bars on</w:t>
      </w:r>
      <w:r>
        <w:t xml:space="preserve"> </w:t>
      </w:r>
      <w:r>
        <w:rPr>
          <w:i/>
          <w:iCs/>
        </w:rPr>
        <w:t xml:space="preserve">A</w:t>
      </w:r>
      <w:r>
        <w:t xml:space="preserve"> </w:t>
      </w:r>
      <w:r>
        <w:t xml:space="preserve">and</w:t>
      </w:r>
      <w:r>
        <w:t xml:space="preserve"> </w:t>
      </w:r>
      <w:r>
        <w:rPr>
          <w:i/>
          <w:iCs/>
        </w:rPr>
        <w:t xml:space="preserve">B</w:t>
      </w:r>
      <w:r>
        <w:t xml:space="preserve"> </w:t>
      </w:r>
      <w:r>
        <w:t xml:space="preserve">are 95% binomial intervals on the query, which grows with</w:t>
      </w:r>
      <w:r>
        <w:t xml:space="preserve"> </w:t>
      </w:r>
      <w:r>
        <w:t xml:space="preserve">the reference (1,035 to 16,398 cells on lung), so they narrow from left to right; each point</w:t>
      </w:r>
      <w:r>
        <w:t xml:space="preserve"> </w:t>
      </w:r>
      <w:r>
        <w:t xml:space="preserve">is a single run, so they cover sampling of the query and not run-to-run variation. Peak memory</w:t>
      </w:r>
      <w:r>
        <w:t xml:space="preserve"> </w:t>
      </w:r>
      <w:r>
        <w:t xml:space="preserve">is not a proportion and carries none. Fit time is not plotted: the 47k liver point was measured</w:t>
      </w:r>
      <w:r>
        <w:t xml:space="preserve"> </w:t>
      </w:r>
      <w:r>
        <w:t xml:space="preserve">under CPU contention, so a cost axis there would report scheduling rather than scaling.</w:t>
      </w:r>
    </w:p>
    <w:bookmarkEnd w:id="58"/>
    <w:bookmarkStart w:id="65"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60" name="Picture"/>
            <a:graphic>
              <a:graphicData uri="http://schemas.openxmlformats.org/drawingml/2006/picture">
                <pic:pic>
                  <pic:nvPicPr>
                    <pic:cNvPr descr="/Users/iandriver/Downloads/actinn-jax-benchmark/docs/figures/fig_workflow_umap_ondata.png" id="61" name="Picture"/>
                    <pic:cNvPicPr>
                      <a:picLocks noChangeArrowheads="1" noChangeAspect="1"/>
                    </pic:cNvPicPr>
                  </pic:nvPicPr>
                  <pic:blipFill>
                    <a:blip r:embed="rId59"/>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Center:</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 orientation</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more accurate and ~3× faster than building it from the</w:t>
      </w:r>
      <w:r>
        <w:t xml:space="preserve"> </w:t>
      </w:r>
      <w:r>
        <w:t xml:space="preserve">census 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5A).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459955"/>
            <wp:effectExtent b="0" l="0" r="0" t="0"/>
            <wp:docPr descr="building a coarse hierarchy without a GPU" title="" id="63" name="Picture"/>
            <a:graphic>
              <a:graphicData uri="http://schemas.openxmlformats.org/drawingml/2006/picture">
                <pic:pic>
                  <pic:nvPicPr>
                    <pic:cNvPr descr="/Users/iandriver/Downloads/actinn-jax-benchmark/docs/figures/fig_ontology_hierarchy.png" id="64" name="Picture"/>
                    <pic:cNvPicPr>
                      <a:picLocks noChangeArrowheads="1" noChangeAspect="1"/>
                    </pic:cNvPicPr>
                  </pic:nvPicPr>
                  <pic:blipFill>
                    <a:blip r:embed="rId62"/>
                    <a:stretch>
                      <a:fillRect/>
                    </a:stretch>
                  </pic:blipFill>
                  <pic:spPr bwMode="auto">
                    <a:xfrm>
                      <a:off x="0" y="0"/>
                      <a:ext cx="5334000" cy="345995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 and</w:t>
      </w:r>
      <w:r>
        <w:t xml:space="preserve"> </w:t>
      </w:r>
      <w:r>
        <w:t xml:space="preserve">against a random grouping with the same group sizes, scored by ontology concordance on the</w:t>
      </w:r>
      <w:r>
        <w:t xml:space="preserve"> </w:t>
      </w:r>
      <w:r>
        <w:t xml:space="preserve">held-out human lung atlas. Bars start at zero and error bars are 95% binomial intervals on the</w:t>
      </w:r>
      <w:r>
        <w:t xml:space="preserve"> </w:t>
      </w:r>
      <w:r>
        <w:t xml:space="preserve">2,161 scored cells; the gain over no hierarchy clears that interval and the gap between the two</w:t>
      </w:r>
      <w:r>
        <w:t xml:space="preserve"> </w:t>
      </w:r>
      <w:r>
        <w:t xml:space="preserve">controls does not.</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5B).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the ontology grouping reaches</w:t>
      </w:r>
      <w:r>
        <w:t xml:space="preserve"> </w:t>
      </w:r>
      <w:r>
        <w:rPr>
          <w:b/>
          <w:bCs/>
        </w:rPr>
        <w:t xml:space="preserve">0.616</w:t>
      </w:r>
      <w:r>
        <w:t xml:space="preserve"> </w:t>
      </w:r>
      <w:r>
        <w:t xml:space="preserve">against</w:t>
      </w:r>
      <w:r>
        <w:t xml:space="preserve"> </w:t>
      </w:r>
      <w:r>
        <w:rPr>
          <w:b/>
          <w:bCs/>
        </w:rPr>
        <w:t xml:space="preserve">0.547</w:t>
      </w:r>
      <w:r>
        <w:t xml:space="preserve"> </w:t>
      </w:r>
      <w:r>
        <w:t xml:space="preserve">for no hierarchy at all — a gain of</w:t>
      </w:r>
      <w:r>
        <w:t xml:space="preserve"> </w:t>
      </w:r>
      <w:r>
        <w:rPr>
          <w:b/>
          <w:bCs/>
        </w:rPr>
        <w:t xml:space="preserve">0.069</w:t>
      </w:r>
      <w:r>
        <w:t xml:space="preserve">, or 13% relative,</w:t>
      </w:r>
      <w:r>
        <w:t xml:space="preserve"> </w:t>
      </w:r>
      <w:r>
        <w:t xml:space="preserve">which on 2,161 scored cells sits outside the 95% interval of ±0.029. A random grouping with the</w:t>
      </w:r>
      <w:r>
        <w:t xml:space="preserve"> </w:t>
      </w:r>
      <w:r>
        <w:t xml:space="preserve">same group sizes scores</w:t>
      </w:r>
      <w:r>
        <w:t xml:space="preserve"> </w:t>
      </w:r>
      <w:r>
        <w:rPr>
          <w:b/>
          <w:bCs/>
        </w:rPr>
        <w:t xml:space="preserve">0.539</w:t>
      </w:r>
      <w:r>
        <w:t xml:space="preserve">, which is 0.008 from the no-hierarchy control and inside that</w:t>
      </w:r>
      <w:r>
        <w:t xml:space="preserve"> </w:t>
      </w:r>
      <w:r>
        <w:t xml:space="preserve">interval (Figure 5C).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The</w:t>
      </w:r>
      <w:r>
        <w:t xml:space="preserve"> </w:t>
      </w:r>
      <w:r>
        <w:rPr>
          <w:b/>
          <w:bCs/>
        </w:rPr>
        <w:t xml:space="preserve">embedding route to the same hierarchy</w:t>
      </w:r>
      <w:r>
        <w:t xml:space="preserve">, evaluated</w:t>
      </w:r>
      <w:r>
        <w:t xml:space="preserve"> </w:t>
      </w:r>
      <w:r>
        <w:t xml:space="preserve">separately from the ontology route above: a foundation model discovers the coarse→fine</w:t>
      </w:r>
      <w:r>
        <w:t xml:space="preserve"> </w:t>
      </w:r>
      <w:r>
        <w:t xml:space="preserve">structure</w:t>
      </w:r>
      <w:r>
        <w:t xml:space="preserve"> </w:t>
      </w:r>
      <w:r>
        <w:rPr>
          <w:i/>
          <w:iCs/>
        </w:rPr>
        <w:t xml:space="preserve">offline</w:t>
      </w:r>
      <w:r>
        <w:t xml:space="preserve"> </w:t>
      </w:r>
      <w:r>
        <w:t xml:space="preserve">and the CPU model uses it at inference. It beats a flat classifier on</w:t>
      </w:r>
      <w:r>
        <w:t xml:space="preserve"> </w:t>
      </w:r>
      <w:r>
        <w:t xml:space="preserve">three of four datasets, matches a hand-built expert hierarchy, and beats a random-grouping</w:t>
      </w:r>
      <w:r>
        <w:t xml:space="preserve"> </w:t>
      </w:r>
      <w:r>
        <w:t xml:space="preserve">control, while never calling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5"/>
    <w:bookmarkStart w:id="69"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8.</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The difference is in the shape rather than in any single row (Figure 6).</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p>
      <w:pPr>
        <w:pStyle w:val="BodyText"/>
      </w:pPr>
      <w:r>
        <w:drawing>
          <wp:inline>
            <wp:extent cx="5334000" cy="2130714"/>
            <wp:effectExtent b="0" l="0" r="0" t="0"/>
            <wp:docPr descr="the abstain trade-off" title="" id="67" name="Picture"/>
            <a:graphic>
              <a:graphicData uri="http://schemas.openxmlformats.org/drawingml/2006/picture">
                <pic:pic>
                  <pic:nvPicPr>
                    <pic:cNvPr descr="/Users/iandriver/Downloads/actinn-jax-benchmark/docs/figures/fig_abstain.png" id="68" name="Picture"/>
                    <pic:cNvPicPr>
                      <a:picLocks noChangeArrowheads="1" noChangeAspect="1"/>
                    </pic:cNvPicPr>
                  </pic:nvPicPr>
                  <pic:blipFill>
                    <a:blip r:embed="rId66"/>
                    <a:stretch>
                      <a:fillRect/>
                    </a:stretch>
                  </pic:blipFill>
                  <pic:spPr bwMode="auto">
                    <a:xfrm>
                      <a:off x="0" y="0"/>
                      <a:ext cx="5334000" cy="2130714"/>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What abstention buys, and whether it finds the novel cells.</w:t>
      </w:r>
      <w:r>
        <w:t xml:space="preserve"> </w:t>
      </w:r>
      <w:r>
        <w:rPr>
          <w:i/>
          <w:iCs/>
        </w:rPr>
        <w:t xml:space="preserve">Left:</w:t>
      </w:r>
      <w:r>
        <w:t xml:space="preserve"> </w:t>
      </w:r>
      <w:r>
        <w:t xml:space="preserve">accuracy on</w:t>
      </w:r>
      <w:r>
        <w:t xml:space="preserve"> </w:t>
      </w:r>
      <w:r>
        <w:t xml:space="preserve">kept cells against the fraction kept.</w:t>
      </w:r>
      <w:r>
        <w:t xml:space="preserve"> </w:t>
      </w:r>
      <w:r>
        <w:rPr>
          <w:i/>
          <w:iCs/>
        </w:rPr>
        <w:t xml:space="preserve">Right:</w:t>
      </w:r>
      <w:r>
        <w:t xml:space="preserve"> </w:t>
      </w:r>
      <w:r>
        <w:t xml:space="preserve">the share of held-out-type cells flagged as the</w:t>
      </w:r>
      <w:r>
        <w:t xml:space="preserve"> </w:t>
      </w:r>
      <w:r>
        <w:t xml:space="preserve">threshold rises. actinn-jax traces a usable curve on both axes; CellTypist’s probabilities are</w:t>
      </w:r>
      <w:r>
        <w:t xml:space="preserve"> </w:t>
      </w:r>
      <w:r>
        <w:t xml:space="preserve">saturated, so thresholds from 0.3 to 0.9 land on one operating point.</w:t>
      </w:r>
    </w:p>
    <w:bookmarkEnd w:id="69"/>
    <w:bookmarkStart w:id="70"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That is an inherent</w:t>
      </w:r>
      <w:r>
        <w:t xml:space="preserve"> </w:t>
      </w:r>
      <w:r>
        <w:t xml:space="preserve">property of a zero-shot label head rather than a defect, but it does mean the raw predictions</w:t>
      </w:r>
      <w:r>
        <w:t xml:space="preserve"> </w:t>
      </w:r>
      <w:r>
        <w:t xml:space="preserve">are not a drop-in annotator. It is why the two-stage workflow uses scPRINT’s</w:t>
      </w:r>
      <w:r>
        <w:t xml:space="preserve"> </w:t>
      </w:r>
      <w:r>
        <w:rPr>
          <w:b/>
          <w:bCs/>
        </w:rPr>
        <w:t xml:space="preserve">embeddings</w:t>
      </w:r>
      <w:r>
        <w:t xml:space="preserve"> </w:t>
      </w:r>
      <w:r>
        <w:t xml:space="preserve">—</w:t>
      </w:r>
      <w:r>
        <w:t xml:space="preserve"> </w:t>
      </w:r>
      <w:r>
        <w:t xml:space="preserve">its learned structure — to shape a small trained model, and never its zero-shot labels.</w:t>
      </w:r>
    </w:p>
    <w:bookmarkEnd w:id="70"/>
    <w:bookmarkStart w:id="79"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71">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2">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places fifth on accuracy but first on macro-F1 (0.689), at the</w:t>
      </w:r>
      <w:r>
        <w:t xml:space="preserve"> </w:t>
      </w:r>
      <w:r>
        <w:t xml:space="preserve">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starves a gene-space MLP more</w:t>
      </w:r>
      <w:r>
        <w:t xml:space="preserve"> </w:t>
      </w:r>
      <w:r>
        <w:t xml:space="preserve">than it starves the others.</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7).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8)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4" name="Picture"/>
            <a:graphic>
              <a:graphicData uri="http://schemas.openxmlformats.org/drawingml/2006/picture">
                <pic:pic>
                  <pic:nvPicPr>
                    <pic:cNvPr descr="/Users/iandriver/Downloads/actinn-jax-benchmark/docs/figures/gene_budget_curve.png" id="75" name="Picture"/>
                    <pic:cNvPicPr>
                      <a:picLocks noChangeArrowheads="1" noChangeAspect="1"/>
                    </pic:cNvPicPr>
                  </pic:nvPicPr>
                  <pic:blipFill>
                    <a:blip r:embed="rId73"/>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7" name="Picture"/>
            <a:graphic>
              <a:graphicData uri="http://schemas.openxmlformats.org/drawingml/2006/picture">
                <pic:pic>
                  <pic:nvPicPr>
                    <pic:cNvPr descr="/Users/iandriver/Downloads/actinn-jax-benchmark/docs/figures/gene_budget_signals.png" id="78" name="Picture"/>
                    <pic:cNvPicPr>
                      <a:picLocks noChangeArrowheads="1" noChangeAspect="1"/>
                    </pic:cNvPicPr>
                  </pic:nvPicPr>
                  <pic:blipFill>
                    <a:blip r:embed="rId76"/>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9"/>
    <w:bookmarkEnd w:id="80"/>
    <w:bookmarkStart w:id="82"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~260×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 stated theme — that training-data quality and organization matter as</w:t>
      </w:r>
      <w:r>
        <w:t xml:space="preserve"> </w:t>
      </w:r>
      <w:r>
        <w:t xml:space="preserve">much as architecture or scale — is one of the two claims we draw here, and their finding that</w:t>
      </w:r>
      <w:r>
        <w:t xml:space="preserve"> </w:t>
      </w:r>
      <w:r>
        <w:t xml:space="preserve">accuracy</w:t>
      </w:r>
      <w:r>
        <w:t xml:space="preserve"> </w:t>
      </w:r>
      <w:r>
        <w:rPr>
          <w:b/>
          <w:bCs/>
        </w:rPr>
        <w:t xml:space="preserve">saturates past ~5M training cells</w:t>
      </w:r>
      <w:r>
        <w:t xml:space="preserve"> </w:t>
      </w:r>
      <w:r>
        <w:t xml:space="preserve">supports it further. The other claim, that</w:t>
      </w:r>
      <w:r>
        <w:t xml:space="preserve"> </w:t>
      </w:r>
      <w:r>
        <w:t xml:space="preserve">zero-shot foundation-model labels are the weaker option, they reach independently. Both come</w:t>
      </w:r>
      <w:r>
        <w:t xml:space="preserve"> </w:t>
      </w:r>
      <w:r>
        <w:t xml:space="preserve">from a group with no stake in our conclusion.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§3.3),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1">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What no fixed typology can do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2"/>
    <w:bookmarkStart w:id="83"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The main matrix uses subsampled references, and its ranking does not survive atlas scale.</w:t>
      </w:r>
      <w:r>
        <w:t xml:space="preserve"> </w:t>
      </w:r>
      <w:r>
        <w:t xml:space="preserve">Carried to 49k lung and 47k liver reference cells, ProtoCloud moves from the weakest method</w:t>
      </w:r>
      <w:r>
        <w:t xml:space="preserve"> </w:t>
      </w:r>
      <w:r>
        <w:t xml:space="preserve">to the strongest and scTOP crosses from the lightest to heavier than actinn-jax (§3.3,</w:t>
      </w:r>
      <w:r>
        <w:t xml:space="preserve"> </w:t>
      </w:r>
      <w:r>
        <w:t xml:space="preserve">Figure 3). The accuracy ordering of Table 3 describes laptop-sized references, which is the</w:t>
      </w:r>
      <w:r>
        <w:t xml:space="preserve"> </w:t>
      </w:r>
      <w:r>
        <w:t xml:space="preserve">regime this paper is about, but it should not be read as a ranking at atlas scale.</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3"/>
    <w:bookmarkStart w:id="89"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84">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5">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6">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7">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8">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across eleven methods on three</w:t>
      </w:r>
      <w:r>
        <w:t xml:space="preserve"> </w:t>
      </w:r>
      <w:r>
        <w:t xml:space="preserve">splits — and Tables S1–S3, the method and dataset descriptions and per-dataset accuracy.</w:t>
      </w:r>
    </w:p>
    <w:bookmarkEnd w:id="89"/>
    <w:bookmarkStart w:id="90"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2">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1">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hyperlink" Id="rId36" Target="https://chanzuckerberg.github.io/cellxgene-census/" TargetMode="External" /><Relationship Type="http://schemas.openxmlformats.org/officeDocument/2006/relationships/hyperlink" Id="rId87"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8" Target="https://doi.org/10.5281/zenodo.20401417" TargetMode="External" /><Relationship Type="http://schemas.openxmlformats.org/officeDocument/2006/relationships/hyperlink" Id="rId86" Target="https://doi.org/10.5281/zenodo.21688150" TargetMode="External" /><Relationship Type="http://schemas.openxmlformats.org/officeDocument/2006/relationships/hyperlink" Id="rId85" Target="https://doi.org/10.5281/zenodo.21688151"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4"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7"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8" Target="https://doi.org/10.5281/zenodo.20401417" TargetMode="External" /><Relationship Type="http://schemas.openxmlformats.org/officeDocument/2006/relationships/hyperlink" Id="rId86" Target="https://doi.org/10.5281/zenodo.21688150" TargetMode="External" /><Relationship Type="http://schemas.openxmlformats.org/officeDocument/2006/relationships/hyperlink" Id="rId85" Target="https://doi.org/10.5281/zenodo.21688151"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4"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benchmark of annotation methods and practical low-memory workflows, with actinn-jax</dc:title>
  <dc:creator>Ian Driver</dc:creator>
  <cp:keywords/>
  <dcterms:created xsi:type="dcterms:W3CDTF">2026-08-11T02:39:50Z</dcterms:created>
  <dcterms:modified xsi:type="dcterms:W3CDTF">2026-08-11T02:39:50Z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