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6.png" ContentType="image/png"/>
  <Override PartName="/word/media/rId55.png" ContentType="image/png"/>
  <Override PartName="/word/media/rId62.png" ContentType="image/png"/>
  <Override PartName="/word/media/rId48.png" ContentType="image/png"/>
  <Override PartName="/word/media/rId52.png" ContentType="image/png"/>
  <Override PartName="/word/media/rId59.png" ContentType="image/png"/>
  <Override PartName="/word/media/rId73.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benchmark of cell-type annotation methods for single-cell data: cost, not accuracy, distinguishes them</w:t>
      </w:r>
    </w:p>
    <w:p>
      <w:pPr>
        <w:pStyle w:val="Author"/>
      </w:pPr>
      <w:r>
        <w:t xml:space="preserve">Ian Driver</w:t>
      </w:r>
    </w:p>
    <w:p>
      <w:pPr>
        <w:pStyle w:val="AbstractTitle"/>
      </w:pPr>
      <w:r>
        <w:t xml:space="preserve">Abstract</w:t>
      </w:r>
    </w:p>
    <w:p>
      <w:pPr>
        <w:pStyle w:val="Abstract"/>
      </w:pPr>
      <w:r>
        <w:t xml:space="preserve">Cell-type annotation by reference mapping is among the most frequently repeated operations in single-cell analysis, yet published comparisons report accuracy far more often than the wall-clock time and memory that decide what a working scientist can actually run. We benchmarked</w:t>
      </w:r>
      <w:r>
        <w:t xml:space="preserve"> </w:t>
      </w:r>
      <w:r>
        <w:rPr>
          <w:b/>
          <w:bCs/>
        </w:rPr>
        <w:t xml:space="preserve">thirteen methods</w:t>
      </w:r>
      <w:r>
        <w:t xml:space="preserve"> </w:t>
      </w:r>
      <w:r>
        <w:t xml:space="preserve">— classical, regularized-linear, parameter-free, correlation, deep-probabilistic, prototype-VAE and foundation-model — across</w:t>
      </w:r>
      <w:r>
        <w:t xml:space="preserve"> </w:t>
      </w:r>
      <w:r>
        <w:rPr>
          <w:b/>
          <w:bCs/>
        </w:rPr>
        <w:t xml:space="preserve">six datasets</w:t>
      </w:r>
      <w:r>
        <w:t xml:space="preserve"> </w:t>
      </w:r>
      <w:r>
        <w:t xml:space="preserve">(8–86 cell types; within-dataset, cross-dataset and cross-study splits) on commodity hardware, and validated externally on Open Problems</w:t>
      </w:r>
      <w:r>
        <w:t xml:space="preserve"> </w:t>
      </w:r>
      <w:r>
        <w:rPr>
          <w:rStyle w:val="VerbatimChar"/>
        </w:rPr>
        <w:t xml:space="preserve">label_projection</w:t>
      </w:r>
      <w:r>
        <w:t xml:space="preserve">, whose datasets, metrics and ranking we did not choose. Accuracy among the leading methods is tightly clustered — the top four span</w:t>
      </w:r>
      <w:r>
        <w:t xml:space="preserve"> </w:t>
      </w:r>
      <w:r>
        <w:rPr>
          <w:b/>
          <w:bCs/>
        </w:rPr>
        <w:t xml:space="preserve">0.008</w:t>
      </w:r>
      <w:r>
        <w:t xml:space="preserve"> </w:t>
      </w:r>
      <w:r>
        <w:t xml:space="preserve">— while their inference cost differs by two orders of magnitude and their peak memory by 2.4×. No method leads everywhere, and neither ordering is stable: accuracy inverts as the reference grows from 3k cells to a full atlas, and cost rankings invert with the input feature budget. Because several methods are now both accurate and cheap, the useful question is not which is best but which fits a given job. We show that a low, flat inference cost makes multi-stage annotation practical on a laptop, using</w:t>
      </w:r>
      <w:r>
        <w:t xml:space="preserve"> </w:t>
      </w:r>
      <w:r>
        <w:rPr>
          <w:b/>
          <w:bCs/>
        </w:rPr>
        <w:t xml:space="preserve">actinn-jax</w:t>
      </w:r>
      <w:r>
        <w:t xml:space="preserve">, a JAX reimplementation of ACTINN with a cached train-once/map-many reference: a shipped ~800-type reference with calibrated abstention hands off to a user’s own focused reference (cross-study liver 0.23/0.58 → 0.72/0.86, exact/ontology), with resolution below the cell-type label and cluster-level novelty screening. The same route builds a pan-mouse reference with no GPU, and distills</w:t>
      </w:r>
      <w:r>
        <w:t xml:space="preserve"> </w:t>
      </w:r>
      <w:r>
        <w:rPr>
          <w:b/>
          <w:bCs/>
        </w:rPr>
        <w:t xml:space="preserve">Pan-human Azimuth</w:t>
      </w:r>
      <w:r>
        <w:t xml:space="preserve"> </w:t>
      </w:r>
      <w:r>
        <w:t xml:space="preserve">into a broad-pass model matching its concordance at 6–9× its throughput. We release the reimplementation, the harness and the pre-trained references.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12"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w:t>
      </w:r>
      <w:r>
        <w:t xml:space="preserve"> </w:t>
      </w:r>
      <w:r>
        <w:t xml:space="preserve">but published comparisons (</w:t>
      </w:r>
      <w:hyperlink r:id="rId9">
        <w:r>
          <w:rPr>
            <w:rStyle w:val="Hyperlink"/>
          </w:rPr>
          <w:t xml:space="preserve">[Abdelaal 2019]</w:t>
        </w:r>
      </w:hyperlink>
      <w:r>
        <w:t xml:space="preserve">,</w:t>
      </w:r>
      <w:r>
        <w:t xml:space="preserve"> </w:t>
      </w:r>
      <w:hyperlink r:id="rId10">
        <w:r>
          <w:rPr>
            <w:rStyle w:val="Hyperlink"/>
          </w:rPr>
          <w:t xml:space="preserve">[Fu 2024]</w:t>
        </w:r>
      </w:hyperlink>
      <w:r>
        <w:t xml:space="preserve">)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The leading</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13-method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unfavorable direction (§5). Metrics are</w:t>
      </w:r>
      <w:r>
        <w:t xml:space="preserve"> </w:t>
      </w:r>
      <w:r>
        <w:t xml:space="preserve">fixed across all methods and reported in full. And the</w:t>
      </w:r>
      <w:r>
        <w:t xml:space="preserve"> </w:t>
      </w:r>
      <w:r>
        <w:rPr>
          <w:b/>
          <w:bCs/>
        </w:rPr>
        <w:t xml:space="preserve">external validation is not ours to</w:t>
      </w:r>
      <w:r>
        <w:rPr>
          <w:b/>
          <w:bCs/>
        </w:rPr>
        <w:t xml:space="preserve"> </w:t>
      </w:r>
      <w:r>
        <w:rPr>
          <w:b/>
          <w:bCs/>
        </w:rPr>
        <w:t xml:space="preserve">design</w:t>
      </w:r>
      <w:r>
        <w:t xml:space="preserve">: Open Problems</w:t>
      </w:r>
      <w:r>
        <w:t xml:space="preserve"> </w:t>
      </w:r>
      <w:r>
        <w:rPr>
          <w:rStyle w:val="VerbatimChar"/>
        </w:rPr>
        <w:t xml:space="preserve">label_projection</w:t>
      </w:r>
      <w:r>
        <w:t xml:space="preserve"> </w:t>
      </w:r>
      <w:r>
        <w:t xml:space="preserve">(§3.7)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memory</w:t>
      </w:r>
      <w:r>
        <w:t xml:space="preserve"> </w:t>
      </w:r>
      <w:r>
        <w:t xml:space="preserve">advantage that stays a fixed factor instead of growing with the data, a better-resourced broad</w:t>
      </w:r>
      <w:r>
        <w:t xml:space="preserve"> </w:t>
      </w:r>
      <w:r>
        <w:t xml:space="preserve">annotator than our own — they are reported in those terms.</w:t>
      </w:r>
    </w:p>
    <w:p>
      <w:pPr>
        <w:pStyle w:val="BodyText"/>
      </w:pPr>
      <w:r>
        <w:rPr>
          <w:b/>
          <w:bCs/>
        </w:rPr>
        <w:t xml:space="preserve">On adding another method to a crowded field.</w:t>
      </w:r>
      <w:r>
        <w:t xml:space="preserve"> </w:t>
      </w:r>
      <w:r>
        <w:t xml:space="preserve">We are not concluding that the new method</w:t>
      </w:r>
      <w:r>
        <w:t xml:space="preserve"> </w:t>
      </w:r>
      <w:r>
        <w:t xml:space="preserve">wins. On accuracy it sits inside a four-way cluster it does not lead; the panel was assembled</w:t>
      </w:r>
      <w:r>
        <w:t xml:space="preserve"> </w:t>
      </w:r>
      <w:r>
        <w:t xml:space="preserve">to include the baselines most likely to beat it, and they do. What earns it a place is</w:t>
      </w:r>
      <w:r>
        <w:t xml:space="preserve"> </w:t>
      </w:r>
      <w:r>
        <w:t xml:space="preserve">narrower: the original ACTINN no longer installs or runs on current Python and ML</w:t>
      </w:r>
      <w:r>
        <w:t xml:space="preserve"> </w:t>
      </w:r>
      <w:r>
        <w:t xml:space="preserve">environments, and the</w:t>
      </w:r>
      <w:r>
        <w:t xml:space="preserve"> </w:t>
      </w:r>
      <w:r>
        <w:t xml:space="preserve">reimplementation’s flat, sub-second, memory-bounded inference over a cached reference is what</w:t>
      </w:r>
      <w:r>
        <w:t xml:space="preserve"> </w:t>
      </w:r>
      <w:r>
        <w:t xml:space="preserve">makes the multi-stage workflow of §3.4 practical on a laptop. A field already full of working</w:t>
      </w:r>
      <w:r>
        <w:t xml:space="preserve"> </w:t>
      </w:r>
      <w:r>
        <w:t xml:space="preserve">methods (</w:t>
      </w:r>
      <w:hyperlink r:id="rId11">
        <w:r>
          <w:rPr>
            <w:rStyle w:val="Hyperlink"/>
          </w:rPr>
          <w:t xml:space="preserve">xkcd 927</w:t>
        </w:r>
      </w:hyperlink>
      <w:r>
        <w:t xml:space="preserve">)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(§3.4).</w:t>
      </w:r>
    </w:p>
    <w:p>
      <w:pPr>
        <w:pStyle w:val="BodyText"/>
      </w:pPr>
      <w:r>
        <w:rPr>
          <w:b/>
          <w:bCs/>
        </w:rPr>
        <w:t xml:space="preserve">Contributions.</w:t>
      </w:r>
    </w:p>
    <w:p>
      <w:pPr>
        <w:pStyle w:val="Compact"/>
        <w:numPr>
          <w:ilvl w:val="0"/>
          <w:numId w:val="1001"/>
        </w:numPr>
      </w:pPr>
      <w:r>
        <w:t xml:space="preserve">A modern, dependency-light (no TensorFlow) JAX reimplementation of ACTINN with sparse</w:t>
      </w:r>
      <w:r>
        <w:t xml:space="preserve"> </w:t>
      </w:r>
      <w:r>
        <w:t xml:space="preserve">preprocessing, chunked atlas-scale prediction, and a cached reference model.</w:t>
      </w:r>
    </w:p>
    <w:p>
      <w:pPr>
        <w:pStyle w:val="Compact"/>
        <w:numPr>
          <w:ilvl w:val="0"/>
          <w:numId w:val="1001"/>
        </w:numPr>
      </w:pPr>
      <w:r>
        <w:t xml:space="preserve">A neutral</w:t>
      </w:r>
      <w:r>
        <w:t xml:space="preserve"> </w:t>
      </w:r>
      <w:r>
        <w:rPr>
          <w:b/>
          <w:bCs/>
        </w:rPr>
        <w:t xml:space="preserve">13-method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sweep across reference sizes up to</w:t>
      </w:r>
      <w:r>
        <w:rPr>
          <w:b/>
          <w:bCs/>
        </w:rPr>
        <w:t xml:space="preserve"> </w:t>
      </w:r>
      <w:r>
        <w:rPr>
          <w:b/>
          <w:bCs/>
        </w:rPr>
        <w:t xml:space="preserve">full atlas scale</w:t>
      </w:r>
      <w:r>
        <w:t xml:space="preserve">, which is what shows that the ranking is a function of how much</w:t>
      </w:r>
      <w:r>
        <w:t xml:space="preserve"> </w:t>
      </w:r>
      <w:r>
        <w:t xml:space="preserve">reference data each method is given.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is also what sets actinn-jax’s minibatch policy: at</w:t>
      </w:r>
      <w:r>
        <w:t xml:space="preserve"> </w:t>
      </w:r>
      <w:r>
        <w:t xml:space="preserve">ACTINN’s fixed batch of 128, a 47k-cell reference costs ~24k tiny update steps, so</w:t>
      </w:r>
      <w:r>
        <w:t xml:space="preserve"> </w:t>
      </w:r>
      <w:r>
        <w:t xml:space="preserve">actinn-jax scales the batch with the reference above ~12.8k cells and keeps 128 below it.</w:t>
      </w:r>
      <w:r>
        <w:t xml:space="preserve"> </w:t>
      </w:r>
      <w:r>
        <w:t xml:space="preserve">Measured fit and predict curves are in §3.3.</w:t>
      </w:r>
    </w:p>
    <w:p>
      <w:pPr>
        <w:pStyle w:val="Compact"/>
        <w:numPr>
          <w:ilvl w:val="0"/>
          <w:numId w:val="1001"/>
        </w:numPr>
      </w:pP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broad→focused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pass itself is not a distinguishing feature — we distill that</w:t>
      </w:r>
      <w:r>
        <w:t xml:space="preserve"> </w:t>
      </w:r>
      <w:r>
        <w:t xml:space="preserve">model into a broad-pass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 The same route builds a</w:t>
      </w:r>
      <w:r>
        <w:t xml:space="preserve"> </w:t>
      </w:r>
      <w:r>
        <w:rPr>
          <w:b/>
          <w:bCs/>
        </w:rPr>
        <w:t xml:space="preserve">pan-mouse reference</w:t>
      </w:r>
      <w:r>
        <w:t xml:space="preserve"> </w:t>
      </w:r>
      <w:r>
        <w:t xml:space="preserve">(453 types / 85 tissues; 0.638 ontology concordance on two</w:t>
      </w:r>
      <w:r>
        <w:t xml:space="preserve"> </w:t>
      </w:r>
      <w:r>
        <w:t xml:space="preserve">withheld datasets) in 17 s of CPU, using Cell Ontology lineage in place of a</w:t>
      </w:r>
      <w:r>
        <w:t xml:space="preserve"> </w:t>
      </w:r>
      <w:r>
        <w:t xml:space="preserve">foundation-model embedding. On the human corpus where it was validated it beats having no</w:t>
      </w:r>
      <w:r>
        <w:t xml:space="preserve"> </w:t>
      </w:r>
      <w:r>
        <w:t xml:space="preserve">hierarchy at all (0.616 vs 0.547) and a random grouping of the same sizes (0.539), and it</w:t>
      </w:r>
      <w:r>
        <w:t xml:space="preserve"> </w:t>
      </w:r>
      <w:r>
        <w:t xml:space="preserve">needs no GPU at any stage.</w:t>
      </w:r>
    </w:p>
    <w:p>
      <w:pPr>
        <w:pStyle w:val="Compact"/>
        <w:numPr>
          <w:ilvl w:val="0"/>
          <w:numId w:val="1001"/>
        </w:numPr>
      </w:pPr>
      <w:r>
        <w:t xml:space="preserve">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12"/>
    <w:bookmarkStart w:id="46" w:name="methods"/>
    <w:p>
      <w:pPr>
        <w:pStyle w:val="Heading1"/>
      </w:pPr>
      <w:r>
        <w:t xml:space="preserve">Methods</w:t>
      </w:r>
    </w:p>
    <w:bookmarkStart w:id="15" w:name="actinn-jax"/>
    <w:p>
      <w:pPr>
        <w:pStyle w:val="Heading2"/>
      </w:pPr>
      <w:r>
        <w:t xml:space="preserve">actinn-jax</w:t>
      </w:r>
    </w:p>
    <w:p>
      <w:pPr>
        <w:pStyle w:val="FirstParagraph"/>
      </w:pPr>
      <w:r>
        <w:t xml:space="preserve">actinn-jax reimplements ACTINN (</w:t>
      </w:r>
      <w:hyperlink r:id="rId13">
        <w:r>
          <w:rPr>
            <w:rStyle w:val="Hyperlink"/>
          </w:rPr>
          <w:t xml:space="preserve">[Ma &amp; Pellegrini 2020]</w:t>
        </w:r>
      </w:hyperlink>
      <w:r>
        <w:t xml:space="preserve">) — a 4-layer fully-connected</w:t>
      </w:r>
      <w:r>
        <w:t xml:space="preserve"> </w:t>
      </w:r>
      <w:r>
        <w:t xml:space="preserve">network (100/50/25 hidden units, ReLU, softmax) trained with Adam — in JAX/optax</w:t>
      </w:r>
      <w:r>
        <w:t xml:space="preserve"> </w:t>
      </w:r>
      <w:r>
        <w:t xml:space="preserve">(</w:t>
      </w:r>
      <w:hyperlink r:id="rId14">
        <w:r>
          <w:rPr>
            <w:rStyle w:val="Hyperlink"/>
          </w:rPr>
          <w:t xml:space="preserve">[Bradbury 2018]</w:t>
        </w:r>
      </w:hyperlink>
      <w:r>
        <w:t xml:space="preserve">), replacing</w:t>
      </w:r>
      <w:r>
        <w:t xml:space="preserve"> </w:t>
      </w:r>
      <w:r>
        <w:t xml:space="preserve">the original’s TensorFlow-1.x graph/session code. Key engineering:</w:t>
      </w:r>
    </w:p>
    <w:p>
      <w:pPr>
        <w:pStyle w:val="Compact"/>
        <w:numPr>
          <w:ilvl w:val="0"/>
          <w:numId w:val="1002"/>
        </w:numPr>
      </w:pPr>
      <w:r>
        <w:rPr>
          <w:b/>
          <w:bCs/>
        </w:rPr>
        <w:t xml:space="preserve">Sparse-aware preprocessing</w:t>
      </w:r>
      <w:r>
        <w:t xml:space="preserve">: the count matrix is never densified in full. CP10k+log2</w:t>
      </w:r>
      <w:r>
        <w:t xml:space="preserve"> </w:t>
      </w:r>
      <w:r>
        <w:t xml:space="preserve">normalization and the expression / coefficient-of-variation gene filter run on the sparse</w:t>
      </w:r>
      <w:r>
        <w:t xml:space="preserve"> </w:t>
      </w:r>
      <w:r>
        <w:t xml:space="preserve">matrix; only the selected-gene columns of each minibatch are made dense.</w:t>
      </w:r>
    </w:p>
    <w:p>
      <w:pPr>
        <w:pStyle w:val="Compact"/>
        <w:numPr>
          <w:ilvl w:val="0"/>
          <w:numId w:val="1002"/>
        </w:numPr>
      </w:pPr>
      <w:r>
        <w:rPr>
          <w:b/>
          <w:bCs/>
        </w:rPr>
        <w:t xml:space="preserve">Cached reference model</w:t>
      </w:r>
      <w:r>
        <w:t xml:space="preserve">: train once, write the fitted model to disk, reload it and map</w:t>
      </w:r>
      <w:r>
        <w:t xml:space="preserve"> </w:t>
      </w:r>
      <w:r>
        <w:t xml:space="preserve">many queries — the amortized cost of repeated annotation against a fixed reference drops</w:t>
      </w:r>
      <w:r>
        <w:t xml:space="preserve"> </w:t>
      </w:r>
      <w:r>
        <w:t xml:space="preserve">to the inference cost alone.</w:t>
      </w:r>
    </w:p>
    <w:p>
      <w:pPr>
        <w:pStyle w:val="Compact"/>
        <w:numPr>
          <w:ilvl w:val="0"/>
          <w:numId w:val="1002"/>
        </w:numPr>
      </w:pPr>
      <w:r>
        <w:rPr>
          <w:b/>
          <w:bCs/>
        </w:rPr>
        <w:t xml:space="preserve">Chunked prediction</w:t>
      </w:r>
      <w:r>
        <w:t xml:space="preserve"> </w:t>
      </w:r>
      <w:r>
        <w:t xml:space="preserve">for atlas-scale queries, and raw counts are picked up automatically</w:t>
      </w:r>
      <w:r>
        <w:t xml:space="preserve"> </w:t>
      </w:r>
      <w:r>
        <w:t xml:space="preserve">from the slot where CELLxGENE files conventionally store them.</w:t>
      </w:r>
    </w:p>
    <w:p>
      <w:pPr>
        <w:pStyle w:val="Compact"/>
        <w:numPr>
          <w:ilvl w:val="0"/>
          <w:numId w:val="1002"/>
        </w:numPr>
      </w:pPr>
      <w:r>
        <w:rPr>
          <w:b/>
          <w:bCs/>
        </w:rPr>
        <w:t xml:space="preserve">Optional reference-fit standardization</w:t>
      </w:r>
      <w:r>
        <w:t xml:space="preserve">: z-score each selected gene by the reference’s</w:t>
      </w:r>
      <w:r>
        <w:t xml:space="preserve"> </w:t>
      </w:r>
      <w:r>
        <w:t xml:space="preserve">frozen mean and standard deviation and apply that to the query — a cheap domain alignment</w:t>
      </w:r>
      <w:r>
        <w:t xml:space="preserve"> </w:t>
      </w:r>
      <w:r>
        <w:t xml:space="preserve">(§3.7). Off by default; when on, the scaler is saved alongside the model and travels with</w:t>
      </w:r>
      <w:r>
        <w:t xml:space="preserve"> </w:t>
      </w:r>
      <w:r>
        <w:t xml:space="preserve">it, and models saved without it still load.</w:t>
      </w:r>
    </w:p>
    <w:p>
      <w:pPr>
        <w:pStyle w:val="FirstParagraph"/>
      </w:pPr>
      <w:r>
        <w:t xml:space="preserve">The reimplementation reproduces the original’s accuracy to within repeat noise and, unlike</w:t>
      </w:r>
      <w:r>
        <w:t xml:space="preserve"> </w:t>
      </w:r>
      <w:r>
        <w:t xml:space="preserve">the TensorFlow-1.x original,</w:t>
      </w:r>
      <w:r>
        <w:t xml:space="preserve"> </w:t>
      </w:r>
      <w:r>
        <w:rPr>
          <w:b/>
          <w:bCs/>
        </w:rPr>
        <w:t xml:space="preserve">installs on current Python and ML environments</w:t>
      </w:r>
      <w:r>
        <w:t xml:space="preserve">. Because the</w:t>
      </w:r>
      <w:r>
        <w:t xml:space="preserve"> </w:t>
      </w:r>
      <w:r>
        <w:t xml:space="preserve">two are the same model at equal accuracy, we do not carry the original as a separate benchmark row; the</w:t>
      </w:r>
      <w:r>
        <w:t xml:space="preserve"> </w:t>
      </w:r>
      <w:r>
        <w:t xml:space="preserve">engineering win is the point, not an accuracy comparison.</w:t>
      </w:r>
    </w:p>
    <w:bookmarkEnd w:id="15"/>
    <w:bookmarkStart w:id="26"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146"/>
        <w:gridCol w:w="1250"/>
        <w:gridCol w:w="1146"/>
        <w:gridCol w:w="2084"/>
        <w:gridCol w:w="1042"/>
        <w:gridCol w:w="1250"/>
      </w:tblGrid>
      <w:tr>
        <w:trPr>
          <w:tblHeader w:val="on"/>
        </w:trPr>
        <w:tc>
          <w:tcPr/>
          <w:p>
            <w:pPr>
              <w:pStyle w:val="Compact"/>
            </w:pPr>
            <w:r>
              <w:t xml:space="preserve">method</w:t>
            </w:r>
          </w:p>
        </w:tc>
        <w:tc>
          <w:tcPr/>
          <w:p>
            <w:pPr>
              <w:pStyle w:val="Compact"/>
            </w:pPr>
            <w:r>
              <w:t xml:space="preserve">source</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runtime</w:t>
            </w:r>
          </w:p>
        </w:tc>
      </w:tr>
      <w:tr>
        <w:tc>
          <w:tcPr/>
          <w:p>
            <w:pPr>
              <w:pStyle w:val="Compact"/>
            </w:pPr>
            <w:r>
              <w:rPr>
                <w:b/>
                <w:bCs/>
              </w:rPr>
              <w:t xml:space="preserve">actinn-jax</w:t>
            </w:r>
          </w:p>
        </w:tc>
        <w:tc>
          <w:tcPr/>
          <w:p>
            <w:pPr>
              <w:pStyle w:val="Compact"/>
            </w:pPr>
            <w:hyperlink r:id="rId13">
              <w:r>
                <w:rPr>
                  <w:rStyle w:val="Hyperlink"/>
                </w:rPr>
                <w:t xml:space="preserve">[Ma &amp; Pellegrini 2020]</w:t>
              </w:r>
            </w:hyperlink>
          </w:p>
        </w:tc>
        <w:tc>
          <w:tcPr/>
          <w:p>
            <w:pPr>
              <w:pStyle w:val="Compact"/>
            </w:pPr>
            <w:r>
              <w:t xml:space="preserve">classical</w:t>
            </w:r>
          </w:p>
        </w:tc>
        <w:tc>
          <w:tcPr/>
          <w:p>
            <w:pPr>
              <w:pStyle w:val="Compact"/>
            </w:pPr>
            <w:r>
              <w:t xml:space="preserve">JAX MLP</w:t>
            </w:r>
          </w:p>
        </w:tc>
        <w:tc>
          <w:tcPr/>
          <w:p>
            <w:pPr>
              <w:pStyle w:val="Compact"/>
            </w:pPr>
            <w:r>
              <w:t xml:space="preserve">confidence threshold</w:t>
            </w:r>
          </w:p>
        </w:tc>
        <w:tc>
          <w:tcPr/>
          <w:p>
            <w:pPr>
              <w:pStyle w:val="Compact"/>
            </w:pPr>
            <w:r>
              <w:t xml:space="preserve">JAX</w:t>
            </w:r>
          </w:p>
        </w:tc>
      </w:tr>
      <w:tr>
        <w:tc>
          <w:tcPr/>
          <w:p>
            <w:pPr>
              <w:pStyle w:val="Compact"/>
            </w:pPr>
            <w:r>
              <w:t xml:space="preserve">SVM</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scikit-learn</w:t>
            </w:r>
          </w:p>
        </w:tc>
      </w:tr>
      <w:tr>
        <w:tc>
          <w:tcPr/>
          <w:p>
            <w:pPr>
              <w:pStyle w:val="Compact"/>
            </w:pPr>
            <w:r>
              <w:t xml:space="preserve">kNN</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scikit-learn</w:t>
            </w:r>
          </w:p>
        </w:tc>
      </w:tr>
      <w:tr>
        <w:tc>
          <w:tcPr/>
          <w:p>
            <w:pPr>
              <w:pStyle w:val="Compact"/>
            </w:pPr>
            <w:r>
              <w:t xml:space="preserve">CellTypist</w:t>
            </w:r>
          </w:p>
        </w:tc>
        <w:tc>
          <w:tcPr/>
          <w:p>
            <w:pPr>
              <w:pStyle w:val="Compact"/>
            </w:pPr>
            <w:hyperlink r:id="rId17">
              <w:r>
                <w:rPr>
                  <w:rStyle w:val="Hyperlink"/>
                </w:rPr>
                <w:t xml:space="preserve">[Domínguez Conde 2022]</w:t>
              </w:r>
            </w:hyperlink>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scikit-learn</w:t>
            </w:r>
          </w:p>
        </w:tc>
      </w:tr>
      <w:tr>
        <w:tc>
          <w:tcPr/>
          <w:p>
            <w:pPr>
              <w:pStyle w:val="Compact"/>
            </w:pPr>
            <w:r>
              <w:rPr>
                <w:b/>
                <w:bCs/>
              </w:rPr>
              <w:t xml:space="preserve">linear-anova-pca</w:t>
            </w:r>
          </w:p>
        </w:tc>
        <w:tc>
          <w:tcPr/>
          <w:p>
            <w:pPr>
              <w:pStyle w:val="Compact"/>
            </w:pPr>
            <w:hyperlink r:id="rId16">
              <w:r>
                <w:rPr>
                  <w:rStyle w:val="Hyperlink"/>
                </w:rPr>
                <w:t xml:space="preserve">[Pedregosa 2011]</w:t>
              </w:r>
            </w:hyperlink>
            <w:r>
              <w:t xml:space="preserve"> </w:t>
            </w:r>
            <w:r>
              <w:t xml:space="preserve">†</w:t>
            </w:r>
          </w:p>
        </w:tc>
        <w:tc>
          <w:tcPr/>
          <w:p>
            <w:pPr>
              <w:pStyle w:val="Compact"/>
            </w:pPr>
            <w:r>
              <w:t xml:space="preserve">linear</w:t>
            </w:r>
          </w:p>
        </w:tc>
        <w:tc>
          <w:tcPr/>
          <w:p>
            <w:pPr>
              <w:pStyle w:val="Compact"/>
            </w:pPr>
            <w:r>
              <w:t xml:space="preserve">normalize → ANOVA → PCA(220) → logreg</w:t>
            </w:r>
          </w:p>
        </w:tc>
        <w:tc>
          <w:tcPr/>
          <w:p>
            <w:pPr>
              <w:pStyle w:val="Compact"/>
            </w:pPr>
            <w:r>
              <w:t xml:space="preserve">prob</w:t>
            </w:r>
          </w:p>
        </w:tc>
        <w:tc>
          <w:tcPr/>
          <w:p>
            <w:pPr>
              <w:pStyle w:val="Compact"/>
            </w:pPr>
            <w:r>
              <w:t xml:space="preserve">scikit-learn</w:t>
            </w:r>
          </w:p>
        </w:tc>
      </w:tr>
      <w:tr>
        <w:tc>
          <w:tcPr/>
          <w:p>
            <w:pPr>
              <w:pStyle w:val="Compact"/>
            </w:pPr>
            <w:r>
              <w:rPr>
                <w:b/>
                <w:bCs/>
              </w:rPr>
              <w:t xml:space="preserve">scTOP</w:t>
            </w:r>
          </w:p>
        </w:tc>
        <w:tc>
          <w:tcPr/>
          <w:p>
            <w:pPr>
              <w:pStyle w:val="Compact"/>
            </w:pPr>
            <w:hyperlink r:id="rId18">
              <w:r>
                <w:rPr>
                  <w:rStyle w:val="Hyperlink"/>
                </w:rPr>
                <w:t xml:space="preserve">[Yampolskaya 2023]</w:t>
              </w:r>
            </w:hyperlink>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NumPy</w:t>
            </w:r>
          </w:p>
        </w:tc>
      </w:tr>
      <w:tr>
        <w:tc>
          <w:tcPr/>
          <w:p>
            <w:pPr>
              <w:pStyle w:val="Compact"/>
            </w:pPr>
            <w:r>
              <w:t xml:space="preserve">SingleR</w:t>
            </w:r>
          </w:p>
        </w:tc>
        <w:tc>
          <w:tcPr/>
          <w:p>
            <w:pPr>
              <w:pStyle w:val="Compact"/>
            </w:pPr>
            <w:hyperlink r:id="rId19">
              <w:r>
                <w:rPr>
                  <w:rStyle w:val="Hyperlink"/>
                </w:rPr>
                <w:t xml:space="preserve">[Aran 2019]</w:t>
              </w:r>
            </w:hyperlink>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w:t>
            </w:r>
          </w:p>
        </w:tc>
      </w:tr>
      <w:tr>
        <w:tc>
          <w:tcPr/>
          <w:p>
            <w:pPr>
              <w:pStyle w:val="Compact"/>
            </w:pPr>
            <w:r>
              <w:t xml:space="preserve">scmap-cluster</w:t>
            </w:r>
          </w:p>
        </w:tc>
        <w:tc>
          <w:tcPr/>
          <w:p>
            <w:pPr>
              <w:pStyle w:val="Compact"/>
            </w:pPr>
            <w:hyperlink r:id="rId20">
              <w:r>
                <w:rPr>
                  <w:rStyle w:val="Hyperlink"/>
                </w:rPr>
                <w:t xml:space="preserve">[Kiselev 2018]</w:t>
              </w:r>
            </w:hyperlink>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w:t>
            </w:r>
          </w:p>
        </w:tc>
      </w:tr>
      <w:tr>
        <w:tc>
          <w:tcPr/>
          <w:p>
            <w:pPr>
              <w:pStyle w:val="Compact"/>
            </w:pPr>
            <w:r>
              <w:t xml:space="preserve">scANVI</w:t>
            </w:r>
          </w:p>
        </w:tc>
        <w:tc>
          <w:tcPr/>
          <w:p>
            <w:pPr>
              <w:pStyle w:val="Compact"/>
            </w:pPr>
            <w:hyperlink r:id="rId21">
              <w:r>
                <w:rPr>
                  <w:rStyle w:val="Hyperlink"/>
                </w:rPr>
                <w:t xml:space="preserve">[Xu 2021]</w:t>
              </w:r>
            </w:hyperlink>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scVI</w:t>
            </w:r>
          </w:p>
        </w:tc>
      </w:tr>
      <w:tr>
        <w:tc>
          <w:tcPr/>
          <w:p>
            <w:pPr>
              <w:pStyle w:val="Compact"/>
            </w:pPr>
            <w:r>
              <w:t xml:space="preserve">scArches</w:t>
            </w:r>
          </w:p>
        </w:tc>
        <w:tc>
          <w:tcPr/>
          <w:p>
            <w:pPr>
              <w:pStyle w:val="Compact"/>
            </w:pPr>
            <w:hyperlink r:id="rId22">
              <w:r>
                <w:rPr>
                  <w:rStyle w:val="Hyperlink"/>
                </w:rPr>
                <w:t xml:space="preserve">[Lotfollahi 2022]</w:t>
              </w:r>
            </w:hyperlink>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scVI</w:t>
            </w:r>
          </w:p>
        </w:tc>
      </w:tr>
      <w:tr>
        <w:tc>
          <w:tcPr/>
          <w:p>
            <w:pPr>
              <w:pStyle w:val="Compact"/>
            </w:pPr>
            <w:r>
              <w:rPr>
                <w:b/>
                <w:bCs/>
              </w:rPr>
              <w:t xml:space="preserve">ProtoCloud</w:t>
            </w:r>
          </w:p>
        </w:tc>
        <w:tc>
          <w:tcPr/>
          <w:p>
            <w:pPr>
              <w:pStyle w:val="Compact"/>
            </w:pPr>
            <w:hyperlink r:id="rId23">
              <w:r>
                <w:rPr>
                  <w:rStyle w:val="Hyperlink"/>
                </w:rPr>
                <w:t xml:space="preserve">[Guo &amp; Ding 2026]</w:t>
              </w:r>
            </w:hyperlink>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PyTorch</w:t>
            </w:r>
          </w:p>
        </w:tc>
      </w:tr>
      <w:tr>
        <w:tc>
          <w:tcPr/>
          <w:p>
            <w:pPr>
              <w:pStyle w:val="Compact"/>
            </w:pPr>
            <w:r>
              <w:t xml:space="preserve">scPRINT</w:t>
            </w:r>
          </w:p>
        </w:tc>
        <w:tc>
          <w:tcPr/>
          <w:p>
            <w:pPr>
              <w:pStyle w:val="Compact"/>
            </w:pPr>
            <w:hyperlink r:id="rId24">
              <w:r>
                <w:rPr>
                  <w:rStyle w:val="Hyperlink"/>
                </w:rPr>
                <w:t xml:space="preserve">[Kalfon 2025]</w:t>
              </w:r>
            </w:hyperlink>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PyTorch</w:t>
            </w:r>
          </w:p>
        </w:tc>
      </w:tr>
      <w:tr>
        <w:tc>
          <w:tcPr/>
          <w:p>
            <w:pPr>
              <w:pStyle w:val="Compact"/>
            </w:pPr>
            <w:r>
              <w:rPr>
                <w:b/>
                <w:bCs/>
              </w:rPr>
              <w:t xml:space="preserve">Pan-human Azimuth</w:t>
            </w:r>
          </w:p>
        </w:tc>
        <w:tc>
          <w:tcPr/>
          <w:p>
            <w:pPr>
              <w:pStyle w:val="Compact"/>
            </w:pPr>
            <w:hyperlink r:id="rId25">
              <w:r>
                <w:rPr>
                  <w:rStyle w:val="Hyperlink"/>
                </w:rPr>
                <w:t xml:space="preserve">[Sarkar et al. 2026]</w:t>
              </w:r>
            </w:hyperlink>
          </w:p>
        </w:tc>
        <w:tc>
          <w:tcPr/>
          <w:p>
            <w:pPr>
              <w:pStyle w:val="Compact"/>
            </w:pPr>
            <w:r>
              <w:t xml:space="preserve">pretrained</w:t>
            </w:r>
          </w:p>
        </w:tc>
        <w:tc>
          <w:tcPr/>
          <w:p>
            <w:pPr>
              <w:pStyle w:val="Compact"/>
            </w:pPr>
            <w:r>
              <w:t xml:space="preserve">8-level hierarchical NN, fixed 382-leaf typology</w:t>
            </w:r>
          </w:p>
        </w:tc>
        <w:tc>
          <w:tcPr/>
          <w:p>
            <w:pPr>
              <w:pStyle w:val="Compact"/>
            </w:pPr>
            <w:r>
              <w:t xml:space="preserve">trained</w:t>
            </w:r>
            <w:r>
              <w:t xml:space="preserve"> </w:t>
            </w:r>
            <w:r>
              <w:rPr>
                <w:rStyle w:val="VerbatimChar"/>
              </w:rPr>
              <w:t xml:space="preserve">Unassigned</w:t>
            </w:r>
          </w:p>
        </w:tc>
        <w:tc>
          <w:tcPr/>
          <w:p>
            <w:pPr>
              <w:pStyle w:val="Compact"/>
            </w:pPr>
            <w:r>
              <w:t xml:space="preserve">TensorFlow</w:t>
            </w:r>
          </w:p>
        </w:tc>
      </w:tr>
    </w:tbl>
    <w:p>
      <w:pPr>
        <w:pStyle w:val="BodyText"/>
      </w:pPr>
      <w:r>
        <w:rPr>
          <w:b/>
          <w:bCs/>
        </w:rPr>
        <w:t xml:space="preserve">Table 1.</w:t>
      </w:r>
      <w:r>
        <w:t xml:space="preserve"> </w:t>
      </w:r>
      <w:r>
        <w:t xml:space="preserve">The benchmarked methods: model family (</w:t>
      </w:r>
      <w:r>
        <w:rPr>
          <w:i/>
          <w:iCs/>
        </w:rPr>
        <w:t xml:space="preserve">tier</w:t>
      </w:r>
      <w:r>
        <w:t xml:space="preserve">), the engine each one actually runs,</w:t>
      </w:r>
      <w:r>
        <w:t xml:space="preserve"> </w:t>
      </w:r>
      <w:r>
        <w:t xml:space="preserve">whether it can decline to call a cell (</w:t>
      </w:r>
      <w:r>
        <w:rPr>
          <w:i/>
          <w:iCs/>
        </w:rPr>
        <w:t xml:space="preserve">rejection</w:t>
      </w:r>
      <w:r>
        <w:t xml:space="preserve">), and the runtime stack it was run on;</w:t>
      </w:r>
      <w:r>
        <w:t xml:space="preserve"> </w:t>
      </w:r>
      <w:r>
        <w:t xml:space="preserve">each has its own pinned environment (§2.5). Bold marks the methods added to this panel here.</w:t>
      </w:r>
    </w:p>
    <w:p>
      <w:pPr>
        <w:pStyle w:val="BodyText"/>
      </w:pPr>
      <w:r>
        <w:t xml:space="preserve">†</w:t>
      </w:r>
      <w:r>
        <w:t xml:space="preserve"> </w:t>
      </w:r>
      <w:r>
        <w:rPr>
          <w:rStyle w:val="VerbatimChar"/>
        </w:rPr>
        <w:t xml:space="preserve">linear-anova-pca</w:t>
      </w:r>
      <w:r>
        <w:t xml:space="preserve"> </w:t>
      </w:r>
      <w:r>
        <w:t xml:space="preserve">has no method paper: it is a baseline assembled here from scikit-learn</w:t>
      </w:r>
      <w:r>
        <w:t xml:space="preserve"> </w:t>
      </w:r>
      <w:r>
        <w:t xml:space="preserve">components, tuned deliberately to be the strongest simple competitor we could build (§1).</w:t>
      </w:r>
    </w:p>
    <w:p>
      <w:pPr>
        <w:pStyle w:val="BodyText"/>
      </w:pPr>
      <w:r>
        <w:rPr>
          <w:b/>
          <w:bCs/>
        </w:rPr>
        <w:t xml:space="preserve">Eleven of the thirteen are trained on each dataset’s own reference</w:t>
      </w:r>
      <w:r>
        <w:t xml:space="preserve"> </w:t>
      </w:r>
      <w:r>
        <w:t xml:space="preserve">and run the full</w:t>
      </w:r>
      <w:r>
        <w:t xml:space="preserve"> </w:t>
      </w:r>
      <w:r>
        <w:t xml:space="preserve">accuracy/cost matrix of §3.1 on all six datasets, so none is compared on a favorable subset.</w:t>
      </w:r>
      <w:r>
        <w:t xml:space="preserve"> </w:t>
      </w:r>
      <w:r>
        <w:t xml:space="preserve">The remaining two are</w:t>
      </w:r>
      <w:r>
        <w:t xml:space="preserve"> </w:t>
      </w:r>
      <w:r>
        <w:rPr>
          <w:b/>
          <w:bCs/>
        </w:rPr>
        <w:t xml:space="preserve">pretrained annotators with fixed label vocabularies</w:t>
      </w:r>
      <w:r>
        <w:t xml:space="preserve">, which changes</w:t>
      </w:r>
      <w:r>
        <w:t xml:space="preserve"> </w:t>
      </w:r>
      <w:r>
        <w:t xml:space="preserve">what can be measured rather than excusing them from measurement:</w:t>
      </w:r>
    </w:p>
    <w:p>
      <w:pPr>
        <w:pStyle w:val="Compact"/>
        <w:numPr>
          <w:ilvl w:val="0"/>
          <w:numId w:val="1003"/>
        </w:numPr>
      </w:pPr>
      <w:r>
        <w:rPr>
          <w:b/>
          <w:bCs/>
        </w:rPr>
        <w:t xml:space="preserve">scPRINT</w:t>
      </w:r>
      <w:r>
        <w:t xml:space="preserve"> </w:t>
      </w:r>
      <w:r>
        <w:t xml:space="preserve">is a zero-shot foundation model over a fixed</w:t>
      </w:r>
      <w:r>
        <w:t xml:space="preserve"> </w:t>
      </w:r>
      <w:r>
        <w:rPr>
          <w:b/>
          <w:bCs/>
        </w:rPr>
        <w:t xml:space="preserve">Cell Ontology (CL)</w:t>
      </w:r>
      <w:r>
        <w:t xml:space="preserve"> </w:t>
      </w:r>
      <w:r>
        <w:t xml:space="preserve">vocabulary —</w:t>
      </w:r>
      <w:r>
        <w:t xml:space="preserve"> </w:t>
      </w:r>
      <w:r>
        <w:t xml:space="preserve">CL is the standard controlled vocabulary of cell types, used throughout as the common</w:t>
      </w:r>
      <w:r>
        <w:t xml:space="preserve"> </w:t>
      </w:r>
      <w:r>
        <w:t xml:space="preserve">ground between datasets that name the same cell differently. scPRINT cannot emit labels</w:t>
      </w:r>
      <w:r>
        <w:t xml:space="preserve"> </w:t>
      </w:r>
      <w:r>
        <w:t xml:space="preserve">outside that set, and skips symbol-keyed datasets.</w:t>
      </w:r>
    </w:p>
    <w:p>
      <w:pPr>
        <w:pStyle w:val="Compact"/>
        <w:numPr>
          <w:ilvl w:val="0"/>
          <w:numId w:val="1003"/>
        </w:numPr>
      </w:pPr>
      <w:r>
        <w:rPr>
          <w:b/>
          <w:bCs/>
        </w:rPr>
        <w:t xml:space="preserve">Pan-human Azimuth</w:t>
      </w:r>
      <w:r>
        <w:t xml:space="preserve"> </w:t>
      </w:r>
      <w:r>
        <w:t xml:space="preserve">(</w:t>
      </w:r>
      <w:hyperlink r:id="rId25">
        <w:r>
          <w:rPr>
            <w:rStyle w:val="Hyperlink"/>
          </w:rPr>
          <w:t xml:space="preserve">[Sarkar et al. 2026]</w:t>
        </w:r>
      </w:hyperlink>
      <w:r>
        <w:t xml:space="preserve">) is a supervised hierarchical classifier over a</w:t>
      </w:r>
      <w:r>
        <w:t xml:space="preserve"> </w:t>
      </w:r>
      <w:r>
        <w:t xml:space="preserve">single organism-wide typology — 8 levels, 382 leaves, ~7M parameters, a fixed 5,055-gene</w:t>
      </w:r>
      <w:r>
        <w:t xml:space="preserve"> </w:t>
      </w:r>
      <w:r>
        <w:t xml:space="preserve">panel, trained on 9.7M curated cells, with abstention</w:t>
      </w:r>
      <w:r>
        <w:t xml:space="preserve"> </w:t>
      </w:r>
      <w:r>
        <w:rPr>
          <w:i/>
          <w:iCs/>
        </w:rPr>
        <w:t xml:space="preserve">learned rather than thresholded</w:t>
      </w:r>
      <w:r>
        <w:t xml:space="preserve"> </w:t>
      </w:r>
      <w:r>
        <w:t xml:space="preserve">—</w:t>
      </w:r>
      <w:r>
        <w:t xml:space="preserve"> </w:t>
      </w:r>
      <w:r>
        <w:t xml:space="preserve">the model is trained to answer</w:t>
      </w:r>
      <w:r>
        <w:t xml:space="preserve"> </w:t>
      </w:r>
      <w:r>
        <w:rPr>
          <w:rStyle w:val="VerbatimChar"/>
        </w:rPr>
        <w:t xml:space="preserve">Unassigned</w:t>
      </w:r>
      <w:r>
        <w:t xml:space="preserve">, instead of having a probability cutoff applied</w:t>
      </w:r>
      <w:r>
        <w:t xml:space="preserve"> </w:t>
      </w:r>
      <w:r>
        <w:t xml:space="preserve">to its output afterwards. It is the closest published counterpart to this paper’s broad</w:t>
      </w:r>
      <w:r>
        <w:t xml:space="preserve"> </w:t>
      </w:r>
      <w:r>
        <w:t xml:space="preserve">pass, and the teacher we distill in §3.4.</w:t>
      </w:r>
    </w:p>
    <w:p>
      <w:pPr>
        <w:pStyle w:val="FirstParagraph"/>
      </w:pPr>
      <w:r>
        <w:t xml:space="preserve">Neither predicts into the dataset’s label strings, so</w:t>
      </w:r>
      <w:r>
        <w:t xml:space="preserve"> </w:t>
      </w:r>
      <w:r>
        <w:rPr>
          <w:b/>
          <w:bCs/>
        </w:rPr>
        <w:t xml:space="preserve">exact-match accuracy against those</w:t>
      </w:r>
      <w:r>
        <w:rPr>
          <w:b/>
          <w:bCs/>
        </w:rPr>
        <w:t xml:space="preserve"> </w:t>
      </w:r>
      <w:r>
        <w:rPr>
          <w:b/>
          <w:bCs/>
        </w:rPr>
        <w:t xml:space="preserve">strings is a vocabulary artifact, not an accuracy signal</w:t>
      </w:r>
      <w:r>
        <w:t xml:space="preserve"> </w:t>
      </w:r>
      <w:r>
        <w:t xml:space="preserve">—</w:t>
      </w:r>
      <w:r>
        <w:t xml:space="preserve"> </w:t>
      </w:r>
      <w:r>
        <w:rPr>
          <w:rStyle w:val="VerbatimChar"/>
        </w:rPr>
        <w:t xml:space="preserve">regulatory T cell</w:t>
      </w:r>
      <w:r>
        <w:t xml:space="preserve"> </w:t>
      </w:r>
      <w:r>
        <w:t xml:space="preserve">→</w:t>
      </w:r>
      <w:r>
        <w:t xml:space="preserve"> </w:t>
      </w:r>
      <w:r>
        <w:rPr>
          <w:rStyle w:val="VerbatimChar"/>
        </w:rPr>
        <w:t xml:space="preserve">Treg cell</w:t>
      </w:r>
      <w:r>
        <w:t xml:space="preserve"> </w:t>
      </w:r>
      <w:r>
        <w:t xml:space="preserve">and</w:t>
      </w:r>
      <w:r>
        <w:t xml:space="preserve"> </w:t>
      </w:r>
      <w:r>
        <w:rPr>
          <w:rStyle w:val="VerbatimChar"/>
        </w:rPr>
        <w:t xml:space="preserve">non-classical monocyte</w:t>
      </w:r>
      <w:r>
        <w:t xml:space="preserve"> </w:t>
      </w:r>
      <w:r>
        <w:t xml:space="preserve">→</w:t>
      </w:r>
      <w:r>
        <w:t xml:space="preserve"> </w:t>
      </w:r>
      <w:r>
        <w:rPr>
          <w:rStyle w:val="VerbatimChar"/>
        </w:rPr>
        <w:t xml:space="preserve">CD16 monocyte</w:t>
      </w:r>
      <w:r>
        <w:t xml:space="preserve"> </w:t>
      </w:r>
      <w:r>
        <w:t xml:space="preserve">are correct answers that score zero. Both are</w:t>
      </w:r>
      <w:r>
        <w:t xml:space="preserve"> </w:t>
      </w:r>
      <w:r>
        <w:t xml:space="preserve">therefore scored</w:t>
      </w:r>
      <w:r>
        <w:t xml:space="preserve"> </w:t>
      </w:r>
      <w:r>
        <w:rPr>
          <w:b/>
          <w:bCs/>
        </w:rPr>
        <w:t xml:space="preserve">ontology-only</w:t>
      </w:r>
      <w:r>
        <w:t xml:space="preserve"> </w:t>
      </w:r>
      <w:r>
        <w:t xml:space="preserve">(§2.4) and reported in their own block in §3.1, on the</w:t>
      </w:r>
      <w:r>
        <w:t xml:space="preserve"> </w:t>
      </w:r>
      <w:r>
        <w:t xml:space="preserve">three datasets where reference and query both carry Cell Ontology ids. They appear again in</w:t>
      </w:r>
      <w:r>
        <w:t xml:space="preserve"> </w:t>
      </w:r>
      <w:r>
        <w:t xml:space="preserve">§3.6 (foundation-model zero-shot) and §3.4 (Azimuth as broad pass, and as distillation</w:t>
      </w:r>
      <w:r>
        <w:t xml:space="preserve"> </w:t>
      </w:r>
      <w:r>
        <w:t xml:space="preserve">teacher).</w:t>
      </w:r>
    </w:p>
    <w:p>
      <w:pPr>
        <w:pStyle w:val="BodyText"/>
      </w:pPr>
      <w:r>
        <w:rPr>
          <w:b/>
          <w:bCs/>
        </w:rPr>
        <w:t xml:space="preserve">scPred</w:t>
      </w:r>
      <w:r>
        <w:t xml:space="preserve"> </w:t>
      </w:r>
      <w:r>
        <w:t xml:space="preserve">is not included: it is unmaintained, and no longer installs against current</w:t>
      </w:r>
      <w:r>
        <w:t xml:space="preserve"> </w:t>
      </w:r>
      <w:r>
        <w:t xml:space="preserve">releases of the harmony dependency it builds on.</w:t>
      </w:r>
    </w:p>
    <w:bookmarkEnd w:id="26"/>
    <w:bookmarkStart w:id="32" w:name="datasets"/>
    <w:p>
      <w:pPr>
        <w:pStyle w:val="Heading2"/>
      </w:pPr>
      <w:r>
        <w:t xml:space="preserve">Datasets</w:t>
      </w:r>
    </w:p>
    <w:tbl>
      <w:tblPr>
        <w:tblStyle w:val="Table"/>
        <w:tblW w:type="pct" w:w="5000"/>
        <w:tblLayout w:type="fixed"/>
        <w:tblLook w:firstRow="1" w:lastRow="0" w:firstColumn="0" w:lastColumn="0" w:noHBand="0" w:noVBand="0" w:val="0020"/>
      </w:tblPr>
      <w:tblGrid>
        <w:gridCol w:w="1584"/>
        <w:gridCol w:w="1218"/>
        <w:gridCol w:w="852"/>
        <w:gridCol w:w="1340"/>
        <w:gridCol w:w="731"/>
        <w:gridCol w:w="852"/>
        <w:gridCol w:w="1340"/>
      </w:tblGrid>
      <w:tr>
        <w:trPr>
          <w:tblHeader w:val="on"/>
        </w:trPr>
        <w:tc>
          <w:tcPr/>
          <w:p>
            <w:pPr>
              <w:pStyle w:val="Compact"/>
            </w:pPr>
            <w:r>
              <w:t xml:space="preserve">dataset</w:t>
            </w:r>
          </w:p>
        </w:tc>
        <w:tc>
          <w:tcPr/>
          <w:p>
            <w:pPr>
              <w:pStyle w:val="Compact"/>
            </w:pPr>
            <w:r>
              <w:t xml:space="preserve">source</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hyperlink r:id="rId27">
              <w:r>
                <w:rPr>
                  <w:rStyle w:val="Hyperlink"/>
                </w:rPr>
                <w:t xml:space="preserve">[Travaglini 2020]</w:t>
              </w:r>
            </w:hyperlink>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hyperlink r:id="rId28">
              <w:r>
                <w:rPr>
                  <w:rStyle w:val="Hyperlink"/>
                </w:rPr>
                <w:t xml:space="preserve">[Sikkema 2023]</w:t>
              </w:r>
            </w:hyperlink>
            <w:r>
              <w:t xml:space="preserve"> </w:t>
            </w:r>
            <w:r>
              <w:t xml:space="preserve">→</w:t>
            </w:r>
            <w:r>
              <w:t xml:space="preserve"> </w:t>
            </w:r>
            <w:hyperlink r:id="rId27">
              <w:r>
                <w:rPr>
                  <w:rStyle w:val="Hyperlink"/>
                </w:rPr>
                <w:t xml:space="preserve">[Travaglini 2020]</w:t>
              </w:r>
            </w:hyperlink>
          </w:p>
        </w:tc>
        <w:tc>
          <w:tcPr/>
          <w:p>
            <w:pPr>
              <w:pStyle w:val="Compact"/>
            </w:pPr>
            <w:r>
              <w:t xml:space="preserve">cross-dataset</w:t>
            </w:r>
          </w:p>
        </w:tc>
        <w:tc>
          <w:tcPr/>
          <w:p>
            <w:pPr>
              <w:pStyle w:val="Compact"/>
            </w:pPr>
            <w:r>
              <w:t xml:space="preserve">lung (HLCA → 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hyperlink r:id="rId29">
              <w:r>
                <w:rPr>
                  <w:rStyle w:val="Hyperlink"/>
                </w:rPr>
                <w:t xml:space="preserve">[Edgar 2026]</w:t>
              </w:r>
            </w:hyperlink>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hyperlink r:id="rId29">
              <w:r>
                <w:rPr>
                  <w:rStyle w:val="Hyperlink"/>
                </w:rPr>
                <w:t xml:space="preserve">[Edgar 2026]</w:t>
              </w:r>
            </w:hyperlink>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hyperlink r:id="rId30">
              <w:r>
                <w:rPr>
                  <w:rStyle w:val="Hyperlink"/>
                </w:rPr>
                <w:t xml:space="preserve">[Alegbe 2026]</w:t>
              </w:r>
            </w:hyperlink>
          </w:p>
        </w:tc>
        <w:tc>
          <w:tcPr/>
          <w:p>
            <w:pPr>
              <w:pStyle w:val="Compact"/>
            </w:pPr>
            <w:r>
              <w:t xml:space="preserve">within-dataset</w:t>
            </w:r>
          </w:p>
        </w:tc>
        <w:tc>
          <w:tcPr/>
          <w:p>
            <w:pPr>
              <w:pStyle w:val="Compact"/>
            </w:pPr>
            <w:r>
              <w:t xml:space="preserve">blood + gut (IBDverse)</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hyperlink r:id="rId31">
              <w:r>
                <w:rPr>
                  <w:rStyle w:val="Hyperlink"/>
                </w:rPr>
                <w:t xml:space="preserve">[10x Genomics 2016]</w:t>
              </w:r>
            </w:hyperlink>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rPr>
          <w:b/>
          <w:bCs/>
        </w:rPr>
        <w:t xml:space="preserve">Table 2.</w:t>
      </w:r>
      <w:r>
        <w:t xml:space="preserve"> </w:t>
      </w:r>
      <w:r>
        <w:t xml:space="preserve">The six benchmark datasets.</w:t>
      </w:r>
      <w:r>
        <w:t xml:space="preserve"> </w:t>
      </w:r>
      <w:r>
        <w:rPr>
          <w:i/>
          <w:iCs/>
        </w:rPr>
        <w:t xml:space="preserve">split</w:t>
      </w:r>
      <w:r>
        <w:t xml:space="preserve"> </w:t>
      </w:r>
      <w:r>
        <w:t xml:space="preserve">separates within-dataset holdouts from</w:t>
      </w:r>
      <w:r>
        <w:t xml:space="preserve"> </w:t>
      </w:r>
      <w:r>
        <w:t xml:space="preserve">cross-dataset and cross-study transfer;</w:t>
      </w:r>
      <w:r>
        <w:t xml:space="preserve"> </w:t>
      </w:r>
      <w:r>
        <w:rPr>
          <w:i/>
          <w:iCs/>
        </w:rPr>
        <w:t xml:space="preserve">genes</w:t>
      </w:r>
      <w:r>
        <w:t xml:space="preserve"> </w:t>
      </w:r>
      <w:r>
        <w:t xml:space="preserve">records whether the matrix is keyed by Ensembl</w:t>
      </w:r>
      <w:r>
        <w:t xml:space="preserve"> </w:t>
      </w:r>
      <w:r>
        <w:t xml:space="preserve">ids or by gene symbols, since a method or reference built on one convention cannot read</w:t>
      </w:r>
      <w:r>
        <w:t xml:space="preserve"> </w:t>
      </w:r>
      <w:r>
        <w:t xml:space="preserve">the other without remapping.</w:t>
      </w:r>
    </w:p>
    <w:p>
      <w:pPr>
        <w:pStyle w:val="BodyText"/>
      </w:pPr>
      <w:r>
        <w:t xml:space="preserve">The blood+gut set is a subsample of</w:t>
      </w:r>
      <w:r>
        <w:t xml:space="preserve"> </w:t>
      </w:r>
      <w:r>
        <w:rPr>
          <w:b/>
          <w:bCs/>
        </w:rPr>
        <w:t xml:space="preserve">IBDverse</w:t>
      </w:r>
      <w:r>
        <w:t xml:space="preserve"> </w:t>
      </w:r>
      <w:r>
        <w:t xml:space="preserve">(Wellcome Sanger Institute; blood, terminal</w:t>
      </w:r>
      <w:r>
        <w:t xml:space="preserve"> </w:t>
      </w:r>
      <w:r>
        <w:t xml:space="preserve">ileum and rectum from 421 individuals), included here because 86 fine-grained labels make it</w:t>
      </w:r>
      <w:r>
        <w:t xml:space="preserve"> </w:t>
      </w:r>
      <w:r>
        <w:t xml:space="preserve">the high-cardinality stress case for the panel. It carries no Cell Ontology ids, so it</w:t>
      </w:r>
      <w:r>
        <w:t xml:space="preserve"> </w:t>
      </w:r>
      <w:r>
        <w:t xml:space="preserve">contributes to accuracy and macro-F1 but to no ontology-scored result.</w:t>
      </w:r>
    </w:p>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32"/>
    <w:bookmarkStart w:id="34" w:name="metrics"/>
    <w:p>
      <w:pPr>
        <w:pStyle w:val="Heading2"/>
      </w:pPr>
      <w:r>
        <w:t xml:space="preserve">Metrics</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unweighted over classes so rare</w:t>
      </w:r>
      <w:r>
        <w:t xml:space="preserve"> </w:t>
      </w:r>
      <w:r>
        <w:t xml:space="preserve">types count as much as common ones;</w:t>
      </w:r>
      <w:r>
        <w:t xml:space="preserve"> </w:t>
      </w:r>
      <w:r>
        <w:rPr>
          <w:b/>
          <w:bCs/>
        </w:rPr>
        <w:t xml:space="preserve">ontology-aware concordance</w:t>
      </w:r>
      <w:r>
        <w:t xml:space="preserve">;</w:t>
      </w:r>
      <w:r>
        <w:t xml:space="preserve"> </w:t>
      </w:r>
      <w:r>
        <w:rPr>
          <w:b/>
          <w:bCs/>
        </w:rPr>
        <w:t xml:space="preserve">fit time</w:t>
      </w:r>
      <w:r>
        <w:t xml:space="preserve">,</w:t>
      </w:r>
      <w:r>
        <w:t xml:space="preserve"> </w:t>
      </w:r>
      <w:r>
        <w:rPr>
          <w:b/>
          <w:bCs/>
        </w:rPr>
        <w:t xml:space="preserve">predict</w:t>
      </w:r>
      <w:r>
        <w:rPr>
          <w:b/>
          <w:bCs/>
        </w:rPr>
        <w:t xml:space="preserve"> </w:t>
      </w:r>
      <w:r>
        <w:rPr>
          <w:b/>
          <w:bCs/>
        </w:rPr>
        <w:t xml:space="preserve">time</w:t>
      </w:r>
      <w:r>
        <w:t xml:space="preserve">, and</w:t>
      </w:r>
      <w:r>
        <w:t xml:space="preserve"> </w:t>
      </w:r>
      <w:r>
        <w:rPr>
          <w:b/>
          <w:bCs/>
        </w:rPr>
        <w:t xml:space="preserve">peak memory</w:t>
      </w:r>
      <w:r>
        <w:t xml:space="preserve"> </w:t>
      </w:r>
      <w:r>
        <w:t xml:space="preserve">(peak RSS, resident set size — the maximum physical memory the process</w:t>
      </w:r>
      <w:r>
        <w:t xml:space="preserve"> </w:t>
      </w:r>
      <w:r>
        <w:t xml:space="preserve">held).</w:t>
      </w:r>
    </w:p>
    <w:p>
      <w:pPr>
        <w:pStyle w:val="BodyText"/>
      </w:pPr>
      <w:r>
        <w:rPr>
          <w:b/>
          <w:bCs/>
        </w:rPr>
        <w:t xml:space="preserve">Ontology-aware concordance</w:t>
      </w:r>
      <w:r>
        <w:t xml:space="preserve"> </w:t>
      </w:r>
      <w:r>
        <w:t xml:space="preserve">credits a call that is the same node, an ancestor, or a</w:t>
      </w:r>
      <w:r>
        <w:t xml:space="preserve"> </w:t>
      </w:r>
      <w:r>
        <w:t xml:space="preserve">descendant of the truth in the Cell Ontology. It exists because cell-type vocabularies</w:t>
      </w:r>
      <w:r>
        <w:t xml:space="preserve"> </w:t>
      </w:r>
      <w:r>
        <w:t xml:space="preserve">disagree about granularity more than about biology:</w:t>
      </w:r>
      <w:r>
        <w:t xml:space="preserve"> </w:t>
      </w:r>
      <w:r>
        <w:rPr>
          <w:rStyle w:val="VerbatimChar"/>
        </w:rPr>
        <w:t xml:space="preserve">periportal region hepatocyte</w:t>
      </w:r>
      <w:r>
        <w:t xml:space="preserve"> </w:t>
      </w:r>
      <w:r>
        <w:t xml:space="preserve">against</w:t>
      </w:r>
      <w:r>
        <w:t xml:space="preserve"> </w:t>
      </w:r>
      <w:r>
        <w:rPr>
          <w:rStyle w:val="VerbatimChar"/>
        </w:rPr>
        <w:t xml:space="preserve">Hepatocyte</w:t>
      </w:r>
      <w:r>
        <w:t xml:space="preserve"> </w:t>
      </w:r>
      <w:r>
        <w:t xml:space="preserve">is a right-lineage-wrong-depth call. Exact match scores it as a total failure,</w:t>
      </w:r>
      <w:r>
        <w:t xml:space="preserve"> </w:t>
      </w:r>
      <w:r>
        <w:t xml:space="preserve">though the lineage is correct and only the depth is wrong. It is the</w:t>
      </w:r>
      <w:r>
        <w:t xml:space="preserve"> </w:t>
      </w:r>
      <w:r>
        <w:rPr>
          <w:b/>
          <w:bCs/>
        </w:rPr>
        <w:t xml:space="preserve">only</w:t>
      </w:r>
      <w:r>
        <w:t xml:space="preserve"> </w:t>
      </w:r>
      <w:r>
        <w:t xml:space="preserve">metric that compares methods with</w:t>
      </w:r>
      <w:r>
        <w:t xml:space="preserve"> </w:t>
      </w:r>
      <w:r>
        <w:t xml:space="preserve">different label vocabularies (§2.2), and it is reported only where both reference and query</w:t>
      </w:r>
      <w:r>
        <w:t xml:space="preserve"> </w:t>
      </w:r>
      <w:r>
        <w:t xml:space="preserve">carry CL ids — so not on</w:t>
      </w:r>
      <w:r>
        <w:t xml:space="preserve"> </w:t>
      </w:r>
      <w:r>
        <w:rPr>
          <w:rStyle w:val="VerbatimChar"/>
        </w:rPr>
        <w:t xml:space="preserve">blood_gut_intra</w:t>
      </w:r>
      <w:r>
        <w:t xml:space="preserve">, and not on the symbol-keyed</w:t>
      </w:r>
      <w:r>
        <w:t xml:space="preserve"> </w:t>
      </w:r>
      <w:r>
        <w:rPr>
          <w:rStyle w:val="VerbatimChar"/>
        </w:rPr>
        <w:t xml:space="preserve">pbmc</w:t>
      </w:r>
      <w:r>
        <w:t xml:space="preserve">.</w:t>
      </w:r>
    </w:p>
    <w:p>
      <w:pPr>
        <w:pStyle w:val="BodyText"/>
      </w:pPr>
      <w:r>
        <w:t xml:space="preserve">Concordance depends on the ontology release, since ancestor sets change between them. All</w:t>
      </w:r>
      <w:r>
        <w:t xml:space="preserve"> </w:t>
      </w:r>
      <w:r>
        <w:t xml:space="preserve">numbers here use the</w:t>
      </w:r>
      <w:r>
        <w:t xml:space="preserve"> </w:t>
      </w:r>
      <w:r>
        <w:rPr>
          <w:b/>
          <w:bCs/>
        </w:rPr>
        <w:t xml:space="preserve">Cell Ontology basic release of 2026-06-08</w:t>
      </w:r>
      <w:r>
        <w:t xml:space="preserve"> </w:t>
      </w:r>
      <w:r>
        <w:t xml:space="preserve">(sha256 73996c63…),</w:t>
      </w:r>
      <w:r>
        <w:t xml:space="preserve"> </w:t>
      </w:r>
      <w:r>
        <w:t xml:space="preserve">resolved once and reused by every scoring pass. This is not a hypothetical concern:</w:t>
      </w:r>
      <w:r>
        <w:t xml:space="preserve"> </w:t>
      </w:r>
      <w:r>
        <w:t xml:space="preserve">re-running lung_cross against a later-fetched release reproduced the splits exactly (14,390</w:t>
      </w:r>
      <w:r>
        <w:t xml:space="preserve"> </w:t>
      </w:r>
      <w:r>
        <w:t xml:space="preserve">reference / 13,550 query cells) and still moved concordance by 0.003, with no model changing.</w:t>
      </w:r>
      <w:r>
        <w:t xml:space="preserve"> </w:t>
      </w:r>
      <w:r>
        <w:t xml:space="preserve">That release, its checksum, and pinned versions for all six benchmark environments are</w:t>
      </w:r>
      <w:r>
        <w:t xml:space="preserve"> </w:t>
      </w:r>
      <w:r>
        <w:t xml:space="preserve">recorded as lockfiles in the</w:t>
      </w:r>
      <w:r>
        <w:t xml:space="preserve"> </w:t>
      </w:r>
      <w:hyperlink r:id="rId33">
        <w:r>
          <w:rPr>
            <w:rStyle w:val="Hyperlink"/>
          </w:rPr>
          <w:t xml:space="preserve">benchmark repository</w:t>
        </w:r>
      </w:hyperlink>
      <w:r>
        <w:t xml:space="preserve">, which also carries a command that</w:t>
      </w:r>
      <w:r>
        <w:t xml:space="preserve"> </w:t>
      </w:r>
      <w:r>
        <w:t xml:space="preserve">reports any drift from them.</w:t>
      </w:r>
    </w:p>
    <w:p>
      <w:pPr>
        <w:pStyle w:val="BodyText"/>
      </w:pPr>
      <w:r>
        <w:t xml:space="preserve">Exact-match accuracy is reported for the ten reference-trained methods and, on</w:t>
      </w:r>
      <w:r>
        <w:t xml:space="preserve"> </w:t>
      </w:r>
      <w:r>
        <w:rPr>
          <w:rStyle w:val="VerbatimChar"/>
        </w:rPr>
        <w:t xml:space="preserve">lung_cross</w:t>
      </w:r>
      <w:r>
        <w:t xml:space="preserve">,</w:t>
      </w:r>
      <w:r>
        <w:t xml:space="preserve"> </w:t>
      </w:r>
      <w:r>
        <w:t xml:space="preserve">flagged: reference and query use different label vocabularies there, so its exact-match accuracy is</w:t>
      </w:r>
      <w:r>
        <w:t xml:space="preserve"> </w:t>
      </w:r>
      <w:r>
        <w:t xml:space="preserve">a vocabulary artifact and the ranking, not the level, is what transfers.</w:t>
      </w:r>
    </w:p>
    <w:bookmarkEnd w:id="34"/>
    <w:bookmarkStart w:id="35" w:name="harness-isolation-and-hardware"/>
    <w:p>
      <w:pPr>
        <w:pStyle w:val="Heading2"/>
      </w:pPr>
      <w:r>
        <w:t xml:space="preserve">Harness, isolation, and hardware</w:t>
      </w:r>
    </w:p>
    <w:p>
      <w:pPr>
        <w:pStyle w:val="FirstParagraph"/>
      </w:pPr>
      <w:r>
        <w:t xml:space="preserve">Each method runs in</w:t>
      </w:r>
      <w:r>
        <w:t xml:space="preserve"> </w:t>
      </w:r>
      <w:r>
        <w:rPr>
          <w:b/>
          <w:bCs/>
        </w:rPr>
        <w:t xml:space="preserve">its own virtual environment, as a separate process</w:t>
      </w:r>
      <w:r>
        <w:t xml:space="preserve">, because the</w:t>
      </w:r>
      <w:r>
        <w:t xml:space="preserve"> </w:t>
      </w:r>
      <w:r>
        <w:t xml:space="preserve">dependency sets are mutually unsatisfiable — scVI-based methods, TensorFlow/Keras (Pan-human</w:t>
      </w:r>
      <w:r>
        <w:t xml:space="preserve"> </w:t>
      </w:r>
      <w:r>
        <w:t xml:space="preserve">Azimuth), R (SingleR, scmap) and the JAX core cannot coexist in one interpreter. One driver</w:t>
      </w:r>
      <w:r>
        <w:t xml:space="preserve"> </w:t>
      </w:r>
      <w:r>
        <w:t xml:space="preserve">builds the reference/query split</w:t>
      </w:r>
      <w:r>
        <w:t xml:space="preserve"> </w:t>
      </w:r>
      <w:r>
        <w:rPr>
          <w:b/>
          <w:bCs/>
        </w:rPr>
        <w:t xml:space="preserve">once per dataset</w:t>
      </w:r>
      <w:r>
        <w:t xml:space="preserve"> </w:t>
      </w:r>
      <w:r>
        <w:t xml:space="preserve">from a fixed seed and hands the</w:t>
      </w:r>
      <w:r>
        <w:t xml:space="preserve"> </w:t>
      </w:r>
      <w:r>
        <w:t xml:space="preserve">identical pair to every method, so no method sees a different split.</w:t>
      </w:r>
      <w:r>
        <w:t xml:space="preserve"> </w:t>
      </w:r>
      <w:r>
        <w:rPr>
          <w:b/>
          <w:bCs/>
        </w:rPr>
        <w:t xml:space="preserve">repeats = 3</w:t>
      </w:r>
      <w:r>
        <w:t xml:space="preserve">; scPRINT and Pan-human Azimuth run once</w:t>
      </w:r>
      <w:r>
        <w:t xml:space="preserve"> </w:t>
      </w:r>
      <w:r>
        <w:t xml:space="preserve">each, being deterministic given a fixed query and dominated by a single forward pass.</w:t>
      </w:r>
    </w:p>
    <w:p>
      <w:pPr>
        <w:pStyle w:val="BodyText"/>
      </w:pPr>
      <w:r>
        <w:t xml:space="preserve">Resource accounting is per subprocess: fit and predict are timed separately and peak memory is</w:t>
      </w:r>
      <w:r>
        <w:t xml:space="preserve"> </w:t>
      </w:r>
      <w:r>
        <w:t xml:space="preserve">sampled by a monitor thread in the child, so one method’s footprint cannot be attributed to</w:t>
      </w:r>
      <w:r>
        <w:t xml:space="preserve"> </w:t>
      </w:r>
      <w:r>
        <w:t xml:space="preserve">another.</w:t>
      </w:r>
    </w:p>
    <w:p>
      <w:pPr>
        <w:pStyle w:val="BodyText"/>
      </w:pPr>
      <w:r>
        <w:rPr>
          <w:b/>
          <w:bCs/>
        </w:rPr>
        <w:t xml:space="preserve">Hardware</w:t>
      </w:r>
      <w:r>
        <w:t xml:space="preserve">: Apple Silicon (M-series), CPU for the classical, linear, correlation and</w:t>
      </w:r>
      <w:r>
        <w:t xml:space="preserve"> </w:t>
      </w:r>
      <w:r>
        <w:t xml:space="preserve">pretrained tiers and for actinn-jax; Apple MPS for the deep and foundation tiers. No discrete</w:t>
      </w:r>
      <w:r>
        <w:t xml:space="preserve"> </w:t>
      </w:r>
      <w:r>
        <w:t xml:space="preserve">GPU, no cloud — the regime the benchmark is about. Math-library threads are left uncapped, so</w:t>
      </w:r>
      <w:r>
        <w:t xml:space="preserve"> </w:t>
      </w:r>
      <w:r>
        <w:t xml:space="preserve">wall-clock is what a practitioner sees; an optional thread cap exists for stricter</w:t>
      </w:r>
      <w:r>
        <w:t xml:space="preserve"> </w:t>
      </w:r>
      <w:r>
        <w:t xml:space="preserve">reproducibility. §3.7 repeats the comparison on one cloud CPU instance, where methods</w:t>
      </w:r>
      <w:r>
        <w:t xml:space="preserve"> </w:t>
      </w:r>
      <w:r>
        <w:t xml:space="preserve">compete for cores; §2.10 explains how that is handled.</w:t>
      </w:r>
    </w:p>
    <w:bookmarkEnd w:id="35"/>
    <w:bookmarkStart w:id="37" w:name="building-a-broad-reference"/>
    <w:p>
      <w:pPr>
        <w:pStyle w:val="Heading2"/>
      </w:pPr>
      <w:r>
        <w:t xml:space="preserve">Building a broad reference</w:t>
      </w:r>
    </w:p>
    <w:p>
      <w:pPr>
        <w:pStyle w:val="FirstParagraph"/>
      </w:pPr>
      <w:r>
        <w:t xml:space="preserve">The shipped broad-pass references (§3.4) are built once, offline, by a three-stage pipeline</w:t>
      </w:r>
      <w:r>
        <w:t xml:space="preserve"> </w:t>
      </w:r>
      <w:r>
        <w:t xml:space="preserve">driven by one command in the</w:t>
      </w:r>
      <w:r>
        <w:t xml:space="preserve"> </w:t>
      </w:r>
      <w:hyperlink r:id="rId33">
        <w:r>
          <w:rPr>
            <w:rStyle w:val="Hyperlink"/>
          </w:rPr>
          <w:t xml:space="preserve">benchmark repository</w:t>
        </w:r>
      </w:hyperlink>
      <w:r>
        <w:t xml:space="preserve">.</w:t>
      </w:r>
    </w:p>
    <w:p>
      <w:pPr>
        <w:pStyle w:val="BodyText"/>
      </w:pPr>
      <w:r>
        <w:rPr>
          <w:b/>
          <w:bCs/>
        </w:rPr>
        <w:t xml:space="preserve">Sampling.</w:t>
      </w:r>
      <w:r>
        <w:t xml:space="preserve"> </w:t>
      </w:r>
      <w:r>
        <w:t xml:space="preserve">Every primary cell for one organism in the CELLxGENE Census</w:t>
      </w:r>
      <w:r>
        <w:t xml:space="preserve"> </w:t>
      </w:r>
      <w:hyperlink r:id="rId36">
        <w:r>
          <w:rPr>
            <w:rStyle w:val="Hyperlink"/>
          </w:rPr>
          <w:t xml:space="preserve">[CZI Census 2025]</w:t>
        </w:r>
      </w:hyperlink>
      <w:r>
        <w:t xml:space="preserve"> </w:t>
      </w:r>
      <w:r>
        <w:t xml:space="preserve">— primary meaning the copy the census designates canonical, so cells deposited in more than</w:t>
      </w:r>
      <w:r>
        <w:t xml:space="preserve"> </w:t>
      </w:r>
      <w:r>
        <w:t xml:space="preserve">one study are counted once — stratified by cell type at a fixed cap per type: 40 for</w:t>
      </w:r>
      <w:r>
        <w:t xml:space="preserve"> </w:t>
      </w:r>
      <w:r>
        <w:rPr>
          <w:rStyle w:val="VerbatimChar"/>
        </w:rPr>
        <w:t xml:space="preserve">broad_human_v1</w:t>
      </w:r>
      <w:r>
        <w:t xml:space="preserve">, 60 for the later human and mouse pulls. Types with fewer than 12 cells are</w:t>
      </w:r>
      <w:r>
        <w:t xml:space="preserve"> </w:t>
      </w:r>
      <w:r>
        <w:t xml:space="preserve">dropped, as are labels that carry no information (</w:t>
      </w:r>
      <w:r>
        <w:t xml:space="preserve">“unknown”</w:t>
      </w:r>
      <w:r>
        <w:t xml:space="preserve">,</w:t>
      </w:r>
      <w:r>
        <w:t xml:space="preserve"> </w:t>
      </w:r>
      <w:r>
        <w:t xml:space="preserve">“native cell”</w:t>
      </w:r>
      <w:r>
        <w:t xml:space="preserve">,</w:t>
      </w:r>
      <w:r>
        <w:t xml:space="preserve"> </w:t>
      </w:r>
      <w:r>
        <w:t xml:space="preserve">“eukaryotic</w:t>
      </w:r>
      <w:r>
        <w:t xml:space="preserve"> </w:t>
      </w:r>
      <w:r>
        <w:t xml:space="preserve">cell”</w:t>
      </w:r>
      <w:r>
        <w:t xml:space="preserve">,</w:t>
      </w:r>
      <w:r>
        <w:t xml:space="preserve"> </w:t>
      </w:r>
      <w:r>
        <w:t xml:space="preserve">“animal cell”</w:t>
      </w:r>
      <w:r>
        <w:t xml:space="preserve">). The pull is checkpointed every ten datasets and retried, since</w:t>
      </w:r>
      <w:r>
        <w:t xml:space="preserve"> </w:t>
      </w:r>
      <w:r>
        <w:t xml:space="preserve">transient object-store read errors are routine at this scale. Genes are carried under both</w:t>
      </w:r>
      <w:r>
        <w:t xml:space="preserve"> </w:t>
      </w:r>
      <w:r>
        <w:t xml:space="preserve">Ensembl ids and symbols, because a symbol-keyed consumer cannot use an Ensembl-only pull.</w:t>
      </w:r>
      <w:r>
        <w:t xml:space="preserve"> </w:t>
      </w:r>
      <w:r>
        <w:t xml:space="preserve">The census</w:t>
      </w:r>
      <w:r>
        <w:t xml:space="preserve"> </w:t>
      </w:r>
      <w:r>
        <w:t xml:space="preserve">“stable”</w:t>
      </w:r>
      <w:r>
        <w:t xml:space="preserve"> </w:t>
      </w:r>
      <w:r>
        <w:t xml:space="preserve">alias is a moving pointer, so the release it resolved to is recorded;</w:t>
      </w:r>
      <w:r>
        <w:t xml:space="preserve"> </w:t>
      </w:r>
      <w:r>
        <w:t xml:space="preserve">every reference here comes from</w:t>
      </w:r>
      <w:r>
        <w:t xml:space="preserve"> </w:t>
      </w:r>
      <w:r>
        <w:rPr>
          <w:b/>
          <w:bCs/>
        </w:rPr>
        <w:t xml:space="preserve">census 2025-11-08</w:t>
      </w:r>
      <w:r>
        <w:t xml:space="preserve">.</w:t>
      </w:r>
    </w:p>
    <w:p>
      <w:pPr>
        <w:pStyle w:val="BodyText"/>
      </w:pPr>
      <w:r>
        <w:rPr>
          <w:b/>
          <w:bCs/>
        </w:rPr>
        <w:t xml:space="preserve">Coarse hierarchy — two routes.</w:t>
      </w:r>
      <w:r>
        <w:t xml:space="preserve"> </w:t>
      </w:r>
      <w:r>
        <w:t xml:space="preserve">The model is a coarse classifier over groups plus one</w:t>
      </w:r>
      <w:r>
        <w:t xml:space="preserve"> </w:t>
      </w:r>
      <w:r>
        <w:t xml:space="preserve">fine classifier per group, and the grouping comes from either:</w:t>
      </w:r>
    </w:p>
    <w:p>
      <w:pPr>
        <w:pStyle w:val="Compact"/>
        <w:numPr>
          <w:ilvl w:val="0"/>
          <w:numId w:val="1004"/>
        </w:numPr>
      </w:pPr>
      <w:r>
        <w:rPr>
          <w:b/>
          <w:bCs/>
        </w:rPr>
        <w:t xml:space="preserve">Foundation-model embeddings.</w:t>
      </w:r>
      <w:r>
        <w:t xml:space="preserve"> </w:t>
      </w:r>
      <w:r>
        <w:t xml:space="preserve">scPRINT (medium-v1.5) embeds the reference once in</w:t>
      </w:r>
      <w:r>
        <w:t xml:space="preserve"> </w:t>
      </w:r>
      <w:r>
        <w:t xml:space="preserve">4,000-cell chunks; per-cell-type centroids are Ward-clustered into roughly √(number of</w:t>
      </w:r>
      <w:r>
        <w:t xml:space="preserve"> </w:t>
      </w:r>
      <w:r>
        <w:t xml:space="preserve">types) groups, with a floor of eight. scPRINT’s QC drops cells, so the embedding is not</w:t>
      </w:r>
      <w:r>
        <w:t xml:space="preserve"> </w:t>
      </w:r>
      <w:r>
        <w:t xml:space="preserve">positionally aligned to the input and the label is carried through the model with the</w:t>
      </w:r>
      <w:r>
        <w:t xml:space="preserve"> </w:t>
      </w:r>
      <w:r>
        <w:t xml:space="preserve">vectors. This is the only step that wants a GPU/MPS.</w:t>
      </w:r>
    </w:p>
    <w:p>
      <w:pPr>
        <w:pStyle w:val="Compact"/>
        <w:numPr>
          <w:ilvl w:val="0"/>
          <w:numId w:val="1004"/>
        </w:numPr>
      </w:pPr>
      <w:r>
        <w:rPr>
          <w:b/>
          <w:bCs/>
        </w:rPr>
        <w:t xml:space="preserve">Cell Ontology lineage.</w:t>
      </w:r>
      <w:r>
        <w:t xml:space="preserve"> </w:t>
      </w:r>
      <w:r>
        <w:t xml:space="preserve">Each cell type is described by a binary indicator over the CL</w:t>
      </w:r>
      <w:r>
        <w:t xml:space="preserve"> </w:t>
      </w:r>
      <w:r>
        <w:t xml:space="preserve">terms it descends from; terms appearing in fewer than two types, or in all of them, are</w:t>
      </w:r>
      <w:r>
        <w:t xml:space="preserve"> </w:t>
      </w:r>
      <w:r>
        <w:t xml:space="preserve">dropped as uninformative; the same Ward clustering is applied to those vectors.</w:t>
      </w:r>
      <w:r>
        <w:t xml:space="preserve"> </w:t>
      </w:r>
      <w:r>
        <w:t xml:space="preserve">Free, deterministic, and species-independent — which is what</w:t>
      </w:r>
      <w:r>
        <w:t xml:space="preserve"> </w:t>
      </w:r>
      <w:r>
        <w:t xml:space="preserve">makes the pan-mouse reference possible, since the distillation teacher is human-only and</w:t>
      </w:r>
      <w:r>
        <w:t xml:space="preserve"> </w:t>
      </w:r>
      <w:r>
        <w:t xml:space="preserve">scPRINT’s mouse support is untested here. §3.4 scores this route against no hierarchy</w:t>
      </w:r>
      <w:r>
        <w:t xml:space="preserve"> </w:t>
      </w:r>
      <w:r>
        <w:t xml:space="preserve">and against a random grouping.</w:t>
      </w:r>
    </w:p>
    <w:p>
      <w:pPr>
        <w:pStyle w:val="FirstParagraph"/>
      </w:pPr>
      <w:r>
        <w:rPr>
          <w:b/>
          <w:bCs/>
        </w:rPr>
        <w:t xml:space="preserve">Training and calibration.</w:t>
      </w:r>
      <w:r>
        <w:t xml:space="preserve"> </w:t>
      </w:r>
      <w:r>
        <w:t xml:space="preserve">A 4,000-gene panel of</w:t>
      </w:r>
      <w:r>
        <w:t xml:space="preserve"> </w:t>
      </w:r>
      <w:r>
        <w:rPr>
          <w:b/>
          <w:bCs/>
        </w:rPr>
        <w:t xml:space="preserve">highly variable genes (HVGs)</w:t>
      </w:r>
      <w:r>
        <w:t xml:space="preserve"> </w:t>
      </w:r>
      <w:r>
        <w:t xml:space="preserve">— the</w:t>
      </w:r>
      <w:r>
        <w:t xml:space="preserve"> </w:t>
      </w:r>
      <w:r>
        <w:t xml:space="preserve">genes that differ most across cells, and so carry most of the signal for telling types apart —</w:t>
      </w:r>
      <w:r>
        <w:t xml:space="preserve"> </w:t>
      </w:r>
      <w:r>
        <w:t xml:space="preserve">is selected on the reference; the coarse</w:t>
      </w:r>
      <w:r>
        <w:t xml:space="preserve"> </w:t>
      </w:r>
      <w:r>
        <w:t xml:space="preserve">and per-group fine models are trained on it. Abstain calibration holds out</w:t>
      </w:r>
      <w:r>
        <w:t xml:space="preserve"> </w:t>
      </w:r>
      <w:r>
        <w:rPr>
          <w:b/>
          <w:bCs/>
        </w:rPr>
        <w:t xml:space="preserve">10% of cell types</w:t>
      </w:r>
      <w:r>
        <w:rPr>
          <w:b/>
          <w:bCs/>
        </w:rPr>
        <w:t xml:space="preserve"> </w:t>
      </w:r>
      <w:r>
        <w:rPr>
          <w:b/>
          <w:bCs/>
        </w:rPr>
        <w:t xml:space="preserve">entirely</w:t>
      </w:r>
      <w:r>
        <w:t xml:space="preserve"> </w:t>
      </w:r>
      <w:r>
        <w:t xml:space="preserve">as out-of-distribution (OOD — types the model was never trained on, standing in for</w:t>
      </w:r>
      <w:r>
        <w:t xml:space="preserve"> </w:t>
      </w:r>
      <w:r>
        <w:t xml:space="preserve">the novel populations a real query contains), plus a 20% within-type test split, and sweeps</w:t>
      </w:r>
      <w:r>
        <w:t xml:space="preserve"> </w:t>
      </w:r>
      <w:r>
        <w:t xml:space="preserve">the confidence threshold to trade coverage against accuracy on kept cells — the table each</w:t>
      </w:r>
      <w:r>
        <w:t xml:space="preserve"> </w:t>
      </w:r>
      <w:r>
        <w:t xml:space="preserve">shipped reference reports.</w:t>
      </w:r>
    </w:p>
    <w:p>
      <w:pPr>
        <w:pStyle w:val="BodyText"/>
      </w:pPr>
      <w:r>
        <w:rPr>
          <w:b/>
          <w:bCs/>
        </w:rPr>
        <w:t xml:space="preserve">Shipping and verification.</w:t>
      </w:r>
      <w:r>
        <w:t xml:space="preserve"> </w:t>
      </w:r>
      <w:r>
        <w:t xml:space="preserve">Each reference ships with a build record: census release,</w:t>
      </w:r>
      <w:r>
        <w:t xml:space="preserve"> </w:t>
      </w:r>
      <w:r>
        <w:t xml:space="preserve">corpus sizes, hierarchy route, organism and calibration table. Because a rebuild can train</w:t>
      </w:r>
      <w:r>
        <w:t xml:space="preserve"> </w:t>
      </w:r>
      <w:r>
        <w:t xml:space="preserve">cleanly and annotate</w:t>
      </w:r>
      <w:r>
        <w:t xml:space="preserve"> </w:t>
      </w:r>
      <w:r>
        <w:rPr>
          <w:i/>
          <w:iCs/>
        </w:rPr>
        <w:t xml:space="preserve">worse</w:t>
      </w:r>
      <w:r>
        <w:t xml:space="preserve">, the previous reference is backed up and the new one is scored</w:t>
      </w:r>
      <w:r>
        <w:t xml:space="preserve"> </w:t>
      </w:r>
      <w:r>
        <w:t xml:space="preserve">on a held-out atlas before it is kept. For</w:t>
      </w:r>
      <w:r>
        <w:t xml:space="preserve"> </w:t>
      </w:r>
      <w:r>
        <w:rPr>
          <w:rStyle w:val="VerbatimChar"/>
        </w:rPr>
        <w:t xml:space="preserve">broad_mouse_v1</w:t>
      </w:r>
      <w:r>
        <w:t xml:space="preserve"> </w:t>
      </w:r>
      <w:r>
        <w:t xml:space="preserve">the test set is carved from the</w:t>
      </w:r>
      <w:r>
        <w:t xml:space="preserve"> </w:t>
      </w:r>
      <w:r>
        <w:t xml:space="preserve">census itself: two datasets are excluded from the reference sample and re-pulled as the</w:t>
      </w:r>
      <w:r>
        <w:t xml:space="preserve"> </w:t>
      </w:r>
      <w:r>
        <w:t xml:space="preserve">query, so</w:t>
      </w:r>
      <w:r>
        <w:t xml:space="preserve"> </w:t>
      </w:r>
      <w:r>
        <w:t xml:space="preserve">“held out”</w:t>
      </w:r>
      <w:r>
        <w:t xml:space="preserve"> </w:t>
      </w:r>
      <w:r>
        <w:t xml:space="preserve">means held-out</w:t>
      </w:r>
      <w:r>
        <w:t xml:space="preserve"> </w:t>
      </w:r>
      <w:r>
        <w:rPr>
          <w:i/>
          <w:iCs/>
        </w:rPr>
        <w:t xml:space="preserve">datasets</w:t>
      </w:r>
      <w:r>
        <w:t xml:space="preserve"> </w:t>
      </w:r>
      <w:r>
        <w:t xml:space="preserve">and not merely held-out cells.</w:t>
      </w:r>
    </w:p>
    <w:bookmarkEnd w:id="37"/>
    <w:bookmarkStart w:id="38" w:name="distilling-a-pretrained-annotator"/>
    <w:p>
      <w:pPr>
        <w:pStyle w:val="Heading2"/>
      </w:pPr>
      <w:r>
        <w:t xml:space="preserve">Distilling a pretrained annotator</w:t>
      </w:r>
    </w:p>
    <w:p>
      <w:pPr>
        <w:pStyle w:val="FirstParagraph"/>
      </w:pPr>
      <w:r>
        <w:t xml:space="preserve">A broad reference can also be built without labels and without a GPU, by taking both the label</w:t>
      </w:r>
      <w:r>
        <w:t xml:space="preserve"> </w:t>
      </w:r>
      <w:r>
        <w:t xml:space="preserve">vocabulary and the hierarchy from an existing pretrained annotator.</w:t>
      </w:r>
      <w:r>
        <w:t xml:space="preserve"> </w:t>
      </w:r>
      <w:r>
        <w:t xml:space="preserve">Keras/TensorFlow and JAX cannot share a process,</w:t>
      </w:r>
      <w:r>
        <w:t xml:space="preserve"> </w:t>
      </w:r>
      <w:r>
        <w:t xml:space="preserve">so this runs in two stages.</w:t>
      </w:r>
    </w:p>
    <w:p>
      <w:pPr>
        <w:pStyle w:val="BodyText"/>
      </w:pPr>
      <w:r>
        <w:rPr>
          <w:b/>
          <w:bCs/>
        </w:rPr>
        <w:t xml:space="preserve">Teacher pass.</w:t>
      </w:r>
      <w:r>
        <w:t xml:space="preserve"> </w:t>
      </w:r>
      <w:r>
        <w:t xml:space="preserve">Pan-human Azimuth labels a corpus of raw counts through its low-level API</w:t>
      </w:r>
      <w:r>
        <w:t xml:space="preserve"> </w:t>
      </w:r>
      <w:r>
        <w:t xml:space="preserve">in batches of 8,192, which loads the weights once rather than once per call. All eight levels</w:t>
      </w:r>
      <w:r>
        <w:t xml:space="preserve"> </w:t>
      </w:r>
      <w:r>
        <w:t xml:space="preserve">are retained. Where the package cannot reconcile a refined level with its coarser ones it</w:t>
      </w:r>
      <w:r>
        <w:t xml:space="preserve"> </w:t>
      </w:r>
      <w:r>
        <w:t xml:space="preserve">blanks that column; those cells still</w:t>
      </w:r>
      <w:r>
        <w:t xml:space="preserve"> </w:t>
      </w:r>
      <w:r>
        <w:t xml:space="preserve">carry a deepest-level call, so we fall back to it rather than discard them — dropping them</w:t>
      </w:r>
      <w:r>
        <w:t xml:space="preserve"> </w:t>
      </w:r>
      <w:r>
        <w:t xml:space="preserve">would distill only the cells the teacher found easy. Predictions are mapped to CL ids through</w:t>
      </w:r>
      <w:r>
        <w:t xml:space="preserve"> </w:t>
      </w:r>
      <w:r>
        <w:t xml:space="preserve">the package’s own crosswalk.</w:t>
      </w:r>
    </w:p>
    <w:p>
      <w:pPr>
        <w:pStyle w:val="BodyText"/>
      </w:pPr>
      <w:r>
        <w:rPr>
          <w:b/>
          <w:bCs/>
        </w:rPr>
        <w:t xml:space="preserve">Student pass.</w:t>
      </w:r>
      <w:r>
        <w:t xml:space="preserve"> </w:t>
      </w:r>
      <w:r>
        <w:t xml:space="preserve">The student is a hierarchical actinn-jax reference whose</w:t>
      </w:r>
      <w:r>
        <w:t xml:space="preserve"> </w:t>
      </w:r>
      <w:r>
        <w:rPr>
          <w:b/>
          <w:bCs/>
        </w:rPr>
        <w:t xml:space="preserve">classes</w:t>
      </w:r>
      <w:r>
        <w:t xml:space="preserve"> </w:t>
      </w:r>
      <w:r>
        <w:t xml:space="preserve">are</w:t>
      </w:r>
      <w:r>
        <w:t xml:space="preserve"> </w:t>
      </w:r>
      <w:r>
        <w:t xml:space="preserve">the teacher’s refined fine labels (including its trained</w:t>
      </w:r>
      <w:r>
        <w:t xml:space="preserve"> </w:t>
      </w:r>
      <w:r>
        <w:rPr>
          <w:rStyle w:val="VerbatimChar"/>
        </w:rPr>
        <w:t xml:space="preserve">Unassigned</w:t>
      </w:r>
      <w:r>
        <w:t xml:space="preserve"> </w:t>
      </w:r>
      <w:r>
        <w:t xml:space="preserve">quality-control class)</w:t>
      </w:r>
      <w:r>
        <w:t xml:space="preserve"> </w:t>
      </w:r>
      <w:r>
        <w:t xml:space="preserve">and whose</w:t>
      </w:r>
      <w:r>
        <w:t xml:space="preserve"> </w:t>
      </w:r>
      <w:r>
        <w:rPr>
          <w:b/>
          <w:bCs/>
        </w:rPr>
        <w:t xml:space="preserve">hierarchy</w:t>
      </w:r>
      <w:r>
        <w:t xml:space="preserve"> </w:t>
      </w:r>
      <w:r>
        <w:t xml:space="preserve">is the</w:t>
      </w:r>
      <w:r>
        <w:t xml:space="preserve"> </w:t>
      </w:r>
      <w:r>
        <w:t xml:space="preserve">teacher’s own broad level — so the coarse→fine structure is inherited rather than rediscovered.</w:t>
      </w:r>
      <w:r>
        <w:t xml:space="preserve"> </w:t>
      </w:r>
      <w:r>
        <w:t xml:space="preserve">4,000-gene HVG panel; classes with fewer than 8 cells dropped, since a class that cannot be</w:t>
      </w:r>
      <w:r>
        <w:t xml:space="preserve"> </w:t>
      </w:r>
      <w:r>
        <w:t xml:space="preserve">split into train and test makes fidelity depend on which side its cells landed.</w:t>
      </w:r>
    </w:p>
    <w:p>
      <w:pPr>
        <w:pStyle w:val="BodyText"/>
      </w:pPr>
      <w:r>
        <w:rPr>
          <w:b/>
          <w:bCs/>
        </w:rPr>
        <w:t xml:space="preserve">Corpus.</w:t>
      </w:r>
      <w:r>
        <w:t xml:space="preserve"> </w:t>
      </w:r>
      <w:r>
        <w:t xml:space="preserve">Three local atlases (lung, liver, blood+gut) capped at 600 cells per label, plus a</w:t>
      </w:r>
      <w:r>
        <w:t xml:space="preserve"> </w:t>
      </w:r>
      <w:r>
        <w:t xml:space="preserve">census-wide pull (≤60 per type). The atlases’ own labels are used</w:t>
      </w:r>
      <w:r>
        <w:t xml:space="preserve"> </w:t>
      </w:r>
      <w:r>
        <w:rPr>
          <w:b/>
          <w:bCs/>
        </w:rPr>
        <w:t xml:space="preserve">only for scoring</w:t>
      </w:r>
      <w:r>
        <w:t xml:space="preserve">, never</w:t>
      </w:r>
      <w:r>
        <w:t xml:space="preserve"> </w:t>
      </w:r>
      <w:r>
        <w:t xml:space="preserve">for training.</w:t>
      </w:r>
    </w:p>
    <w:p>
      <w:pPr>
        <w:pStyle w:val="BodyText"/>
      </w:pPr>
      <w:r>
        <w:rPr>
          <w:b/>
          <w:bCs/>
        </w:rPr>
        <w:t xml:space="preserve">Evaluation.</w:t>
      </w:r>
      <w:r>
        <w:t xml:space="preserve"> </w:t>
      </w:r>
      <w:r>
        <w:t xml:space="preserve">Two arms answer different questions.</w:t>
      </w:r>
      <w:r>
        <w:t xml:space="preserve"> </w:t>
      </w:r>
      <w:r>
        <w:rPr>
          <w:i/>
          <w:iCs/>
        </w:rPr>
        <w:t xml:space="preserve">In-corpus</w:t>
      </w:r>
      <w:r>
        <w:t xml:space="preserve"> </w:t>
      </w:r>
      <w:r>
        <w:t xml:space="preserve">holds out a stratified 25% of</w:t>
      </w:r>
      <w:r>
        <w:t xml:space="preserve"> </w:t>
      </w:r>
      <w:r>
        <w:t xml:space="preserve">cells and measures</w:t>
      </w:r>
      <w:r>
        <w:t xml:space="preserve"> </w:t>
      </w:r>
      <w:r>
        <w:rPr>
          <w:b/>
          <w:bCs/>
        </w:rPr>
        <w:t xml:space="preserve">fidelity</w:t>
      </w:r>
      <w:r>
        <w:t xml:space="preserve"> </w:t>
      </w:r>
      <w:r>
        <w:t xml:space="preserve">— how often the student reproduces the teacher, exactly and</w:t>
      </w:r>
      <w:r>
        <w:t xml:space="preserve"> </w:t>
      </w:r>
      <w:r>
        <w:t xml:space="preserve">ontology-equivalently.</w:t>
      </w:r>
      <w:r>
        <w:t xml:space="preserve"> </w:t>
      </w:r>
      <w:r>
        <w:rPr>
          <w:i/>
          <w:iCs/>
        </w:rPr>
        <w:t xml:space="preserve">Held-out atlas</w:t>
      </w:r>
      <w:r>
        <w:t xml:space="preserve"> </w:t>
      </w:r>
      <w:r>
        <w:t xml:space="preserve">withholds an entire atlas and measures whether the</w:t>
      </w:r>
      <w:r>
        <w:t xml:space="preserve"> </w:t>
      </w:r>
      <w:r>
        <w:t xml:space="preserve">student generalizes to data the corpus never covered. Both arms also score student and teacher</w:t>
      </w:r>
      <w:r>
        <w:t xml:space="preserve"> </w:t>
      </w:r>
      <w:r>
        <w:t xml:space="preserve">against the atlases’ own labels, which separates distillation loss from teacher error. Once the census pull is in the corpus, a withheld</w:t>
      </w:r>
      <w:r>
        <w:t xml:space="preserve"> </w:t>
      </w:r>
      <w:r>
        <w:rPr>
          <w:i/>
          <w:iCs/>
        </w:rPr>
        <w:t xml:space="preserve">atlas</w:t>
      </w:r>
      <w:r>
        <w:t xml:space="preserve"> </w:t>
      </w:r>
      <w:r>
        <w:t xml:space="preserve">is no longer a withheld</w:t>
      </w:r>
      <w:r>
        <w:t xml:space="preserve"> </w:t>
      </w:r>
      <w:r>
        <w:rPr>
          <w:i/>
          <w:iCs/>
        </w:rPr>
        <w:t xml:space="preserve">tissue</w:t>
      </w:r>
      <w:r>
        <w:t xml:space="preserve">.</w:t>
      </w:r>
    </w:p>
    <w:bookmarkEnd w:id="38"/>
    <w:bookmarkStart w:id="39" w:name="refinement-abstention-and-novelty"/>
    <w:p>
      <w:pPr>
        <w:pStyle w:val="Heading2"/>
      </w:pPr>
      <w:r>
        <w:t xml:space="preserve">Refinement, abstention, and novelty</w:t>
      </w:r>
    </w:p>
    <w:p>
      <w:pPr>
        <w:pStyle w:val="FirstParagraph"/>
      </w:pPr>
      <w:r>
        <w:t xml:space="preserve">Four mechanisms operate on a trained reference at inference time, all label-free.</w:t>
      </w:r>
    </w:p>
    <w:p>
      <w:pPr>
        <w:pStyle w:val="Compact"/>
        <w:numPr>
          <w:ilvl w:val="0"/>
          <w:numId w:val="1005"/>
        </w:numPr>
      </w:pPr>
      <w:r>
        <w:rPr>
          <w:b/>
          <w:bCs/>
        </w:rPr>
        <w:t xml:space="preserve">Confidence abstention.</w:t>
      </w:r>
      <w:r>
        <w:t xml:space="preserve"> </w:t>
      </w:r>
      <w:r>
        <w:t xml:space="preserve">Cells whose final probability is below a threshold are relabeled</w:t>
      </w:r>
      <w:r>
        <w:t xml:space="preserve"> </w:t>
      </w:r>
      <w:r>
        <w:t xml:space="preserve">“unknown”</w:t>
      </w:r>
      <w:r>
        <w:t xml:space="preserve"> </w:t>
      </w:r>
      <w:r>
        <w:t xml:space="preserve">rather than forced to the nearest class. Calibrated per reference (§2.6).</w:t>
      </w:r>
    </w:p>
    <w:p>
      <w:pPr>
        <w:pStyle w:val="Compact"/>
        <w:numPr>
          <w:ilvl w:val="0"/>
          <w:numId w:val="1005"/>
        </w:numPr>
      </w:pPr>
      <w:r>
        <w:rPr>
          <w:b/>
          <w:bCs/>
        </w:rPr>
        <w:t xml:space="preserve">Refinement to the query.</w:t>
      </w:r>
      <w:r>
        <w:t xml:space="preserve"> </w:t>
      </w:r>
      <w:r>
        <w:t xml:space="preserve">The reference’s class set is masked to those classes the</w:t>
      </w:r>
      <w:r>
        <w:t xml:space="preserve"> </w:t>
      </w:r>
      <w:r>
        <w:t xml:space="preserve">query’s own predictions actually support, and the softmax renormalized — no ground truth,</w:t>
      </w:r>
      <w:r>
        <w:t xml:space="preserve"> </w:t>
      </w:r>
      <w:r>
        <w:t xml:space="preserve">no retraining.</w:t>
      </w:r>
    </w:p>
    <w:p>
      <w:pPr>
        <w:pStyle w:val="Compact"/>
        <w:numPr>
          <w:ilvl w:val="0"/>
          <w:numId w:val="1005"/>
        </w:numPr>
      </w:pPr>
      <w:r>
        <w:rPr>
          <w:b/>
          <w:bCs/>
        </w:rPr>
        <w:t xml:space="preserve">Refinement to a tissue.</w:t>
      </w:r>
      <w:r>
        <w:t xml:space="preserve"> </w:t>
      </w:r>
      <w:r>
        <w:t xml:space="preserve">Classes are masked to those the census records in the given</w:t>
      </w:r>
      <w:r>
        <w:t xml:space="preserve"> </w:t>
      </w:r>
      <w:r>
        <w:t xml:space="preserve">tissue, while</w:t>
      </w:r>
      <w:r>
        <w:t xml:space="preserve"> </w:t>
      </w:r>
      <w:r>
        <w:rPr>
          <w:b/>
          <w:bCs/>
        </w:rPr>
        <w:t xml:space="preserve">pan-tissue</w:t>
      </w:r>
      <w:r>
        <w:t xml:space="preserve"> </w:t>
      </w:r>
      <w:r>
        <w:t xml:space="preserve">types (immune, endothelial, stromal) stay available</w:t>
      </w:r>
      <w:r>
        <w:t xml:space="preserve"> </w:t>
      </w:r>
      <w:r>
        <w:t xml:space="preserve">everywhere, so liver-resident T cells are unaffected. The per-class tissue map is baked</w:t>
      </w:r>
      <w:r>
        <w:t xml:space="preserve"> </w:t>
      </w:r>
      <w:r>
        <w:t xml:space="preserve">into the shipped reference; the tissue is given explicitly or read from the query’s own</w:t>
      </w:r>
      <w:r>
        <w:t xml:space="preserve"> </w:t>
      </w:r>
      <w:r>
        <w:t xml:space="preserve">metadata, with common synonyms (PBMC→blood, hepatic→liver) recognized. A tissue outside</w:t>
      </w:r>
      <w:r>
        <w:t xml:space="preserve"> </w:t>
      </w:r>
      <w:r>
        <w:t xml:space="preserve">the reference’s vocabulary imposes no filter rather than an empty one.</w:t>
      </w:r>
    </w:p>
    <w:p>
      <w:pPr>
        <w:pStyle w:val="Compact"/>
        <w:numPr>
          <w:ilvl w:val="0"/>
          <w:numId w:val="1005"/>
        </w:numPr>
      </w:pPr>
      <w:r>
        <w:rPr>
          <w:b/>
          <w:bCs/>
        </w:rPr>
        <w:t xml:space="preserve">Cluster-level novelty screen.</w:t>
      </w:r>
      <w:r>
        <w:t xml:space="preserve"> </w:t>
      </w:r>
      <w:r>
        <w:t xml:space="preserve">A cell type absent from the reference appears not as</w:t>
      </w:r>
      <w:r>
        <w:t xml:space="preserve"> </w:t>
      </w:r>
      <w:r>
        <w:t xml:space="preserve">scattered uncertain cells but as a</w:t>
      </w:r>
      <w:r>
        <w:t xml:space="preserve"> </w:t>
      </w:r>
      <w:r>
        <w:rPr>
          <w:i/>
          <w:iCs/>
        </w:rPr>
        <w:t xml:space="preserve">coherent group the reference cannot confidently</w:t>
      </w:r>
      <w:r>
        <w:rPr>
          <w:i/>
          <w:iCs/>
        </w:rPr>
        <w:t xml:space="preserve"> </w:t>
      </w:r>
      <w:r>
        <w:rPr>
          <w:i/>
          <w:iCs/>
        </w:rPr>
        <w:t xml:space="preserve">explain</w:t>
      </w:r>
      <w:r>
        <w:t xml:space="preserve">. Clusters that are both large enough to be a real population and predominantly</w:t>
      </w:r>
      <w:r>
        <w:t xml:space="preserve"> </w:t>
      </w:r>
      <w:r>
        <w:t xml:space="preserve">low-confidence are flagged, with marker genes reported for each. This is distinct from</w:t>
      </w:r>
      <w:r>
        <w:t xml:space="preserve"> </w:t>
      </w:r>
      <w:r>
        <w:t xml:space="preserve">per-cell abstention.</w:t>
      </w:r>
    </w:p>
    <w:p>
      <w:pPr>
        <w:pStyle w:val="FirstParagraph"/>
      </w:pPr>
      <w:r>
        <w:rPr>
          <w:b/>
          <w:bCs/>
        </w:rPr>
        <w:t xml:space="preserve">Within-type state.</w:t>
      </w:r>
      <w:r>
        <w:t xml:space="preserve"> </w:t>
      </w:r>
      <w:r>
        <w:t xml:space="preserve">The same machinery resolves structure below a cell-type label: a</w:t>
      </w:r>
      <w:r>
        <w:t xml:space="preserve"> </w:t>
      </w:r>
      <w:r>
        <w:t xml:space="preserve">hepatocyte zonation model trained on portal→central zone labels, scored by within-one-zone</w:t>
      </w:r>
      <w:r>
        <w:t xml:space="preserve"> </w:t>
      </w:r>
      <w:r>
        <w:t xml:space="preserve">agreement across donors and datasets.</w:t>
      </w:r>
    </w:p>
    <w:bookmarkEnd w:id="39"/>
    <w:bookmarkStart w:id="40" w:name="scaling-protocol"/>
    <w:p>
      <w:pPr>
        <w:pStyle w:val="Heading2"/>
      </w:pPr>
      <w:r>
        <w:t xml:space="preserve">Scaling protocol</w:t>
      </w:r>
    </w:p>
    <w:p>
      <w:pPr>
        <w:pStyle w:val="FirstParagraph"/>
      </w:pPr>
      <w:r>
        <w:t xml:space="preserve">A benchmark run at one reference size measures that size, not the method. Since a reference</w:t>
      </w:r>
      <w:r>
        <w:t xml:space="preserve"> </w:t>
      </w:r>
      <w:r>
        <w:t xml:space="preserve">can be anything from a few thousand cells to a whole atlas, we subsample the reference and hold</w:t>
      </w:r>
      <w:r>
        <w:t xml:space="preserve"> </w:t>
      </w:r>
      <w:r>
        <w:t xml:space="preserve">the query fixed, so accuracy, fit time, predict time and peak memory become functions of</w:t>
      </w:r>
      <w:r>
        <w:t xml:space="preserve"> </w:t>
      </w:r>
      <w:r>
        <w:t xml:space="preserve">reference size alone.</w:t>
      </w:r>
    </w:p>
    <w:p>
      <w:pPr>
        <w:pStyle w:val="BodyText"/>
      </w:pPr>
      <w:r>
        <w:t xml:space="preserve">Each sweep answers a different question.</w:t>
      </w:r>
      <w:r>
        <w:t xml:space="preserve"> </w:t>
      </w:r>
      <w:r>
        <w:rPr>
          <w:b/>
          <w:bCs/>
        </w:rPr>
        <w:t xml:space="preserve">Cost against size and</w:t>
      </w:r>
      <w:r>
        <w:rPr>
          <w:b/>
          <w:bCs/>
        </w:rPr>
        <w:t xml:space="preserve"> </w:t>
      </w:r>
      <w:r>
        <w:rPr>
          <w:b/>
          <w:bCs/>
        </w:rPr>
        <w:t xml:space="preserve">cardinality</w:t>
      </w:r>
      <w:r>
        <w:t xml:space="preserve"> </w:t>
      </w:r>
      <w:r>
        <w:t xml:space="preserve">(§3.3, Figure 2) covers six reference sizes to 24k cells and separately varies</w:t>
      </w:r>
      <w:r>
        <w:t xml:space="preserve"> </w:t>
      </w:r>
      <w:r>
        <w:t xml:space="preserve">the number of cell types, and asks whether inference cost grows with either — the property the</w:t>
      </w:r>
      <w:r>
        <w:t xml:space="preserve"> </w:t>
      </w:r>
      <w:r>
        <w:t xml:space="preserve">multi-stage workflow depends on.</w:t>
      </w:r>
      <w:r>
        <w:t xml:space="preserve"> </w:t>
      </w:r>
      <w:r>
        <w:rPr>
          <w:b/>
          <w:bCs/>
        </w:rPr>
        <w:t xml:space="preserve">Accuracy and memory to atlas scale</w:t>
      </w:r>
      <w:r>
        <w:t xml:space="preserve"> </w:t>
      </w:r>
      <w:r>
        <w:t xml:space="preserve">covers five sizes</w:t>
      </w:r>
      <w:r>
        <w:t xml:space="preserve"> </w:t>
      </w:r>
      <w:r>
        <w:t xml:space="preserve">to 49k cells on lung and four to 47k on the HLiCA liver atlas (§3.3, Figure 3), and asks</w:t>
      </w:r>
      <w:r>
        <w:t xml:space="preserve"> </w:t>
      </w:r>
      <w:r>
        <w:t xml:space="preserve">whether the ranking at laptop size survives at atlas size. Sizes are set by capping cells per</w:t>
      </w:r>
      <w:r>
        <w:t xml:space="preserve"> </w:t>
      </w:r>
      <w:r>
        <w:t xml:space="preserve">type, which is why they are not round numbers. The lung sweep’s top point is the whole atlas</w:t>
      </w:r>
      <w:r>
        <w:t xml:space="preserve"> </w:t>
      </w:r>
      <w:r>
        <w:t xml:space="preserve">once the query is held out; the liver atlas is far larger (525k cells), so its sweep stops at</w:t>
      </w:r>
      <w:r>
        <w:t xml:space="preserve"> </w:t>
      </w:r>
      <w:r>
        <w:t xml:space="preserve">a matching reference size rather than at its own ceiling, which is what lets the two be read</w:t>
      </w:r>
      <w:r>
        <w:t xml:space="preserve"> </w:t>
      </w:r>
      <w:r>
        <w:t xml:space="preserve">against each other.</w:t>
      </w:r>
    </w:p>
    <w:bookmarkEnd w:id="40"/>
    <w:bookmarkStart w:id="42" w:name="external-validation-protocol"/>
    <w:p>
      <w:pPr>
        <w:pStyle w:val="Heading2"/>
      </w:pPr>
      <w:r>
        <w:t xml:space="preserve">External validation protocol</w:t>
      </w:r>
    </w:p>
    <w:p>
      <w:pPr>
        <w:pStyle w:val="FirstParagraph"/>
      </w:pPr>
      <w:r>
        <w:rPr>
          <w:b/>
          <w:bCs/>
        </w:rPr>
        <w:t xml:space="preserve">Open Problems</w:t>
      </w:r>
      <w:r>
        <w:rPr>
          <w:b/>
          <w:bCs/>
        </w:rPr>
        <w:t xml:space="preserve"> </w:t>
      </w:r>
      <w:r>
        <w:rPr>
          <w:rStyle w:val="VerbatimChar"/>
          <w:b/>
          <w:bCs/>
        </w:rPr>
        <w:t xml:space="preserve">label_projection</w:t>
      </w:r>
      <w:r>
        <w:t xml:space="preserve"> </w:t>
      </w:r>
      <w:hyperlink r:id="rId41">
        <w:r>
          <w:rPr>
            <w:rStyle w:val="Hyperlink"/>
          </w:rPr>
          <w:t xml:space="preserve">[Open Problems 2024]</w:t>
        </w:r>
      </w:hyperlink>
      <w:r>
        <w:t xml:space="preserve"> </w:t>
      </w:r>
      <w:r>
        <w:t xml:space="preserve">supplies the</w:t>
      </w:r>
      <w:r>
        <w:t xml:space="preserve"> </w:t>
      </w:r>
      <w:r>
        <w:t xml:space="preserve">datasets, metrics and ranking — none chosen by us. actinn-jax is packaged as a viash 0.9.7</w:t>
      </w:r>
      <w:r>
        <w:t xml:space="preserve"> </w:t>
      </w:r>
      <w:r>
        <w:t xml:space="preserve">component declaring the normalization it expects, and run through the project’s own Nextflow</w:t>
      </w:r>
      <w:r>
        <w:t xml:space="preserve"> </w:t>
      </w:r>
      <w:r>
        <w:t xml:space="preserve">workflow. We additionally built components for four</w:t>
      </w:r>
      <w:r>
        <w:t xml:space="preserve"> </w:t>
      </w:r>
      <w:r>
        <w:t xml:space="preserve">baselines (linear-anova-pca, scTOP, SVM, CellTypist) so the same-hardware comparison covers</w:t>
      </w:r>
      <w:r>
        <w:t xml:space="preserve"> </w:t>
      </w:r>
      <w:r>
        <w:t xml:space="preserve">more than the leaderboard’s own set.</w:t>
      </w:r>
    </w:p>
    <w:p>
      <w:pPr>
        <w:pStyle w:val="BodyText"/>
      </w:pPr>
      <w:r>
        <w:rPr>
          <w:b/>
          <w:bCs/>
        </w:rPr>
        <w:t xml:space="preserve">Where each number is measured.</w:t>
      </w:r>
      <w:r>
        <w:t xml:space="preserve"> </w:t>
      </w:r>
      <w:r>
        <w:t xml:space="preserve">The paper reports two environments. The in-house panel</w:t>
      </w:r>
      <w:r>
        <w:t xml:space="preserve"> </w:t>
      </w:r>
      <w:r>
        <w:t xml:space="preserve">(§3.1–§3.5) runs on the Apple Silicon laptop described in §2.5. The Open Problems results</w:t>
      </w:r>
      <w:r>
        <w:t xml:space="preserve"> </w:t>
      </w:r>
      <w:r>
        <w:t xml:space="preserve">(§3.7) run on AWS</w:t>
      </w:r>
      <w:r>
        <w:t xml:space="preserve"> </w:t>
      </w:r>
      <w:r>
        <w:rPr>
          <w:rStyle w:val="VerbatimChar"/>
        </w:rPr>
        <w:t xml:space="preserve">r7i.8xlarge</w:t>
      </w:r>
      <w:r>
        <w:t xml:space="preserve"> </w:t>
      </w:r>
      <w:r>
        <w:t xml:space="preserve">instances (32 vCPU, 247 GB) through OP’s own Nextflow</w:t>
      </w:r>
      <w:r>
        <w:t xml:space="preserve"> </w:t>
      </w:r>
      <w:r>
        <w:t xml:space="preserve">pipeline, two tasks at a time.</w:t>
      </w:r>
    </w:p>
    <w:p>
      <w:pPr>
        <w:pStyle w:val="BodyText"/>
      </w:pPr>
      <w:r>
        <w:rPr>
          <w:b/>
          <w:bCs/>
        </w:rPr>
        <w:t xml:space="preserve">Accuracy</w:t>
      </w:r>
      <w:r>
        <w:t xml:space="preserve"> </w:t>
      </w:r>
      <w:r>
        <w:t xml:space="preserve">in Table 9 comes from a single AWS run covering all eleven methods, so every</w:t>
      </w:r>
      <w:r>
        <w:t xml:space="preserve"> </w:t>
      </w:r>
      <w:r>
        <w:t xml:space="preserve">score is one harness, one machine, one invocation.</w:t>
      </w:r>
    </w:p>
    <w:p>
      <w:pPr>
        <w:pStyle w:val="BodyText"/>
      </w:pPr>
      <w:r>
        <w:rPr>
          <w:b/>
          <w:bCs/>
        </w:rPr>
        <w:t xml:space="preserve">Cost</w:t>
      </w:r>
      <w:r>
        <w:t xml:space="preserve"> </w:t>
      </w:r>
      <w:r>
        <w:t xml:space="preserve">is reported as a ratio to actinn-jax rather than in seconds, because wall-clock on a</w:t>
      </w:r>
      <w:r>
        <w:t xml:space="preserve"> </w:t>
      </w:r>
      <w:r>
        <w:t xml:space="preserve">shared box depends on what else is running: measured</w:t>
      </w:r>
      <w:r>
        <w:t xml:space="preserve"> </w:t>
      </w:r>
      <w:r>
        <w:rPr>
          <w:rStyle w:val="VerbatimChar"/>
        </w:rPr>
        <w:t xml:space="preserve">%cpu</w:t>
      </w:r>
      <w:r>
        <w:t xml:space="preserve"> </w:t>
      </w:r>
      <w:r>
        <w:t xml:space="preserve">spans 49% to 2338% across these</w:t>
      </w:r>
      <w:r>
        <w:t xml:space="preserve"> </w:t>
      </w:r>
      <w:r>
        <w:t xml:space="preserve">methods, and actinn-jax itself averaged 165 s/dataset when scheduled alongside OP’s seven and</w:t>
      </w:r>
      <w:r>
        <w:t xml:space="preserve"> </w:t>
      </w:r>
      <w:r>
        <w:t xml:space="preserve">87 s/dataset alongside our four. Ratios taken within one run are stable where absolute times</w:t>
      </w:r>
      <w:r>
        <w:t xml:space="preserve"> </w:t>
      </w:r>
      <w:r>
        <w:t xml:space="preserve">are not, and actinn-jax was included in both runs to join them. Peak memory does not move</w:t>
      </w:r>
      <w:r>
        <w:t xml:space="preserve"> </w:t>
      </w:r>
      <w:r>
        <w:t xml:space="preserve">with contention and is reported as measured.</w:t>
      </w:r>
    </w:p>
    <w:bookmarkEnd w:id="42"/>
    <w:bookmarkStart w:id="45" w:name="ablations"/>
    <w:p>
      <w:pPr>
        <w:pStyle w:val="Heading2"/>
      </w:pPr>
      <w:r>
        <w:t xml:space="preserve">Ablations</w:t>
      </w:r>
    </w:p>
    <w:p>
      <w:pPr>
        <w:pStyle w:val="FirstParagraph"/>
      </w:pPr>
      <w:r>
        <w:t xml:space="preserve">Three cheap interventions characterize</w:t>
      </w:r>
      <w:r>
        <w:t xml:space="preserve"> </w:t>
      </w:r>
      <w:r>
        <w:rPr>
          <w:i/>
          <w:iCs/>
        </w:rPr>
        <w:t xml:space="preserve">when</w:t>
      </w:r>
      <w:r>
        <w:t xml:space="preserve"> </w:t>
      </w:r>
      <w:r>
        <w:t xml:space="preserve">a gene-space MLP gains or loses against heavier</w:t>
      </w:r>
      <w:r>
        <w:t xml:space="preserve"> </w:t>
      </w:r>
      <w:r>
        <w:t xml:space="preserve">methods, all selectable without test labels:</w:t>
      </w:r>
    </w:p>
    <w:p>
      <w:pPr>
        <w:pStyle w:val="Compact"/>
        <w:numPr>
          <w:ilvl w:val="0"/>
          <w:numId w:val="1006"/>
        </w:numPr>
      </w:pPr>
      <w:r>
        <w:rPr>
          <w:b/>
          <w:bCs/>
        </w:rPr>
        <w:t xml:space="preserve">Input standardization</w:t>
      </w:r>
      <w:r>
        <w:t xml:space="preserve"> </w:t>
      </w:r>
      <w:r>
        <w:t xml:space="preserve">— z-score each selected gene by the reference’s frozen mean/std</w:t>
      </w:r>
      <w:r>
        <w:t xml:space="preserve"> </w:t>
      </w:r>
      <w:r>
        <w:t xml:space="preserve">and apply to the query (a scArches-style domain alignment). Opt-in, because it shifts the</w:t>
      </w:r>
      <w:r>
        <w:t xml:space="preserve"> </w:t>
      </w:r>
      <w:r>
        <w:t xml:space="preserve">probability calibration the abstain thresholds are tuned against.</w:t>
      </w:r>
    </w:p>
    <w:p>
      <w:pPr>
        <w:pStyle w:val="Compact"/>
        <w:numPr>
          <w:ilvl w:val="0"/>
          <w:numId w:val="1006"/>
        </w:numPr>
      </w:pPr>
      <w:r>
        <w:rPr>
          <w:b/>
          <w:bCs/>
        </w:rPr>
        <w:t xml:space="preserve">Gene budget</w:t>
      </w:r>
      <w:r>
        <w:t xml:space="preserve"> </w:t>
      </w:r>
      <w:r>
        <w:t xml:space="preserve">— Open Problems feeds every method 1,000 HVGs; we sweep wider panels and</w:t>
      </w:r>
      <w:r>
        <w:t xml:space="preserve"> </w:t>
      </w:r>
      <w:r>
        <w:t xml:space="preserve">select per dataset by</w:t>
      </w:r>
      <w:r>
        <w:t xml:space="preserve"> </w:t>
      </w:r>
      <w:r>
        <w:rPr>
          <w:b/>
          <w:bCs/>
        </w:rPr>
        <w:t xml:space="preserve">held-out reference cross-validation</w:t>
      </w:r>
      <w:r>
        <w:t xml:space="preserve">, which is label-free with</w:t>
      </w:r>
      <w:r>
        <w:t xml:space="preserve"> </w:t>
      </w:r>
      <w:r>
        <w:t xml:space="preserve">respect to the test set.</w:t>
      </w:r>
    </w:p>
    <w:p>
      <w:pPr>
        <w:pStyle w:val="Compact"/>
        <w:numPr>
          <w:ilvl w:val="0"/>
          <w:numId w:val="1006"/>
        </w:numPr>
      </w:pPr>
      <w:r>
        <w:rPr>
          <w:b/>
          <w:bCs/>
        </w:rPr>
        <w:t xml:space="preserve">Protein-embedding featurization</w:t>
      </w:r>
      <w:r>
        <w:t xml:space="preserve"> </w:t>
      </w:r>
      <w:r>
        <w:t xml:space="preserve">(negative control). A CPU-only featurization in the</w:t>
      </w:r>
      <w:r>
        <w:t xml:space="preserve"> </w:t>
      </w:r>
      <w:r>
        <w:t xml:space="preserve">style of</w:t>
      </w:r>
      <w:r>
        <w:t xml:space="preserve"> </w:t>
      </w:r>
      <w:r>
        <w:rPr>
          <w:b/>
          <w:bCs/>
        </w:rPr>
        <w:t xml:space="preserve">Universal Cell Embeddings (UCE)</w:t>
      </w:r>
      <w:r>
        <w:t xml:space="preserve"> </w:t>
      </w:r>
      <w:hyperlink r:id="rId43">
        <w:r>
          <w:rPr>
            <w:rStyle w:val="Hyperlink"/>
          </w:rPr>
          <w:t xml:space="preserve">[Rosen 2026]</w:t>
        </w:r>
      </w:hyperlink>
      <w:r>
        <w:t xml:space="preserve">: an expression-weighted mean of</w:t>
      </w:r>
      <w:r>
        <w:t xml:space="preserve"> </w:t>
      </w:r>
      <w:r>
        <w:t xml:space="preserve">ESM2</w:t>
      </w:r>
      <w:r>
        <w:t xml:space="preserve"> </w:t>
      </w:r>
      <w:hyperlink r:id="rId44">
        <w:r>
          <w:rPr>
            <w:rStyle w:val="Hyperlink"/>
          </w:rPr>
          <w:t xml:space="preserve">[Lin 2023]</w:t>
        </w:r>
      </w:hyperlink>
      <w:r>
        <w:t xml:space="preserve"> </w:t>
      </w:r>
      <w:r>
        <w:t xml:space="preserve">protein-language-model gene embeddings. It tests whether a foundation</w:t>
      </w:r>
      <w:r>
        <w:t xml:space="preserve"> </w:t>
      </w:r>
      <w:r>
        <w:t xml:space="preserve">model’s value survives a cheap pooling shortcut.</w:t>
      </w:r>
    </w:p>
    <w:bookmarkEnd w:id="45"/>
    <w:bookmarkEnd w:id="46"/>
    <w:bookmarkStart w:id="80" w:name="results"/>
    <w:p>
      <w:pPr>
        <w:pStyle w:val="Heading1"/>
      </w:pPr>
      <w:r>
        <w:t xml:space="preserve">Results</w:t>
      </w:r>
    </w:p>
    <w:bookmarkStart w:id="47" w:name="accuracy-and-cost"/>
    <w:p>
      <w:pPr>
        <w:pStyle w:val="Heading2"/>
      </w:pPr>
      <w:r>
        <w:t xml:space="preserve">Accuracy and cost</w:t>
      </w:r>
    </w:p>
    <w:p>
      <w:pPr>
        <w:pStyle w:val="FirstParagraph"/>
      </w:pPr>
      <w:r>
        <w:t xml:space="preserve">Accuracy is the mean over the</w:t>
      </w:r>
      <w:r>
        <w:t xml:space="preserve"> </w:t>
      </w:r>
      <w:r>
        <w:rPr>
          <w:b/>
          <w:bCs/>
        </w:rPr>
        <w:t xml:space="preserve">five shared-vocabulary datasets</w:t>
      </w:r>
      <w:r>
        <w:t xml:space="preserve"> </w:t>
      </w:r>
      <w:r>
        <w:t xml:space="preserve">(lung_cross</w:t>
      </w:r>
      <w:r>
        <w:t xml:space="preserve"> </w:t>
      </w:r>
      <w:r>
        <w:t xml:space="preserve">excluded — its exact-match accuracy is a vocabulary artifact, see the † note below; means over all</w:t>
      </w:r>
      <w:r>
        <w:t xml:space="preserve"> </w:t>
      </w:r>
      <w:r>
        <w:t xml:space="preserve">six are ~0.08 lower for every method, and reorder only scArches and actinn-jax, by 0.0004);</w:t>
      </w:r>
      <w:r>
        <w:t xml:space="preserve"> </w:t>
      </w:r>
      <w:r>
        <w:t xml:space="preserve">macro-F1 is the mean over all six, ontology concordance the mean over the four datasets that</w:t>
      </w:r>
      <w:r>
        <w:t xml:space="preserve"> </w:t>
      </w:r>
      <w:r>
        <w:t xml:space="preserve">carry Cell Ontology ids; cost is the mean per query (Table 3):</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w:r>
              <w:t xml:space="preserve">method</w:t>
            </w:r>
          </w:p>
        </w:tc>
        <w:tc>
          <w:tcPr/>
          <w:p>
            <w:pPr>
              <w:pStyle w:val="Compact"/>
              <w:jc w:val="right"/>
            </w:pPr>
            <w:r>
              <w:t xml:space="preserve">acc (5)</w:t>
            </w:r>
          </w:p>
        </w:tc>
        <w:tc>
          <w:tcPr/>
          <w:p>
            <w:pPr>
              <w:pStyle w:val="Compact"/>
              <w:jc w:val="right"/>
            </w:pPr>
            <w:r>
              <w:t xml:space="preserve">macro-F1 (6)</w:t>
            </w:r>
          </w:p>
        </w:tc>
        <w:tc>
          <w:tcPr/>
          <w:p>
            <w:pPr>
              <w:pStyle w:val="Compact"/>
              <w:jc w:val="right"/>
            </w:pPr>
            <w:r>
              <w:t xml:space="preserve">ontology (4)</w:t>
            </w:r>
          </w:p>
        </w:tc>
        <w:tc>
          <w:tcPr/>
          <w:p>
            <w:pPr>
              <w:pStyle w:val="Compact"/>
              <w:jc w:val="right"/>
            </w:pPr>
            <w:r>
              <w:t xml:space="preserve">fit (s)</w:t>
            </w:r>
          </w:p>
        </w:tc>
        <w:tc>
          <w:tcPr/>
          <w:p>
            <w:pPr>
              <w:pStyle w:val="Compact"/>
              <w:jc w:val="right"/>
            </w:pPr>
            <w:r>
              <w:rPr>
                <w:b/>
                <w:bCs/>
              </w:rPr>
              <w:t xml:space="preserve">predict (s)</w:t>
            </w:r>
          </w:p>
        </w:tc>
        <w:tc>
          <w:tcPr/>
          <w:p>
            <w:pPr>
              <w:pStyle w:val="Compact"/>
              <w:jc w:val="right"/>
            </w:pPr>
            <w:r>
              <w:t xml:space="preserve">peak mem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3.</w:t>
      </w:r>
      <w:r>
        <w:t xml:space="preserve"> </w:t>
      </w:r>
      <w:r>
        <w:t xml:space="preserve">Accuracy and cost together, ordered by accuracy. Accuracy is the mean over the five</w:t>
      </w:r>
      <w:r>
        <w:t xml:space="preserve"> </w:t>
      </w:r>
      <w:r>
        <w:t xml:space="preserve">shared-vocabulary datasets, macro-F1 is the mean over all six, ontology concordance the mean</w:t>
      </w:r>
      <w:r>
        <w:t xml:space="preserve"> </w:t>
      </w:r>
      <w:r>
        <w:t xml:space="preserve">over the four datasets carrying Cell Ontology ids, and cost is the mean per query. Bold marks the best value in a column.</w:t>
      </w:r>
    </w:p>
    <w:p>
      <w:pPr>
        <w:pStyle w:val="BodyText"/>
      </w:pPr>
      <w:r>
        <w:t xml:space="preserve">*In Table 3, scANVI does most of its work in one train+predict pass, attributed to predict.</w:t>
      </w:r>
    </w:p>
    <w:p>
      <w:pPr>
        <w:pStyle w:val="BodyText"/>
      </w:pPr>
      <w:r>
        <w:t xml:space="preserve">The top four methods span</w:t>
      </w:r>
      <w:r>
        <w:t xml:space="preserve"> </w:t>
      </w:r>
      <w:r>
        <w:rPr>
          <w:b/>
          <w:bCs/>
        </w:rPr>
        <w:t xml:space="preserve">0.008 in accuracy, ~260× in predict time</w:t>
      </w:r>
      <w:r>
        <w:t xml:space="preserve"> </w:t>
      </w:r>
      <w:r>
        <w:t xml:space="preserve">(0.34 s to 89 s) and</w:t>
      </w:r>
      <w:r>
        <w:t xml:space="preserve"> </w:t>
      </w:r>
      <w:r>
        <w:t xml:space="preserve">2.4× in memory. scANVI sits within 0.002 of second place and</w:t>
      </w:r>
      <w:r>
        <w:t xml:space="preserve"> </w:t>
      </w:r>
      <w:r>
        <w:rPr>
          <w:b/>
          <w:bCs/>
        </w:rPr>
        <w:t xml:space="preserve">134× slower than actinn-jax</w:t>
      </w:r>
      <w:r>
        <w:t xml:space="preserve"> </w:t>
      </w:r>
      <w:r>
        <w:t xml:space="preserve">at tied accuracy. The linear pipeline is both the most accurate</w:t>
      </w:r>
      <w:r>
        <w:t xml:space="preserve"> </w:t>
      </w:r>
      <w:r>
        <w:t xml:space="preserve">and the fastest to fit, and pays for it in memory — 4294 vs 2399 MB — because ANOVA/PCA densify</w:t>
      </w:r>
      <w:r>
        <w:t xml:space="preserve"> </w:t>
      </w:r>
      <w:r>
        <w:t xml:space="preserve">a cells × genes matrix while actinn-jax stays sparse; that ~1.8× ratio widens to ~2× at atlas</w:t>
      </w:r>
      <w:r>
        <w:t xml:space="preserve"> </w:t>
      </w:r>
      <w:r>
        <w:t xml:space="preserve">scale (6.1 vs 13.2 GB at 49k cells, §4). The two profiles suit different jobs: one-shot</w:t>
      </w:r>
      <w:r>
        <w:t xml:space="preserve"> </w:t>
      </w:r>
      <w:r>
        <w:t xml:space="preserve">labeling, versus a reference</w:t>
      </w:r>
      <w:r>
        <w:t xml:space="preserve"> </w:t>
      </w:r>
      <w:r>
        <w:rPr>
          <w:b/>
          <w:bCs/>
        </w:rPr>
        <w:t xml:space="preserve">trained once and reused</w:t>
      </w:r>
      <w:r>
        <w:t xml:space="preserve">, where a cached model pays fit once</w:t>
      </w:r>
      <w:r>
        <w:t xml:space="preserve"> </w:t>
      </w:r>
      <w:r>
        <w:t xml:space="preserve">while the linear pipeline refits scaler/PCA/classifier for every query. ProtoCloud’s 176 s CPU</w:t>
      </w:r>
      <w:r>
        <w:t xml:space="preserve"> </w:t>
      </w:r>
      <w:r>
        <w:t xml:space="preserve">fit buys nothing at this reference size — and buys the top accuracy at atlas scale (§3.3).</w:t>
      </w:r>
    </w:p>
    <w:p>
      <w:pPr>
        <w:pStyle w:val="BodyText"/>
      </w:pPr>
      <w:r>
        <w:rPr>
          <w:b/>
          <w:bCs/>
        </w:rPr>
        <w:t xml:space="preserve">Pretrained annotators, scored ontology-only.</w:t>
      </w:r>
      <w:r>
        <w:t xml:space="preserve"> </w:t>
      </w:r>
      <w:r>
        <w:t xml:space="preserve">The two methods with fixed label vocabularies</w:t>
      </w:r>
      <w:r>
        <w:t xml:space="preserve"> </w:t>
      </w:r>
      <w:r>
        <w:t xml:space="preserve">(§2.2, §2.4) cannot appear in Table 3, since they do not predict the dataset’s label</w:t>
      </w:r>
      <w:r>
        <w:t xml:space="preserve"> </w:t>
      </w:r>
      <w:r>
        <w:t xml:space="preserve">strings. They are scored by ontology concordance on the three datasets where reference and query</w:t>
      </w:r>
      <w:r>
        <w:t xml:space="preserve"> </w:t>
      </w:r>
      <w:r>
        <w:t xml:space="preserve">both carry CL ids and share a vocabulary, with actinn-jax on the same splits for reference: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p>
        </w:tc>
        <w:tc>
          <w:tcPr/>
          <w:p>
            <w:pPr>
              <w:pStyle w:val="Compact"/>
              <w:jc w:val="right"/>
            </w:pPr>
            <w:r>
              <w:t xml:space="preserve">lung_intra</w:t>
            </w:r>
          </w:p>
        </w:tc>
        <w:tc>
          <w:tcPr/>
          <w:p>
            <w:pPr>
              <w:pStyle w:val="Compact"/>
              <w:jc w:val="right"/>
            </w:pPr>
            <w:r>
              <w:t xml:space="preserve">liver_intra</w:t>
            </w:r>
          </w:p>
        </w:tc>
        <w:tc>
          <w:tcPr/>
          <w:p>
            <w:pPr>
              <w:pStyle w:val="Compact"/>
              <w:jc w:val="right"/>
            </w:pPr>
            <w:r>
              <w:t xml:space="preserve">liver_cross</w:t>
            </w:r>
          </w:p>
        </w:tc>
        <w:tc>
          <w:tcPr/>
          <w:p>
            <w:pPr>
              <w:pStyle w:val="Compact"/>
              <w:jc w:val="right"/>
            </w:pPr>
            <w:r>
              <w:t xml:space="preserve">predict (s)</w:t>
            </w:r>
          </w:p>
        </w:tc>
      </w:tr>
      <w:tr>
        <w:tc>
          <w:tcPr/>
          <w:p>
            <w:pPr>
              <w:pStyle w:val="Compact"/>
            </w:pPr>
            <w:r>
              <w:t xml:space="preserve">actinn-jax (reference-trained)</w:t>
            </w:r>
          </w:p>
        </w:tc>
        <w:tc>
          <w:tcPr/>
          <w:p>
            <w:pPr>
              <w:pStyle w:val="Compact"/>
              <w:jc w:val="right"/>
            </w:pPr>
            <w:r>
              <w:rPr>
                <w:b/>
                <w:bCs/>
              </w:rPr>
              <w:t xml:space="preserve">0.917</w:t>
            </w:r>
          </w:p>
        </w:tc>
        <w:tc>
          <w:tcPr/>
          <w:p>
            <w:pPr>
              <w:pStyle w:val="Compact"/>
              <w:jc w:val="right"/>
            </w:pPr>
            <w:r>
              <w:rPr>
                <w:b/>
                <w:bCs/>
              </w:rPr>
              <w:t xml:space="preserve">0.846</w:t>
            </w:r>
          </w:p>
        </w:tc>
        <w:tc>
          <w:tcPr/>
          <w:p>
            <w:pPr>
              <w:pStyle w:val="Compact"/>
              <w:jc w:val="right"/>
            </w:pPr>
            <w:r>
              <w:rPr>
                <w:b/>
                <w:bCs/>
              </w:rPr>
              <w:t xml:space="preserve">0.731</w:t>
            </w:r>
          </w:p>
        </w:tc>
        <w:tc>
          <w:tcPr/>
          <w:p>
            <w:pPr>
              <w:pStyle w:val="Compact"/>
              <w:jc w:val="right"/>
            </w:pPr>
            <w:r>
              <w:t xml:space="preserve">0.27–0.37</w:t>
            </w:r>
          </w:p>
        </w:tc>
      </w:tr>
      <w:tr>
        <w:tc>
          <w:tcPr/>
          <w:p>
            <w:pPr>
              <w:pStyle w:val="Compact"/>
            </w:pPr>
            <w:r>
              <w:t xml:space="preserve">Pan-human Azimuth (pretrained)</w:t>
            </w:r>
          </w:p>
        </w:tc>
        <w:tc>
          <w:tcPr/>
          <w:p>
            <w:pPr>
              <w:pStyle w:val="Compact"/>
              <w:jc w:val="right"/>
            </w:pPr>
            <w:r>
              <w:t xml:space="preserve">0.700</w:t>
            </w:r>
          </w:p>
        </w:tc>
        <w:tc>
          <w:tcPr/>
          <w:p>
            <w:pPr>
              <w:pStyle w:val="Compact"/>
              <w:jc w:val="right"/>
            </w:pPr>
            <w:r>
              <w:t xml:space="preserve">0.521</w:t>
            </w:r>
          </w:p>
        </w:tc>
        <w:tc>
          <w:tcPr/>
          <w:p>
            <w:pPr>
              <w:pStyle w:val="Compact"/>
              <w:jc w:val="right"/>
            </w:pPr>
            <w:r>
              <w:t xml:space="preserve">0.408</w:t>
            </w:r>
          </w:p>
        </w:tc>
        <w:tc>
          <w:tcPr/>
          <w:p>
            <w:pPr>
              <w:pStyle w:val="Compact"/>
              <w:jc w:val="right"/>
            </w:pPr>
            <w:r>
              <w:t xml:space="preserve">2.2–3.4</w:t>
            </w:r>
          </w:p>
        </w:tc>
      </w:tr>
      <w:tr>
        <w:tc>
          <w:tcPr/>
          <w:p>
            <w:pPr>
              <w:pStyle w:val="Compact"/>
            </w:pPr>
            <w:r>
              <w:t xml:space="preserve">scPRINT (zero-shot)</w:t>
            </w:r>
          </w:p>
        </w:tc>
        <w:tc>
          <w:tcPr/>
          <w:p>
            <w:pPr>
              <w:pStyle w:val="Compact"/>
              <w:jc w:val="right"/>
            </w:pPr>
            <w:r>
              <w:t xml:space="preserve">0.201</w:t>
            </w:r>
          </w:p>
        </w:tc>
        <w:tc>
          <w:tcPr/>
          <w:p>
            <w:pPr>
              <w:pStyle w:val="Compact"/>
              <w:jc w:val="right"/>
            </w:pPr>
            <w:r>
              <w:t xml:space="preserve">—</w:t>
            </w:r>
          </w:p>
        </w:tc>
        <w:tc>
          <w:tcPr/>
          <w:p>
            <w:pPr>
              <w:pStyle w:val="Compact"/>
              <w:jc w:val="right"/>
            </w:pPr>
            <w:r>
              <w:t xml:space="preserve">—</w:t>
            </w:r>
          </w:p>
        </w:tc>
        <w:tc>
          <w:tcPr/>
          <w:p>
            <w:pPr>
              <w:pStyle w:val="Compact"/>
              <w:jc w:val="right"/>
            </w:pPr>
            <w:r>
              <w:t xml:space="preserve">62.3</w:t>
            </w:r>
          </w:p>
        </w:tc>
      </w:tr>
    </w:tbl>
    <w:p>
      <w:pPr>
        <w:pStyle w:val="BodyText"/>
      </w:pPr>
      <w:r>
        <w:rPr>
          <w:b/>
          <w:bCs/>
        </w:rPr>
        <w:t xml:space="preserve">Table 4.</w:t>
      </w:r>
      <w:r>
        <w:t xml:space="preserve"> </w:t>
      </w:r>
      <w:r>
        <w:t xml:space="preserve">Pretrained annotators, scored by ontology concordance only, on the three datasets</w:t>
      </w:r>
      <w:r>
        <w:t xml:space="preserve"> </w:t>
      </w:r>
      <w:r>
        <w:t xml:space="preserve">where reference and query both carry Cell Ontology ids and share a vocabulary — with reference-trained actinn-jax on</w:t>
      </w:r>
      <w:r>
        <w:t xml:space="preserve"> </w:t>
      </w:r>
      <w:r>
        <w:t xml:space="preserve">the same splits for scale. Not a like-for-like comparison; see the text below.</w:t>
      </w:r>
    </w:p>
    <w:p>
      <w:pPr>
        <w:pStyle w:val="BodyText"/>
      </w:pPr>
      <w:r>
        <w:rPr>
          <w:b/>
          <w:bCs/>
        </w:rPr>
        <w:t xml:space="preserve">This is not a like-for-like comparison and should not be read as one.</w:t>
      </w:r>
      <w:r>
        <w:t xml:space="preserve"> </w:t>
      </w:r>
      <w:r>
        <w:t xml:space="preserve">actinn-jax is trained</w:t>
      </w:r>
      <w:r>
        <w:t xml:space="preserve"> </w:t>
      </w:r>
      <w:r>
        <w:t xml:space="preserve">on a reference drawn from the same data and scored in its own vocabulary; Pan-human Azimuth has</w:t>
      </w:r>
      <w:r>
        <w:t xml:space="preserve"> </w:t>
      </w:r>
      <w:r>
        <w:t xml:space="preserve">never seen these datasets and answers in a different one. A reference-trained model</w:t>
      </w:r>
      <w:r>
        <w:t xml:space="preserve"> </w:t>
      </w:r>
      <w:r>
        <w:rPr>
          <w:i/>
          <w:iCs/>
        </w:rPr>
        <w:t xml:space="preserve">should</w:t>
      </w:r>
      <w:r>
        <w:t xml:space="preserve"> </w:t>
      </w:r>
      <w:r>
        <w:t xml:space="preserve">win. What the block does establish is the distance between a curated supervised annotator and a</w:t>
      </w:r>
      <w:r>
        <w:t xml:space="preserve"> </w:t>
      </w:r>
      <w:r>
        <w:t xml:space="preserve">zero-shot foundation head — 0.700 against 0.201 on lung — and it sets up §3.4, where Azimuth</w:t>
      </w:r>
      <w:r>
        <w:t xml:space="preserve"> </w:t>
      </w:r>
      <w:r>
        <w:t xml:space="preserve">serves as a broad pass in its own right and as a distillation teacher. Peak memory is</w:t>
      </w:r>
      <w:r>
        <w:t xml:space="preserve"> </w:t>
      </w:r>
      <w:r>
        <w:t xml:space="preserve">indistinguishable between actinn-jax and Azimuth (1.65–2.1 GB on every dataset).</w:t>
      </w:r>
    </w:p>
    <w:p>
      <w:pPr>
        <w:pStyle w:val="BodyText"/>
      </w:pPr>
      <w:r>
        <w:t xml:space="preserve">Those four are the tuned</w:t>
      </w:r>
      <w:r>
        <w:t xml:space="preserve"> </w:t>
      </w:r>
      <w:r>
        <w:rPr>
          <w:b/>
          <w:bCs/>
        </w:rPr>
        <w:t xml:space="preserve">linear pipeline (0.839)</w:t>
      </w:r>
      <w:r>
        <w:t xml:space="preserve">, scANVI (0.833), scArches (0.832) and</w:t>
      </w:r>
      <w:r>
        <w:t xml:space="preserve"> </w:t>
      </w:r>
      <w:r>
        <w:t xml:space="preserve">actinn-jax (0.831) — led by the linear pipeline rather than by a deep model. CellTypist</w:t>
      </w:r>
      <w:r>
        <w:t xml:space="preserve"> </w:t>
      </w:r>
      <w:r>
        <w:t xml:space="preserve">(0.823) sits just outside them. actinn-jax has the best</w:t>
      </w:r>
      <w:r>
        <w:t xml:space="preserve"> </w:t>
      </w:r>
      <w:r>
        <w:t xml:space="preserve">ontology-aware concordance (0.811), marginally ahead of scANVI’s 0.809 — a gap well inside</w:t>
      </w:r>
      <w:r>
        <w:t xml:space="preserve"> </w:t>
      </w:r>
      <w:r>
        <w:t xml:space="preserve">repeat noise, so read it as a tie rather than a lead.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(§3.3),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0.752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w:t>
            </w:r>
          </w:p>
        </w:tc>
      </w:tr>
      <w:tr>
        <w:tc>
          <w:tcPr/>
          <w:p>
            <w:pPr>
              <w:pStyle w:val="Compact"/>
            </w:pPr>
            <w:r>
              <w:t xml:space="preserve">liver_cross (cross-study)</w:t>
            </w:r>
          </w:p>
        </w:tc>
        <w:tc>
          <w:tcPr/>
          <w:p>
            <w:pPr>
              <w:pStyle w:val="Compact"/>
            </w:pPr>
            <w:r>
              <w:rPr>
                <w:b/>
                <w:bCs/>
              </w:rPr>
              <w:t xml:space="preserve">0.686 exact / 0.731 ontology</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0.931</w:t>
            </w:r>
          </w:p>
        </w:tc>
      </w:tr>
    </w:tbl>
    <w:p>
      <w:pPr>
        <w:pStyle w:val="BodyText"/>
      </w:pPr>
      <w:r>
        <w:rPr>
          <w:b/>
          <w:bCs/>
        </w:rPr>
        <w:t xml:space="preserve">Table 5.</w:t>
      </w:r>
      <w:r>
        <w:t xml:space="preserve"> </w:t>
      </w:r>
      <w:r>
        <w:t xml:space="preserve">Per-dataset accuracy: actinn-jax against whichever method leads that dataset.</w:t>
      </w:r>
      <w:r>
        <w:t xml:space="preserve"> </w:t>
      </w:r>
      <w:r>
        <w:t xml:space="preserve">† on lung_cross the exact-match score is a vocabulary artifact, so ontology concordance is the</w:t>
      </w:r>
      <w:r>
        <w:t xml:space="preserve"> </w:t>
      </w:r>
      <w:r>
        <w:t xml:space="preserve">meaningful column.</w:t>
      </w:r>
    </w:p>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the weakest on accuracy and macro-F1 throughout (0.23 macro-F1 on</w:t>
      </w:r>
      <w:r>
        <w:t xml:space="preserve"> </w:t>
      </w:r>
      <w:r>
        <w:t xml:space="preserve">liver_cross), though not on ontology concordance.</w:t>
      </w:r>
    </w:p>
    <w:p>
      <w:pPr>
        <w:pStyle w:val="BodyText"/>
      </w:pPr>
      <w:r>
        <w:rPr>
          <w:b/>
          <w:bCs/>
        </w:rPr>
        <w:t xml:space="preserve">† lung_cross exact-match accuracy (~0.35 for every method) is a label-vocabulary artifact, not</w:t>
      </w:r>
      <w:r>
        <w:rPr>
          <w:b/>
          <w:bCs/>
        </w:rPr>
        <w:t xml:space="preserve"> </w:t>
      </w:r>
      <w:r>
        <w:rPr>
          <w:b/>
          <w:bCs/>
        </w:rPr>
        <w:t xml:space="preserve">a transfer failure.</w:t>
      </w:r>
      <w:r>
        <w:t xml:space="preserve"> </w:t>
      </w:r>
      <w:r>
        <w:t xml:space="preserve">HLCA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HLCA’s</w:t>
      </w:r>
      <w:r>
        <w:t xml:space="preserve"> </w:t>
      </w:r>
      <w:r>
        <w:t xml:space="preserve">vocabulary, so no classifier can emit the exact string. The mismatch is granularity: HLCA’s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HLCA-trained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HLCA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exact-match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47"/>
    <w:bookmarkStart w:id="51" w:name="the-accuracy-speed-frontier"/>
    <w:p>
      <w:pPr>
        <w:pStyle w:val="Heading2"/>
      </w:pPr>
      <w:r>
        <w:t xml:space="preserve">The accuracy × speed frontier</w:t>
      </w:r>
    </w:p>
    <w:p>
      <w:pPr>
        <w:pStyle w:val="FirstParagraph"/>
      </w:pPr>
      <w:r>
        <w:drawing>
          <wp:inline>
            <wp:extent cx="5334000" cy="3671222"/>
            <wp:effectExtent b="0" l="0" r="0" t="0"/>
            <wp:docPr descr="Pareto" title="" id="49" name="Picture"/>
            <a:graphic>
              <a:graphicData uri="http://schemas.openxmlformats.org/drawingml/2006/picture">
                <pic:pic>
                  <pic:nvPicPr>
                    <pic:cNvPr descr="/Users/iandriver/Downloads/actinn-jax-benchmark/docs/figures/fig_pareto_liver_intra.png" id="50" name="Picture"/>
                    <pic:cNvPicPr>
                      <a:picLocks noChangeArrowheads="1" noChangeAspect="1"/>
                    </pic:cNvPicPr>
                  </pic:nvPicPr>
                  <pic:blipFill>
                    <a:blip r:embed="rId48"/>
                    <a:stretch>
                      <a:fillRect/>
                    </a:stretch>
                  </pic:blipFill>
                  <pic:spPr bwMode="auto">
                    <a:xfrm>
                      <a:off x="0" y="0"/>
                      <a:ext cx="5334000" cy="367122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Accuracy against total wall time on liver_intra. The tuned linear pipeline holds</w:t>
      </w:r>
      <w:r>
        <w:t xml:space="preserve"> </w:t>
      </w:r>
      <w:r>
        <w:t xml:space="preserve">the fast-frontier point; actinn-jax sits just inside it at this reference size, and what</w:t>
      </w:r>
      <w:r>
        <w:t xml:space="preserve"> </w:t>
      </w:r>
      <w:r>
        <w:t xml:space="preserve">separates it is visible only on the scaling axes of Figures 2 and 3.</w:t>
      </w:r>
    </w:p>
    <w:p>
      <w:pPr>
        <w:pStyle w:val="BodyText"/>
      </w:pPr>
      <w:r>
        <w:t xml:space="preserve">The</w:t>
      </w:r>
      <w:r>
        <w:t xml:space="preserve"> </w:t>
      </w:r>
      <w:r>
        <w:rPr>
          <w:b/>
          <w:bCs/>
        </w:rPr>
        <w:t xml:space="preserve">tuned linear pipeline</w:t>
      </w:r>
      <w:r>
        <w:t xml:space="preserve"> </w:t>
      </w:r>
      <w:r>
        <w:t xml:space="preserve">holds the fast-frontier point: the highest accuracy in Table 3</w:t>
      </w:r>
      <w:r>
        <w:t xml:space="preserve"> </w:t>
      </w:r>
      <w:r>
        <w:t xml:space="preserve">(0.839) at the lowest fit time of any method in the leading cluster (3.0 s), placing it above</w:t>
      </w:r>
      <w:r>
        <w:t xml:space="preserve"> </w:t>
      </w:r>
      <w:r>
        <w:t xml:space="preserve">and to the left of actinn-jax, SVM, kNN and CellTypist. The deep methods buy little or nothing on accuracy here — at or below the</w:t>
      </w:r>
      <w:r>
        <w:t xml:space="preserve"> </w:t>
      </w:r>
      <w:r>
        <w:t xml:space="preserve">linear pipeline on every dataset except lung — for 36–373× the predict time. actinn-jax</w:t>
      </w:r>
      <w:r>
        <w:t xml:space="preserve"> </w:t>
      </w:r>
      <w:r>
        <w:t xml:space="preserve">sits just inside the frontier at this reference size; what separates it is not visible on a</w:t>
      </w:r>
      <w:r>
        <w:t xml:space="preserve"> </w:t>
      </w:r>
      <w:r>
        <w:t xml:space="preserve">fixed-size plot but on the scaling axes of §3.3: predict time that stays flat as the</w:t>
      </w:r>
      <w:r>
        <w:t xml:space="preserve"> </w:t>
      </w:r>
      <w:r>
        <w:t xml:space="preserve">reference grows, and ~2× lower peak memory that holds to atlas scale. The figure is drawn</w:t>
      </w:r>
      <w:r>
        <w:t xml:space="preserve"> </w:t>
      </w:r>
      <w:r>
        <w:t xml:space="preserve">from the liver_intra panel alone, and is consistent with the panel-wide ranking of Tables 3</w:t>
      </w:r>
      <w:r>
        <w:t xml:space="preserve"> </w:t>
      </w:r>
      <w:r>
        <w:t xml:space="preserve">and 5.</w:t>
      </w:r>
    </w:p>
    <w:bookmarkEnd w:id="51"/>
    <w:bookmarkStart w:id="58" w:name="scaling"/>
    <w:p>
      <w:pPr>
        <w:pStyle w:val="Heading2"/>
      </w:pPr>
      <w:r>
        <w:t xml:space="preserve">Scaling</w:t>
      </w:r>
    </w:p>
    <w:p>
      <w:pPr>
        <w:pStyle w:val="FirstParagraph"/>
      </w:pPr>
      <w:r>
        <w:drawing>
          <wp:inline>
            <wp:extent cx="5334000" cy="1970216"/>
            <wp:effectExtent b="0" l="0" r="0" t="0"/>
            <wp:docPr descr="scaling" title="" id="53" name="Picture"/>
            <a:graphic>
              <a:graphicData uri="http://schemas.openxmlformats.org/drawingml/2006/picture">
                <pic:pic>
                  <pic:nvPicPr>
                    <pic:cNvPr descr="/Users/iandriver/Downloads/actinn-jax-benchmark/docs/figures/fig_scaling.png" id="54" name="Picture"/>
                    <pic:cNvPicPr>
                      <a:picLocks noChangeArrowheads="1" noChangeAspect="1"/>
                    </pic:cNvPicPr>
                  </pic:nvPicPr>
                  <pic:blipFill>
                    <a:blip r:embed="rId52"/>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Fit and predict time against reference size and label cardinality. Fit time grows</w:t>
      </w:r>
      <w:r>
        <w:t xml:space="preserve"> </w:t>
      </w:r>
      <w:r>
        <w:t xml:space="preserve">for every trained method; predict time stays flat and sub-second across the whole range.</w:t>
      </w:r>
    </w:p>
    <w:p>
      <w:pPr>
        <w:pStyle w:val="BodyText"/>
      </w:pPr>
      <w:r>
        <w:t xml:space="preserve">Fit time grows with reference size and with #cell types for all trained methods —</w:t>
      </w:r>
      <w:r>
        <w:t xml:space="preserve"> </w:t>
      </w:r>
      <w:r>
        <w:t xml:space="preserve">actinn-jax’s fit goes 2.6 s → 17.4 s → 23.5 s as the reference grows 965 → 14.8k → 24k</w:t>
      </w:r>
      <w:r>
        <w:t xml:space="preserve"> </w:t>
      </w:r>
      <w:r>
        <w:t xml:space="preserve">cells, below CellTypist (6 s → 71 s → 116 s) and SVM (4 s → 51 s → 80 s) at every size in</w:t>
      </w:r>
      <w:r>
        <w:t xml:space="preserve"> </w:t>
      </w:r>
      <w:r>
        <w:t xml:space="preserve">the sweep; kNN does no work at fit time beyond storing the reference, so all of its cost lands on</w:t>
      </w:r>
      <w:r>
        <w:t xml:space="preserve"> </w:t>
      </w:r>
      <w:r>
        <w:t xml:space="preserve">predict, where it is also the least accurate method here.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0.08–0.33 s whether the reference has 1k or 24k cells,</w:t>
      </w:r>
      <w:r>
        <w:rPr>
          <w:b/>
          <w:bCs/>
        </w:rPr>
        <w:t xml:space="preserve"> </w:t>
      </w:r>
      <w:r>
        <w:rPr>
          <w:b/>
          <w:bCs/>
        </w:rPr>
        <w:t xml:space="preserve">or 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(This sweep’s own</w:t>
      </w:r>
      <w:r>
        <w:t xml:space="preserve"> </w:t>
      </w:r>
      <w:r>
        <w:t xml:space="preserve">memory column is process-cumulative and not a clean per-size measurement; the atlas sweep</w:t>
      </w:r>
      <w:r>
        <w:t xml:space="preserve"> </w:t>
      </w:r>
      <w:r>
        <w:t xml:space="preserve">below and the matrix of §3.1 both run each method in its own process, and are what the</w:t>
      </w:r>
      <w:r>
        <w:t xml:space="preserve"> </w:t>
      </w:r>
      <w:r>
        <w:t xml:space="preserve">memory numbers come from.)</w:t>
      </w:r>
    </w:p>
    <w:p>
      <w:pPr>
        <w:pStyle w:val="BodyText"/>
      </w:pPr>
      <w:r>
        <w:rPr>
          <w:b/>
          <w:bCs/>
        </w:rPr>
        <w:t xml:space="preserve">At atlas scale the ordering changes.</w:t>
      </w:r>
      <w:r>
        <w:t xml:space="preserve"> </w:t>
      </w:r>
      <w:r>
        <w:t xml:space="preserve">The sweep above stops at 24k cells. Carrying four</w:t>
      </w:r>
      <w:r>
        <w:t xml:space="preserve"> </w:t>
      </w:r>
      <w:r>
        <w:t xml:space="preserve">methods to full atlas size — 49k reference cells on lung, 47k on the HLiCA liver atlas —</w:t>
      </w:r>
      <w:r>
        <w:t xml:space="preserve"> </w:t>
      </w:r>
      <w:r>
        <w:t xml:space="preserve">reverses the accuracy ranking (Figure 3A, B). ProtoCloud goes from the weakest method at 3k</w:t>
      </w:r>
      <w:r>
        <w:t xml:space="preserve"> </w:t>
      </w:r>
      <w:r>
        <w:t xml:space="preserve">cells (0.722 lung, 0.581 liver) to the strongest at full scale (</w:t>
      </w:r>
      <w:r>
        <w:rPr>
          <w:b/>
          <w:bCs/>
        </w:rPr>
        <w:t xml:space="preserve">0.976</w:t>
      </w:r>
      <w:r>
        <w:t xml:space="preserve"> </w:t>
      </w:r>
      <w:r>
        <w:t xml:space="preserve">and</w:t>
      </w:r>
      <w:r>
        <w:t xml:space="preserve"> </w:t>
      </w:r>
      <w:r>
        <w:rPr>
          <w:b/>
          <w:bCs/>
        </w:rPr>
        <w:t xml:space="preserve">0.905</w:t>
      </w:r>
      <w:r>
        <w:t xml:space="preserve">),</w:t>
      </w:r>
      <w:r>
        <w:t xml:space="preserve"> </w:t>
      </w:r>
      <w:r>
        <w:t xml:space="preserve">clear of the linear pipeline (0.939, 0.863) and actinn-jax (0.936, 0.824), at 19× actinn-jax’s</w:t>
      </w:r>
      <w:r>
        <w:t xml:space="preserve"> </w:t>
      </w:r>
      <w:r>
        <w:t xml:space="preserve">CPU fit cost. scTOP gains little from scale on lung (0.819 → 0.846, barely outside its</w:t>
      </w:r>
      <w:r>
        <w:t xml:space="preserve"> </w:t>
      </w:r>
      <w:r>
        <w:t xml:space="preserve">interval) and loses ground on liver (0.657 → 0.583). Peak memory grows for every method, but the spread stays</w:t>
      </w:r>
      <w:r>
        <w:t xml:space="preserve"> </w:t>
      </w:r>
      <w:r>
        <w:rPr>
          <w:b/>
          <w:bCs/>
        </w:rPr>
        <w:t xml:space="preserve">bounded at ~2×</w:t>
      </w:r>
      <w:r>
        <w:t xml:space="preserve"> </w:t>
      </w:r>
      <w:r>
        <w:t xml:space="preserve">rather than widening (Figure 3C): the linear pipeline is heaviest throughout — 13.2 GB against</w:t>
      </w:r>
      <w:r>
        <w:t xml:space="preserve"> </w:t>
      </w:r>
      <w:r>
        <w:t xml:space="preserve">actinn-jax’s 6.1 GB at 49k lung cells, a 2.15× ratio — and scTOP crosses over from lightest to</w:t>
      </w:r>
      <w:r>
        <w:t xml:space="preserve"> </w:t>
      </w:r>
      <w:r>
        <w:t xml:space="preserve">heaviest as its rank processing densifies (9.3 vs 6.5 GB at 47k liver cells). Conclusions drawn</w:t>
      </w:r>
      <w:r>
        <w:t xml:space="preserve"> </w:t>
      </w:r>
      <w:r>
        <w:t xml:space="preserve">from subsampled references do not transfer to atlas scale, in either direction.</w:t>
      </w:r>
    </w:p>
    <w:p>
      <w:pPr>
        <w:pStyle w:val="BodyText"/>
      </w:pPr>
      <w:r>
        <w:drawing>
          <wp:inline>
            <wp:extent cx="5334000" cy="1702553"/>
            <wp:effectExtent b="0" l="0" r="0" t="0"/>
            <wp:docPr descr="accuracy and memory against reference size on two atlases" title="" id="56" name="Picture"/>
            <a:graphic>
              <a:graphicData uri="http://schemas.openxmlformats.org/drawingml/2006/picture">
                <pic:pic>
                  <pic:nvPicPr>
                    <pic:cNvPr descr="/Users/iandriver/Downloads/actinn-jax-benchmark/docs/figures/fig_atlas_scaling.png" id="57" name="Picture"/>
                    <pic:cNvPicPr>
                      <a:picLocks noChangeArrowheads="1" noChangeAspect="1"/>
                    </pic:cNvPicPr>
                  </pic:nvPicPr>
                  <pic:blipFill>
                    <a:blip r:embed="rId55"/>
                    <a:stretch>
                      <a:fillRect/>
                    </a:stretch>
                  </pic:blipFill>
                  <pic:spPr bwMode="auto">
                    <a:xfrm>
                      <a:off x="0" y="0"/>
                      <a:ext cx="5334000" cy="1702553"/>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Accuracy and peak memory against reference size, four methods carried to full</w:t>
      </w:r>
      <w:r>
        <w:t xml:space="preserve"> </w:t>
      </w:r>
      <w:r>
        <w:t xml:space="preserve">atlas scale on two datasets.</w:t>
      </w:r>
      <w:r>
        <w:t xml:space="preserve"> </w:t>
      </w:r>
      <w:r>
        <w:rPr>
          <w:i/>
          <w:iCs/>
        </w:rPr>
        <w:t xml:space="preserve">A:</w:t>
      </w:r>
      <w:r>
        <w:t xml:space="preserve"> </w:t>
      </w:r>
      <w:r>
        <w:t xml:space="preserve">lung, 3k → 49k reference cells.</w:t>
      </w:r>
      <w:r>
        <w:t xml:space="preserve"> </w:t>
      </w:r>
      <w:r>
        <w:rPr>
          <w:i/>
          <w:iCs/>
        </w:rPr>
        <w:t xml:space="preserve">B:</w:t>
      </w:r>
      <w:r>
        <w:t xml:space="preserve"> </w:t>
      </w:r>
      <w:r>
        <w:t xml:space="preserve">the HLiCA liver atlas,</w:t>
      </w:r>
      <w:r>
        <w:t xml:space="preserve"> </w:t>
      </w:r>
      <w:r>
        <w:t xml:space="preserve">2.7k → 47k, an independent replication of the same reversal.</w:t>
      </w:r>
      <w:r>
        <w:t xml:space="preserve"> </w:t>
      </w:r>
      <w:r>
        <w:rPr>
          <w:i/>
          <w:iCs/>
        </w:rPr>
        <w:t xml:space="preserve">C:</w:t>
      </w:r>
      <w:r>
        <w:t xml:space="preserve"> </w:t>
      </w:r>
      <w:r>
        <w:t xml:space="preserve">peak memory over both</w:t>
      </w:r>
      <w:r>
        <w:t xml:space="preserve"> </w:t>
      </w:r>
      <w:r>
        <w:t xml:space="preserve">sweeps. Error bars on</w:t>
      </w:r>
      <w:r>
        <w:t xml:space="preserve"> </w:t>
      </w:r>
      <w:r>
        <w:rPr>
          <w:i/>
          <w:iCs/>
        </w:rPr>
        <w:t xml:space="preserve">A</w:t>
      </w:r>
      <w:r>
        <w:t xml:space="preserve"> </w:t>
      </w:r>
      <w:r>
        <w:t xml:space="preserve">and</w:t>
      </w:r>
      <w:r>
        <w:t xml:space="preserve"> </w:t>
      </w:r>
      <w:r>
        <w:rPr>
          <w:i/>
          <w:iCs/>
        </w:rPr>
        <w:t xml:space="preserve">B</w:t>
      </w:r>
      <w:r>
        <w:t xml:space="preserve"> </w:t>
      </w:r>
      <w:r>
        <w:t xml:space="preserve">are 95% binomial intervals on the query, which grows with</w:t>
      </w:r>
      <w:r>
        <w:t xml:space="preserve"> </w:t>
      </w:r>
      <w:r>
        <w:t xml:space="preserve">the reference (1,035 to 16,398 cells on lung), so they narrow from left to right; each point</w:t>
      </w:r>
      <w:r>
        <w:t xml:space="preserve"> </w:t>
      </w:r>
      <w:r>
        <w:t xml:space="preserve">is a single run, so they cover sampling of the query and not run-to-run variation. Peak memory</w:t>
      </w:r>
      <w:r>
        <w:t xml:space="preserve"> </w:t>
      </w:r>
      <w:r>
        <w:t xml:space="preserve">is not a proportion and carries none. Fit time is not plotted: the 47k liver point was measured</w:t>
      </w:r>
      <w:r>
        <w:t xml:space="preserve"> </w:t>
      </w:r>
      <w:r>
        <w:t xml:space="preserve">under CPU contention, so a cost axis there would report scheduling rather than scaling.</w:t>
      </w:r>
    </w:p>
    <w:bookmarkEnd w:id="58"/>
    <w:bookmarkStart w:id="65" w:name="the-broadfocused-annotation-workflow"/>
    <w:p>
      <w:pPr>
        <w:pStyle w:val="Heading2"/>
      </w:pPr>
      <w:r>
        <w:t xml:space="preserve">The broad→focused annotation workflow</w:t>
      </w:r>
    </w:p>
    <w:p>
      <w:pPr>
        <w:pStyle w:val="FirstParagraph"/>
      </w:pPr>
      <w:r>
        <w:t xml:space="preserve">What actinn-jax is built around is not a single classifier but a</w:t>
      </w:r>
      <w:r>
        <w:t xml:space="preserve"> </w:t>
      </w:r>
      <w:r>
        <w:rPr>
          <w:b/>
          <w:bCs/>
        </w:rPr>
        <w:t xml:space="preserve">two-pass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(§3.1, §3.3), the whole workflow runs on a laptop.</w:t>
      </w:r>
    </w:p>
    <w:p>
      <w:pPr>
        <w:pStyle w:val="BodyText"/>
      </w:pPr>
      <w:r>
        <w:drawing>
          <wp:inline>
            <wp:extent cx="5334000" cy="1965681"/>
            <wp:effectExtent b="0" l="0" r="0" t="0"/>
            <wp:docPr descr="the broad pass and the focused pass on one query" title="" id="60" name="Picture"/>
            <a:graphic>
              <a:graphicData uri="http://schemas.openxmlformats.org/drawingml/2006/picture">
                <pic:pic>
                  <pic:nvPicPr>
                    <pic:cNvPr descr="/Users/iandriver/Downloads/actinn-jax-benchmark/docs/figures/fig_workflow_umap_ondata.png" id="61" name="Picture"/>
                    <pic:cNvPicPr>
                      <a:picLocks noChangeArrowheads="1" noChangeAspect="1"/>
                    </pic:cNvPicPr>
                  </pic:nvPicPr>
                  <pic:blipFill>
                    <a:blip r:embed="rId59"/>
                    <a:stretch>
                      <a:fillRect/>
                    </a:stretch>
                  </pic:blipFill>
                  <pic:spPr bwMode="auto">
                    <a:xfrm>
                      <a:off x="0" y="0"/>
                      <a:ext cx="5334000" cy="1965681"/>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The workflow on a withheld HLiCA liver study (3,396 cells), same embedding</w:t>
      </w:r>
      <w:r>
        <w:t xml:space="preserve"> </w:t>
      </w:r>
      <w:r>
        <w:t xml:space="preserve">throughout.</w:t>
      </w:r>
      <w:r>
        <w:t xml:space="preserve"> </w:t>
      </w:r>
      <w:r>
        <w:rPr>
          <w:i/>
          <w:iCs/>
        </w:rPr>
        <w:t xml:space="preserve">Left:</w:t>
      </w:r>
      <w:r>
        <w:t xml:space="preserve"> </w:t>
      </w:r>
      <w:r>
        <w:t xml:space="preserve">the shipped census reference spreads 137 of its 798 labels over the query</w:t>
      </w:r>
      <w:r>
        <w:t xml:space="preserve"> </w:t>
      </w:r>
      <w:r>
        <w:t xml:space="preserve">(concordance</w:t>
      </w:r>
      <w:r>
        <w:t xml:space="preserve"> </w:t>
      </w:r>
      <w:r>
        <w:rPr>
          <w:b/>
          <w:bCs/>
        </w:rPr>
        <w:t xml:space="preserve">0.34</w:t>
      </w:r>
      <w:r>
        <w:t xml:space="preserve">) — it is not trying to name subtypes.</w:t>
      </w:r>
      <w:r>
        <w:t xml:space="preserve"> </w:t>
      </w:r>
      <w:r>
        <w:rPr>
          <w:i/>
          <w:iCs/>
        </w:rPr>
        <w:t xml:space="preserve">Center:</w:t>
      </w:r>
      <w:r>
        <w:t xml:space="preserve"> </w:t>
      </w:r>
      <w:r>
        <w:t xml:space="preserve">those calls resolved to</w:t>
      </w:r>
      <w:r>
        <w:t xml:space="preserve"> </w:t>
      </w:r>
      <w:r>
        <w:t xml:space="preserve">tissue through the reference’s per-class tissue map;</w:t>
      </w:r>
      <w:r>
        <w:t xml:space="preserve"> </w:t>
      </w:r>
      <w:r>
        <w:rPr>
          <w:b/>
          <w:bCs/>
        </w:rPr>
        <w:t xml:space="preserve">76%</w:t>
      </w:r>
      <w:r>
        <w:t xml:space="preserve"> </w:t>
      </w:r>
      <w:r>
        <w:t xml:space="preserve">of tissue-specific calls say</w:t>
      </w:r>
      <w:r>
        <w:t xml:space="preserve"> </w:t>
      </w:r>
      <w:r>
        <w:t xml:space="preserve">liver against 4% for the next candidate, which is the decision that selects the next</w:t>
      </w:r>
      <w:r>
        <w:t xml:space="preserve"> </w:t>
      </w:r>
      <w:r>
        <w:t xml:space="preserve">reference.</w:t>
      </w:r>
      <w:r>
        <w:t xml:space="preserve"> </w:t>
      </w:r>
      <w:r>
        <w:rPr>
          <w:i/>
          <w:iCs/>
        </w:rPr>
        <w:t xml:space="preserve">Right of center:</w:t>
      </w:r>
      <w:r>
        <w:t xml:space="preserve"> </w:t>
      </w:r>
      <w:r>
        <w:t xml:space="preserve">the 36-type liver reference re-annotates the same cells at</w:t>
      </w:r>
      <w:r>
        <w:t xml:space="preserve"> </w:t>
      </w:r>
      <w:r>
        <w:rPr>
          <w:b/>
          <w:bCs/>
        </w:rPr>
        <w:t xml:space="preserve">0.73</w:t>
      </w:r>
      <w:r>
        <w:t xml:space="preserve">, now tracking the clusters.</w:t>
      </w:r>
      <w:r>
        <w:t xml:space="preserve"> </w:t>
      </w:r>
      <w:r>
        <w:rPr>
          <w:i/>
          <w:iCs/>
        </w:rPr>
        <w:t xml:space="preserve">Right:</w:t>
      </w:r>
      <w:r>
        <w:t xml:space="preserve"> </w:t>
      </w:r>
      <w:r>
        <w:t xml:space="preserve">the study’s own labels on the shared palette.</w:t>
      </w:r>
      <w:r>
        <w:t xml:space="preserve"> </w:t>
      </w:r>
      <w:r>
        <w:t xml:space="preserve">Both models are leakage-free for this query: the focused reference is trained only on the six</w:t>
      </w:r>
      <w:r>
        <w:t xml:space="preserve"> </w:t>
      </w:r>
      <w:r>
        <w:t xml:space="preserve">non-withheld studies. Abstention is off in all panels, so the numbers measure labeling</w:t>
      </w:r>
      <w:r>
        <w:t xml:space="preserve"> </w:t>
      </w:r>
      <w:r>
        <w:t xml:space="preserve">rather than coverage; §3.5 covers abstain separately.</w:t>
      </w:r>
    </w:p>
    <w:p>
      <w:pPr>
        <w:pStyle w:val="BodyText"/>
      </w:pPr>
      <w:r>
        <w:rPr>
          <w:b/>
          <w:bCs/>
        </w:rPr>
        <w:t xml:space="preserve">The broad pass —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(§3.5). This is the orientation</w:t>
      </w:r>
      <w:r>
        <w:t xml:space="preserve"> </w:t>
      </w:r>
      <w:r>
        <w:t xml:space="preserve">pass — broad coverage, deliberately not fine-grained.</w:t>
      </w:r>
    </w:p>
    <w:p>
      <w:pPr>
        <w:pStyle w:val="BodyText"/>
      </w:pPr>
      <w:r>
        <w:rPr>
          <w:b/>
          <w:bCs/>
        </w:rPr>
        <w:t xml:space="preserve">The broad pass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labeling a corpus with it and training actinn-jax on those labels</w:t>
      </w:r>
      <w:r>
        <w:t xml:space="preserve"> </w:t>
      </w:r>
      <w:r>
        <w:t xml:space="preserve">transfers both the vocabulary and the structure. That build needs</w:t>
      </w:r>
      <w:r>
        <w:t xml:space="preserve"> </w:t>
      </w:r>
      <w:r>
        <w:rPr>
          <w:b/>
          <w:bCs/>
        </w:rPr>
        <w:t xml:space="preserve">no GPU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6.</w:t>
      </w:r>
      <w:r>
        <w:t xml:space="preserve"> </w:t>
      </w:r>
      <w:r>
        <w:t xml:space="preserve">Three broad-pass entry points on 3,396 withheld cross-study liver cells: the</w:t>
      </w:r>
      <w:r>
        <w:t xml:space="preserve"> </w:t>
      </w:r>
      <w:r>
        <w:t xml:space="preserve">census-built reference, the Pan-human Azimuth teacher, and the model distilled from that</w:t>
      </w:r>
      <w:r>
        <w:t xml:space="preserve"> </w:t>
      </w:r>
      <w:r>
        <w:t xml:space="preserve">teacher.</w:t>
      </w:r>
    </w:p>
    <w:p>
      <w:pPr>
        <w:pStyle w:val="BodyText"/>
      </w:pPr>
      <w:r>
        <w:t xml:space="preserve">This makes the entry point both more accurate and ~3× faster than building it from the</w:t>
      </w:r>
      <w:r>
        <w:t xml:space="preserve"> </w:t>
      </w:r>
      <w:r>
        <w:t xml:space="preserve">census 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Distillation itself therefore costs very little: on data neither model was</w:t>
      </w:r>
      <w:r>
        <w:t xml:space="preserve"> </w:t>
      </w:r>
      <w:r>
        <w:t xml:space="preserve">built for, the student stays within a few points of its teacher. What holds the student back</w:t>
      </w:r>
      <w:r>
        <w:t xml:space="preserve"> </w:t>
      </w:r>
      <w:r>
        <w:t xml:space="preserve">is which tissues and studies its training corpus happened to contain — widening the corpus</w:t>
      </w:r>
      <w:r>
        <w:t xml:space="preserve"> </w:t>
      </w:r>
      <w:r>
        <w:t xml:space="preserve">should move these numbers, changing the distillation procedure should not. Two caveats keep this</w:t>
      </w:r>
      <w:r>
        <w:t xml:space="preserve"> </w:t>
      </w:r>
      <w:r>
        <w:t xml:space="preserve">modest. The 0.406/0.380 ordering is one query, and both actinn-jax models draw on a census</w:t>
      </w:r>
      <w:r>
        <w:t xml:space="preserve"> </w:t>
      </w:r>
      <w:r>
        <w:t xml:space="preserve">sample that may include these studies while Pan-human Azimuth does not, so read the distilled</w:t>
      </w:r>
      <w:r>
        <w:t xml:space="preserve"> </w:t>
      </w:r>
      <w:r>
        <w:t xml:space="preserve">model as</w:t>
      </w:r>
      <w:r>
        <w:t xml:space="preserve"> </w:t>
      </w:r>
      <w:r>
        <w:rPr>
          <w:i/>
          <w:iCs/>
        </w:rPr>
        <w:t xml:space="preserve">comparable to</w:t>
      </w:r>
      <w:r>
        <w:t xml:space="preserve"> </w:t>
      </w:r>
      <w:r>
        <w:t xml:space="preserve">the one it distills rather 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(keeping the 90.5% of</w:t>
      </w:r>
      <w:r>
        <w:t xml:space="preserve"> </w:t>
      </w:r>
      <w:r>
        <w:t xml:space="preserve">cells it calls with probability at least 0.5 moves concordance only 0.406 → 0.427), so the calibrated broad-pass abstain</w:t>
      </w:r>
      <w:r>
        <w:t xml:space="preserve"> </w:t>
      </w:r>
      <w:r>
        <w:t xml:space="preserve">of §3.5 belongs to the census-built reference until this one is recalibrated.</w:t>
      </w:r>
    </w:p>
    <w:p>
      <w:pPr>
        <w:pStyle w:val="BodyText"/>
      </w:pPr>
      <w:r>
        <w:rPr>
          <w:b/>
          <w:bCs/>
        </w:rPr>
        <w:t xml:space="preserve">The focused pass — tissue-specific.</w:t>
      </w:r>
      <w:r>
        <w:t xml:space="preserve"> </w:t>
      </w:r>
      <w:r>
        <w:t xml:space="preserve">For the tissue the broad pass identifies, a small</w:t>
      </w:r>
      <w:r>
        <w:t xml:space="preserve"> </w:t>
      </w:r>
      <w:r>
        <w:t xml:space="preserve">focused reference re-annotates at full resolution. Holding out a whole HLiCA</w:t>
      </w:r>
      <w:r>
        <w:t xml:space="preserve"> </w:t>
      </w:r>
      <w:r>
        <w:t xml:space="preserve">study (56,545 cells, a different research center’s protocol), the broad census model scores</w:t>
      </w:r>
      <w:r>
        <w:t xml:space="preserve"> </w:t>
      </w:r>
      <w:r>
        <w:t xml:space="preserve">exact-match</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38-type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broad pass hands the query to the focused pass; the two do not combine.</w:t>
      </w:r>
      <w:r>
        <w:t xml:space="preserve"> </w:t>
      </w:r>
      <w:r>
        <w:t xml:space="preserve">The natural</w:t>
      </w:r>
      <w:r>
        <w:t xml:space="preserve"> </w:t>
      </w:r>
      <w:r>
        <w:t xml:space="preserve">assumption is that a better broad call should also make the focused call better. It does not.</w:t>
      </w:r>
      <w:r>
        <w:t xml:space="preserve"> </w:t>
      </w:r>
      <w:r>
        <w:t xml:space="preserve">On the leakage-free cross-study</w:t>
      </w:r>
      <w:r>
        <w:t xml:space="preserve"> </w:t>
      </w:r>
      <w:r>
        <w:t xml:space="preserve">liver split, substituting the stronger</w:t>
      </w:r>
      <w:r>
        <w:t xml:space="preserve"> </w:t>
      </w:r>
      <w:r>
        <w:rPr>
          <w:b/>
          <w:bCs/>
        </w:rPr>
        <w:t xml:space="preserve">Pan-human Azimuth</w:t>
      </w:r>
      <w:r>
        <w:t xml:space="preserve"> </w:t>
      </w:r>
      <w:r>
        <w:t xml:space="preserve">for the broad pass lifts it</w:t>
      </w:r>
      <w:r>
        <w:t xml:space="preserve"> </w:t>
      </w:r>
      <w:r>
        <w:t xml:space="preserve">(ontology 0.380 vs 0.338 for our own broad model) but changes nothing downstream. Using that</w:t>
      </w:r>
      <w:r>
        <w:t xml:space="preserve"> </w:t>
      </w:r>
      <w:r>
        <w:t xml:space="preserve">broad call to</w:t>
      </w:r>
      <w:r>
        <w:t xml:space="preserve"> </w:t>
      </w:r>
      <w:r>
        <w:rPr>
          <w:i/>
          <w:iCs/>
        </w:rPr>
        <w:t xml:space="preserve">narrow</w:t>
      </w:r>
      <w:r>
        <w:t xml:space="preserve"> </w:t>
      </w:r>
      <w:r>
        <w:t xml:space="preserve">the focused pass’s classes — the zero-retrain masking actinn-jax ships — makes</w:t>
      </w:r>
      <w:r>
        <w:t xml:space="preserve"> </w:t>
      </w:r>
      <w:r>
        <w:t xml:space="preserve">the result</w:t>
      </w:r>
      <w:r>
        <w:t xml:space="preserve"> </w:t>
      </w:r>
      <w:r>
        <w:rPr>
          <w:b/>
          <w:bCs/>
        </w:rPr>
        <w:t xml:space="preserve">worse</w:t>
      </w:r>
      <w:r>
        <w:t xml:space="preserve">, 0.731 → 0.708: the broad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broad call would add only</w:t>
      </w:r>
      <w:r>
        <w:t xml:space="preserve"> </w:t>
      </w:r>
      <w:r>
        <w:rPr>
          <w:b/>
          <w:bCs/>
        </w:rPr>
        <w:t xml:space="preserve">+2.8</w:t>
      </w:r>
      <w:r>
        <w:rPr>
          <w:b/>
          <w:bCs/>
        </w:rPr>
        <w:t xml:space="preserve"> </w:t>
      </w:r>
      <w:r>
        <w:rPr>
          <w:b/>
          <w:bCs/>
        </w:rPr>
        <w:t xml:space="preserve">points</w:t>
      </w:r>
      <w:r>
        <w:t xml:space="preserve"> </w:t>
      </w:r>
      <w:r>
        <w:t xml:space="preserve">(0.759). Once the focused pass covers the tissue, there is almost no accuracy left for a broad</w:t>
      </w:r>
      <w:r>
        <w:t xml:space="preserve"> </w:t>
      </w:r>
      <w:r>
        <w:t xml:space="preserve">model to contribute; its value is choosing which focused reference to load, and catching cells</w:t>
      </w:r>
      <w:r>
        <w:t xml:space="preserve"> </w:t>
      </w:r>
      <w:r>
        <w:t xml:space="preserve">that fall outside every focused reference’s scope.</w:t>
      </w:r>
    </w:p>
    <w:p>
      <w:pPr>
        <w:pStyle w:val="BodyText"/>
      </w:pPr>
      <w:r>
        <w:rPr>
          <w:b/>
          <w:bCs/>
        </w:rPr>
        <w:t xml:space="preserve">Can a broad reference be built for an organism with no pretrained annotator?</w:t>
      </w:r>
      <w:r>
        <w:t xml:space="preserve"> </w:t>
      </w:r>
      <w:r>
        <w:t xml:space="preserve">For mouse,</w:t>
      </w:r>
      <w:r>
        <w:t xml:space="preserve"> </w:t>
      </w:r>
      <w:r>
        <w:t xml:space="preserve">neither human route carries over intact, but for different reasons. Distillation needs a</w:t>
      </w:r>
      <w:r>
        <w:t xml:space="preserve"> </w:t>
      </w:r>
      <w:r>
        <w:t xml:space="preserve">teacher, and Pan-human Azimuth is human-only — there is no mouse model to distill. The census</w:t>
      </w:r>
      <w:r>
        <w:t xml:space="preserve"> </w:t>
      </w:r>
      <w:r>
        <w:t xml:space="preserve">route does apply to mouse, but its one expensive step does not travel cheaply: the coarse</w:t>
      </w:r>
      <w:r>
        <w:t xml:space="preserve"> </w:t>
      </w:r>
      <w:r>
        <w:t xml:space="preserve">groups are found by Ward-clustering scPRINT embeddings of per-type expression centroids, which</w:t>
      </w:r>
      <w:r>
        <w:t xml:space="preserve"> </w:t>
      </w:r>
      <w:r>
        <w:t xml:space="preserve">wants a GPU, and scPRINT’s mouse support is untested here.</w:t>
      </w:r>
    </w:p>
    <w:p>
      <w:pPr>
        <w:pStyle w:val="BodyText"/>
      </w:pPr>
      <w:r>
        <w:t xml:space="preserve">That clustering step is the only one that has to be replaced (Figure 5A). The census already</w:t>
      </w:r>
      <w:r>
        <w:t xml:space="preserve"> </w:t>
      </w:r>
      <w:r>
        <w:t xml:space="preserve">labels every cell with a Cell Ontology term, and CL encodes the relation the embedding</w:t>
      </w:r>
      <w:r>
        <w:t xml:space="preserve"> </w:t>
      </w:r>
      <w:r>
        <w:t xml:space="preserve">clustering is recovering — which cell types are kinds of the same thing. Describing each type</w:t>
      </w:r>
      <w:r>
        <w:t xml:space="preserve"> </w:t>
      </w:r>
      <w:r>
        <w:t xml:space="preserve">by the CL terms it descends from and clustering</w:t>
      </w:r>
      <w:r>
        <w:t xml:space="preserve"> </w:t>
      </w:r>
      <w:r>
        <w:rPr>
          <w:i/>
          <w:iCs/>
        </w:rPr>
        <w:t xml:space="preserve">those</w:t>
      </w:r>
      <w:r>
        <w:t xml:space="preserve">, with the same Ward linkage, gives a</w:t>
      </w:r>
      <w:r>
        <w:t xml:space="preserve"> </w:t>
      </w:r>
      <w:r>
        <w:t xml:space="preserve">hierarchy that is free, deterministic and species-independent.</w:t>
      </w:r>
    </w:p>
    <w:p>
      <w:pPr>
        <w:pStyle w:val="BodyText"/>
      </w:pPr>
      <w:r>
        <w:drawing>
          <wp:inline>
            <wp:extent cx="5334000" cy="3459955"/>
            <wp:effectExtent b="0" l="0" r="0" t="0"/>
            <wp:docPr descr="building a coarse hierarchy without a GPU" title="" id="63" name="Picture"/>
            <a:graphic>
              <a:graphicData uri="http://schemas.openxmlformats.org/drawingml/2006/picture">
                <pic:pic>
                  <pic:nvPicPr>
                    <pic:cNvPr descr="/Users/iandriver/Downloads/actinn-jax-benchmark/docs/figures/fig_ontology_hierarchy.png" id="64" name="Picture"/>
                    <pic:cNvPicPr>
                      <a:picLocks noChangeArrowheads="1" noChangeAspect="1"/>
                    </pic:cNvPicPr>
                  </pic:nvPicPr>
                  <pic:blipFill>
                    <a:blip r:embed="rId62"/>
                    <a:stretch>
                      <a:fillRect/>
                    </a:stretch>
                  </pic:blipFill>
                  <pic:spPr bwMode="auto">
                    <a:xfrm>
                      <a:off x="0" y="0"/>
                      <a:ext cx="5334000" cy="3459955"/>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Replacing the one step of the reference build that needs a GPU.</w:t>
      </w:r>
      <w:r>
        <w:t xml:space="preserve"> </w:t>
      </w:r>
      <w:r>
        <w:rPr>
          <w:i/>
          <w:iCs/>
        </w:rPr>
        <w:t xml:space="preserve">A:</w:t>
      </w:r>
      <w:r>
        <w:t xml:space="preserve"> </w:t>
      </w:r>
      <w:r>
        <w:t xml:space="preserve">both routes</w:t>
      </w:r>
      <w:r>
        <w:t xml:space="preserve"> </w:t>
      </w:r>
      <w:r>
        <w:t xml:space="preserve">to the coarse groups; only the middle step differs.</w:t>
      </w:r>
      <w:r>
        <w:t xml:space="preserve"> </w:t>
      </w:r>
      <w:r>
        <w:rPr>
          <w:i/>
          <w:iCs/>
        </w:rPr>
        <w:t xml:space="preserve">B:</w:t>
      </w:r>
      <w:r>
        <w:t xml:space="preserve"> </w:t>
      </w:r>
      <w:r>
        <w:t xml:space="preserve">the 21 coarse groups of</w:t>
      </w:r>
      <w:r>
        <w:t xml:space="preserve"> </w:t>
      </w:r>
      <w:r>
        <w:rPr>
          <w:rStyle w:val="VerbatimChar"/>
        </w:rPr>
        <w:t xml:space="preserve">broad_mouse_v1</w:t>
      </w:r>
      <w:r>
        <w:t xml:space="preserve">, each named by the Cell Ontology term its members share, with a percentage</w:t>
      </w:r>
      <w:r>
        <w:t xml:space="preserve"> </w:t>
      </w:r>
      <w:r>
        <w:t xml:space="preserve">where that term covers most but not all of the group; the gray bar is the single group whose</w:t>
      </w:r>
      <w:r>
        <w:t xml:space="preserve"> </w:t>
      </w:r>
      <w:r>
        <w:t xml:space="preserve">members share no term below the generic ones.</w:t>
      </w:r>
      <w:r>
        <w:t xml:space="preserve"> </w:t>
      </w:r>
      <w:r>
        <w:rPr>
          <w:i/>
          <w:iCs/>
        </w:rPr>
        <w:t xml:space="preserve">C:</w:t>
      </w:r>
      <w:r>
        <w:t xml:space="preserve"> </w:t>
      </w:r>
      <w:r>
        <w:t xml:space="preserve">the ontology grouping against no hierarchy and</w:t>
      </w:r>
      <w:r>
        <w:t xml:space="preserve"> </w:t>
      </w:r>
      <w:r>
        <w:t xml:space="preserve">against a random grouping with the same group sizes, scored by ontology concordance on the</w:t>
      </w:r>
      <w:r>
        <w:t xml:space="preserve"> </w:t>
      </w:r>
      <w:r>
        <w:t xml:space="preserve">held-out human lung atlas. Bars start at zero and error bars are 95% binomial intervals on the</w:t>
      </w:r>
      <w:r>
        <w:t xml:space="preserve"> </w:t>
      </w:r>
      <w:r>
        <w:t xml:space="preserve">2,161 scored cells; the gain over no hierarchy clears that interval and the gap between the two</w:t>
      </w:r>
      <w:r>
        <w:t xml:space="preserve"> </w:t>
      </w:r>
      <w:r>
        <w:t xml:space="preserve">controls does not.</w:t>
      </w:r>
    </w:p>
    <w:p>
      <w:pPr>
        <w:pStyle w:val="BodyText"/>
      </w:pPr>
      <w:r>
        <w:rPr>
          <w:b/>
          <w:bCs/>
        </w:rPr>
        <w:t xml:space="preserve">The groups it produces are lineages.</w:t>
      </w:r>
      <w:r>
        <w:t xml:space="preserve"> </w:t>
      </w:r>
      <w:r>
        <w:t xml:space="preserve">Twenty of the 21 mouse groups resolve to one CL</w:t>
      </w:r>
      <w:r>
        <w:t xml:space="preserve"> </w:t>
      </w:r>
      <w:r>
        <w:t xml:space="preserve">lineage each — lymphocytes, neurons, epithelium, endothelium, mononuclear phagocytes, kidney</w:t>
      </w:r>
      <w:r>
        <w:t xml:space="preserve"> </w:t>
      </w:r>
      <w:r>
        <w:t xml:space="preserve">tubule — and the twenty-first is a catch-all of 48 types whose census labels (</w:t>
      </w:r>
      <w:r>
        <w:rPr>
          <w:rStyle w:val="VerbatimChar"/>
        </w:rPr>
        <w:t xml:space="preserve">cell</w:t>
      </w:r>
      <w:r>
        <w:t xml:space="preserve">,</w:t>
      </w:r>
      <w:r>
        <w:t xml:space="preserve"> </w:t>
      </w:r>
      <w:r>
        <w:rPr>
          <w:rStyle w:val="VerbatimChar"/>
        </w:rPr>
        <w:t xml:space="preserve">blood cell</w:t>
      </w:r>
      <w:r>
        <w:t xml:space="preserve">) are too vague to place anywhere (Figure 5B).</w:t>
      </w:r>
    </w:p>
    <w:p>
      <w:pPr>
        <w:pStyle w:val="BodyText"/>
      </w:pPr>
      <w:r>
        <w:rPr>
          <w:b/>
          <w:bCs/>
        </w:rPr>
        <w:t xml:space="preserve">The grouping is doing the work, not the splitting.</w:t>
      </w:r>
      <w:r>
        <w:t xml:space="preserve"> </w:t>
      </w:r>
      <w:r>
        <w:t xml:space="preserve">Any partition gives each fine</w:t>
      </w:r>
      <w:r>
        <w:t xml:space="preserve"> </w:t>
      </w:r>
      <w:r>
        <w:t xml:space="preserve">classifier a smaller problem, so the substitution needs a control. Built from one human corpus</w:t>
      </w:r>
      <w:r>
        <w:t xml:space="preserve"> </w:t>
      </w:r>
      <w:r>
        <w:t xml:space="preserve">(51,346 cells / 867 types) and scored on the held-out lung atlas, the ontology grouping reaches</w:t>
      </w:r>
      <w:r>
        <w:t xml:space="preserve"> </w:t>
      </w:r>
      <w:r>
        <w:rPr>
          <w:b/>
          <w:bCs/>
        </w:rPr>
        <w:t xml:space="preserve">0.616</w:t>
      </w:r>
      <w:r>
        <w:t xml:space="preserve"> </w:t>
      </w:r>
      <w:r>
        <w:t xml:space="preserve">against</w:t>
      </w:r>
      <w:r>
        <w:t xml:space="preserve"> </w:t>
      </w:r>
      <w:r>
        <w:rPr>
          <w:b/>
          <w:bCs/>
        </w:rPr>
        <w:t xml:space="preserve">0.547</w:t>
      </w:r>
      <w:r>
        <w:t xml:space="preserve"> </w:t>
      </w:r>
      <w:r>
        <w:t xml:space="preserve">for no hierarchy at all — a gain of</w:t>
      </w:r>
      <w:r>
        <w:t xml:space="preserve"> </w:t>
      </w:r>
      <w:r>
        <w:rPr>
          <w:b/>
          <w:bCs/>
        </w:rPr>
        <w:t xml:space="preserve">0.069</w:t>
      </w:r>
      <w:r>
        <w:t xml:space="preserve">, or 13% relative,</w:t>
      </w:r>
      <w:r>
        <w:t xml:space="preserve"> </w:t>
      </w:r>
      <w:r>
        <w:t xml:space="preserve">which on 2,161 scored cells sits outside the 95% interval of ±0.029. A random grouping with the</w:t>
      </w:r>
      <w:r>
        <w:t xml:space="preserve"> </w:t>
      </w:r>
      <w:r>
        <w:t xml:space="preserve">same group sizes scores</w:t>
      </w:r>
      <w:r>
        <w:t xml:space="preserve"> </w:t>
      </w:r>
      <w:r>
        <w:rPr>
          <w:b/>
          <w:bCs/>
        </w:rPr>
        <w:t xml:space="preserve">0.539</w:t>
      </w:r>
      <w:r>
        <w:t xml:space="preserve">, which is 0.008 from the no-hierarchy control and inside that</w:t>
      </w:r>
      <w:r>
        <w:t xml:space="preserve"> </w:t>
      </w:r>
      <w:r>
        <w:t xml:space="preserve">interval (Figure 5C). What matters is</w:t>
      </w:r>
      <w:r>
        <w:t xml:space="preserve"> </w:t>
      </w:r>
      <w:r>
        <w:rPr>
          <w:i/>
          <w:iCs/>
        </w:rPr>
        <w:t xml:space="preserve">which</w:t>
      </w:r>
      <w:r>
        <w:t xml:space="preserve"> </w:t>
      </w:r>
      <w:r>
        <w:t xml:space="preserve">types share</w:t>
      </w:r>
      <w:r>
        <w:t xml:space="preserve"> </w:t>
      </w:r>
      <w:r>
        <w:t xml:space="preserve">a group. Each group has its own fine classifier and the coarse call decides which one ever</w:t>
      </w:r>
      <w:r>
        <w:t xml:space="preserve"> </w:t>
      </w:r>
      <w:r>
        <w:t xml:space="preserve">sees the cell, so a group pays off only if the coarse classifier can recognize the group</w:t>
      </w:r>
      <w:r>
        <w:t xml:space="preserve"> </w:t>
      </w:r>
      <w:r>
        <w:rPr>
          <w:i/>
          <w:iCs/>
        </w:rPr>
        <w:t xml:space="preserve">and</w:t>
      </w:r>
      <w:r>
        <w:t xml:space="preserve"> </w:t>
      </w:r>
      <w:r>
        <w:t xml:space="preserve">the right answer is inside it. Lineage groups manage both; same-sized random groups manage</w:t>
      </w:r>
      <w:r>
        <w:t xml:space="preserve"> </w:t>
      </w:r>
      <w:r>
        <w:t xml:space="preserve">neither.</w:t>
      </w:r>
    </w:p>
    <w:p>
      <w:pPr>
        <w:pStyle w:val="BodyText"/>
      </w:pPr>
      <w:r>
        <w:t xml:space="preserve">On that basis,</w:t>
      </w:r>
      <w:r>
        <w:t xml:space="preserve"> </w:t>
      </w:r>
      <w:r>
        <w:rPr>
          <w:rStyle w:val="VerbatimChar"/>
        </w:rPr>
        <w:t xml:space="preserve">broad_mouse_v1</w:t>
      </w:r>
      <w:r>
        <w:t xml:space="preserve">: 27,026 cells →</w:t>
      </w:r>
      <w:r>
        <w:t xml:space="preserve"> </w:t>
      </w:r>
      <w:r>
        <w:rPr>
          <w:b/>
          <w:bCs/>
        </w:rPr>
        <w:t xml:space="preserve">453 cell types across 85 tissues</w:t>
      </w:r>
      <w:r>
        <w:t xml:space="preserve">,</w:t>
      </w:r>
      <w:r>
        <w:t xml:space="preserve"> </w:t>
      </w:r>
      <w:r>
        <w:t xml:space="preserve">305 CL terms collapsed to 21 coarse groups,</w:t>
      </w:r>
      <w:r>
        <w:t xml:space="preserve"> </w:t>
      </w:r>
      <w:r>
        <w:rPr>
          <w:b/>
          <w:bCs/>
        </w:rPr>
        <w:t xml:space="preserve">17 seconds of CPU</w:t>
      </w:r>
      <w:r>
        <w:t xml:space="preserve"> </w:t>
      </w:r>
      <w:r>
        <w:t xml:space="preserve">to train, 38 MB. Two mouse</w:t>
      </w:r>
      <w:r>
        <w:t xml:space="preserve"> </w:t>
      </w:r>
      <w:r>
        <w:t xml:space="preserve">datasets were excluded from the reference entirely and used as the test set — 12,646 cells,</w:t>
      </w:r>
      <w:r>
        <w:t xml:space="preserve"> </w:t>
      </w:r>
      <w:r>
        <w:t xml:space="preserve">137 truth types, 41 tissues, none of it seen in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ontology</w:t>
            </w:r>
          </w:p>
        </w:tc>
        <w:tc>
          <w:tcPr/>
          <w:p>
            <w:pPr>
              <w:pStyle w:val="Compact"/>
              <w:jc w:val="right"/>
            </w:pPr>
            <w:r>
              <w:t xml:space="preserve">coverage</w:t>
            </w:r>
          </w:p>
        </w:tc>
        <w:tc>
          <w:tcPr/>
          <w:p>
            <w:pPr>
              <w:pStyle w:val="Compact"/>
              <w:jc w:val="right"/>
            </w:pPr>
            <w:r>
              <w:t xml:space="preserve">cells/s</w:t>
            </w:r>
          </w:p>
        </w:tc>
      </w:tr>
      <w:tr>
        <w:tc>
          <w:tcPr/>
          <w:p>
            <w:pPr>
              <w:pStyle w:val="Compact"/>
            </w:pPr>
            <w:r>
              <w:t xml:space="preserve">all cells</w:t>
            </w:r>
          </w:p>
        </w:tc>
        <w:tc>
          <w:tcPr/>
          <w:p>
            <w:pPr>
              <w:pStyle w:val="Compact"/>
              <w:jc w:val="right"/>
            </w:pPr>
            <w:r>
              <w:t xml:space="preserve">0.638</w:t>
            </w:r>
          </w:p>
        </w:tc>
        <w:tc>
          <w:tcPr/>
          <w:p>
            <w:pPr>
              <w:pStyle w:val="Compact"/>
              <w:jc w:val="right"/>
            </w:pPr>
            <w:r>
              <w:t xml:space="preserve">100%</w:t>
            </w:r>
          </w:p>
        </w:tc>
        <w:tc>
          <w:tcPr/>
          <w:p>
            <w:pPr>
              <w:pStyle w:val="Compact"/>
              <w:jc w:val="right"/>
            </w:pPr>
            <w:r>
              <w:t xml:space="preserve">9,712</w:t>
            </w:r>
          </w:p>
        </w:tc>
      </w:tr>
      <w:tr>
        <w:tc>
          <w:tcPr/>
          <w:p>
            <w:pPr>
              <w:pStyle w:val="Compact"/>
            </w:pPr>
            <w:r>
              <w:t xml:space="preserve">confidence ≥ 0.5</w:t>
            </w:r>
          </w:p>
        </w:tc>
        <w:tc>
          <w:tcPr/>
          <w:p>
            <w:pPr>
              <w:pStyle w:val="Compact"/>
              <w:jc w:val="right"/>
            </w:pPr>
            <w:r>
              <w:rPr>
                <w:b/>
                <w:bCs/>
              </w:rPr>
              <w:t xml:space="preserve">0.718</w:t>
            </w:r>
          </w:p>
        </w:tc>
        <w:tc>
          <w:tcPr/>
          <w:p>
            <w:pPr>
              <w:pStyle w:val="Compact"/>
              <w:jc w:val="right"/>
            </w:pPr>
            <w:r>
              <w:t xml:space="preserve">71%</w:t>
            </w:r>
          </w:p>
        </w:tc>
        <w:tc>
          <w:tcPr/>
          <w:p>
            <w:pPr>
              <w:pStyle w:val="Compact"/>
            </w:pPr>
          </w:p>
        </w:tc>
      </w:tr>
    </w:tbl>
    <w:p>
      <w:pPr>
        <w:pStyle w:val="BodyText"/>
      </w:pPr>
      <w:r>
        <w:rPr>
          <w:b/>
          <w:bCs/>
        </w:rPr>
        <w:t xml:space="preserve">Table 7.</w:t>
      </w:r>
      <w:r>
        <w:t xml:space="preserve"> </w:t>
      </w:r>
      <w:r>
        <w:rPr>
          <w:rStyle w:val="VerbatimChar"/>
        </w:rPr>
        <w:t xml:space="preserve">broad_mouse_v1</w:t>
      </w:r>
      <w:r>
        <w:t xml:space="preserve"> </w:t>
      </w:r>
      <w:r>
        <w:t xml:space="preserve">on 12,646 held-out mouse cells (137 truth types, 41 tissues, none</w:t>
      </w:r>
      <w:r>
        <w:t xml:space="preserve"> </w:t>
      </w:r>
      <w:r>
        <w:t xml:space="preserve">of it in the reference), with and without abstain.</w:t>
      </w:r>
    </w:p>
    <w:p>
      <w:pPr>
        <w:pStyle w:val="BodyText"/>
      </w:pPr>
      <w:r>
        <w:t xml:space="preserve">Its abstain calibration is also better behaved than the human census model’s: at the same</w:t>
      </w:r>
      <w:r>
        <w:t xml:space="preserve"> </w:t>
      </w:r>
      <w:r>
        <w:rPr>
          <w:rStyle w:val="VerbatimChar"/>
        </w:rPr>
        <w:t xml:space="preserve">p ≥ 0.5</w:t>
      </w:r>
      <w:r>
        <w:t xml:space="preserve"> </w:t>
      </w:r>
      <w:r>
        <w:t xml:space="preserve">threshold it still answers for</w:t>
      </w:r>
      <w:r>
        <w:t xml:space="preserve"> </w:t>
      </w:r>
      <w:r>
        <w:rPr>
          <w:b/>
          <w:bCs/>
        </w:rPr>
        <w:t xml:space="preserve">71%</w:t>
      </w:r>
      <w:r>
        <w:t xml:space="preserve"> </w:t>
      </w:r>
      <w:r>
        <w:t xml:space="preserve">of cells (Table 7), against</w:t>
      </w:r>
      <w:r>
        <w:t xml:space="preserve"> </w:t>
      </w:r>
      <w:r>
        <w:rPr>
          <w:b/>
          <w:bCs/>
        </w:rPr>
        <w:t xml:space="preserve">38%</w:t>
      </w:r>
      <w:r>
        <w:t xml:space="preserve"> </w:t>
      </w:r>
      <w:r>
        <w:t xml:space="preserve">for</w:t>
      </w:r>
      <w:r>
        <w:t xml:space="preserve"> </w:t>
      </w:r>
      <w:r>
        <w:rPr>
          <w:rStyle w:val="VerbatimChar"/>
        </w:rPr>
        <w:t xml:space="preserve">broad_human_v1</w:t>
      </w:r>
      <w:r>
        <w:t xml:space="preserve"> </w:t>
      </w:r>
      <w:r>
        <w:t xml:space="preserve">on its own held-out atlas, because mouse census carries fewer near-duplicate</w:t>
      </w:r>
      <w:r>
        <w:t xml:space="preserve"> </w:t>
      </w:r>
      <w:r>
        <w:t xml:space="preserve">subtypes than human’s ~800-way vocabulary. Coverage at a fixed threshold is the part that</w:t>
      </w:r>
      <w:r>
        <w:t xml:space="preserve"> </w:t>
      </w:r>
      <w:r>
        <w:t xml:space="preserve">compares across the two — the accuracies come from different queries and should not be read</w:t>
      </w:r>
      <w:r>
        <w:t xml:space="preserve"> </w:t>
      </w:r>
      <w:r>
        <w:t xml:space="preserve">head-to-head. Two limits apply. The ablation above was run</w:t>
      </w:r>
      <w:r>
        <w:t xml:space="preserve"> </w:t>
      </w:r>
      <w:r>
        <w:t xml:space="preserve">on</w:t>
      </w:r>
      <w:r>
        <w:t xml:space="preserve"> </w:t>
      </w:r>
      <w:r>
        <w:rPr>
          <w:b/>
          <w:bCs/>
        </w:rPr>
        <w:t xml:space="preserve">human</w:t>
      </w:r>
      <w:r>
        <w:t xml:space="preserve"> </w:t>
      </w:r>
      <w:r>
        <w:t xml:space="preserve">and applied to mouse; CL is species-neutral by construction, but nothing here</w:t>
      </w:r>
      <w:r>
        <w:t xml:space="preserve"> </w:t>
      </w:r>
      <w:r>
        <w:t xml:space="preserve">shows it groups mouse types as well. And mouse census is shallow in</w:t>
      </w:r>
      <w:r>
        <w:t xml:space="preserve"> </w:t>
      </w:r>
      <w:r>
        <w:rPr>
          <w:i/>
          <w:iCs/>
        </w:rPr>
        <w:t xml:space="preserve">datasets</w:t>
      </w:r>
      <w:r>
        <w:t xml:space="preserve"> </w:t>
      </w:r>
      <w:r>
        <w:t xml:space="preserve">— 51 in total,</w:t>
      </w:r>
      <w:r>
        <w:t xml:space="preserve"> </w:t>
      </w:r>
      <w:r>
        <w:t xml:space="preserve">one embryo atlas holding 11.4M of 18.4M cells — so tissue breadth is good while lab and</w:t>
      </w:r>
      <w:r>
        <w:t xml:space="preserve"> </w:t>
      </w:r>
      <w:r>
        <w:t xml:space="preserve">protocol breadth is far below human’s 487 datasets.</w:t>
      </w:r>
    </w:p>
    <w:p>
      <w:pPr>
        <w:pStyle w:val="BodyText"/>
      </w:pPr>
      <w:r>
        <w:rPr>
          <w:b/>
          <w:bCs/>
        </w:rPr>
        <w:t xml:space="preserve">Supporting mechanisms.</w:t>
      </w:r>
      <w:r>
        <w:t xml:space="preserve"> </w:t>
      </w:r>
      <w:r>
        <w:t xml:space="preserve">(i) The</w:t>
      </w:r>
      <w:r>
        <w:t xml:space="preserve"> </w:t>
      </w:r>
      <w:r>
        <w:rPr>
          <w:b/>
          <w:bCs/>
        </w:rPr>
        <w:t xml:space="preserve">embedding route to the same hierarchy</w:t>
      </w:r>
      <w:r>
        <w:t xml:space="preserve">, evaluated</w:t>
      </w:r>
      <w:r>
        <w:t xml:space="preserve"> </w:t>
      </w:r>
      <w:r>
        <w:t xml:space="preserve">separately from the ontology route above: a foundation model discovers the coarse→fine</w:t>
      </w:r>
      <w:r>
        <w:t xml:space="preserve"> </w:t>
      </w:r>
      <w:r>
        <w:t xml:space="preserve">structure</w:t>
      </w:r>
      <w:r>
        <w:t xml:space="preserve"> </w:t>
      </w:r>
      <w:r>
        <w:rPr>
          <w:i/>
          <w:iCs/>
        </w:rPr>
        <w:t xml:space="preserve">offline</w:t>
      </w:r>
      <w:r>
        <w:t xml:space="preserve"> </w:t>
      </w:r>
      <w:r>
        <w:t xml:space="preserve">and the CPU model uses it at inference. It beats a flat classifier on</w:t>
      </w:r>
      <w:r>
        <w:t xml:space="preserve"> </w:t>
      </w:r>
      <w:r>
        <w:t xml:space="preserve">three of four datasets, matches a hand-built expert hierarchy, and beats a random-grouping</w:t>
      </w:r>
      <w:r>
        <w:t xml:space="preserve"> </w:t>
      </w:r>
      <w:r>
        <w:t xml:space="preserve">control, while never calling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across held-out donors, and 0.88–0.92 transferring between datasets — a</w:t>
      </w:r>
      <w:r>
        <w:t xml:space="preserve"> </w:t>
      </w:r>
      <w:r>
        <w:t xml:space="preserve">third stage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65"/>
    <w:bookmarkStart w:id="69"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we sweep a confidence threshold over every method</w:t>
      </w:r>
      <w:r>
        <w:t xml:space="preserve"> </w:t>
      </w:r>
      <w:r>
        <w:t xml:space="preserve">that returns a per-cell confidence. Eight do; for scANVI and scArches the confidence is the</w:t>
      </w:r>
      <w:r>
        <w:t xml:space="preserve"> </w:t>
      </w:r>
      <w:r>
        <w:t xml:space="preserve">maximum class posterior from the model’s soft prediction. SVM, SingleR and scPRINT return no</w:t>
      </w:r>
      <w:r>
        <w:t xml:space="preserve"> </w:t>
      </w:r>
      <w:r>
        <w:t xml:space="preserve">per-cell confidence and cannot be swept, and scmap-cluster has a single native</w:t>
      </w:r>
      <w:r>
        <w:t xml:space="preserve"> </w:t>
      </w:r>
      <w:r>
        <w:t xml:space="preserve">“unassigned”</w:t>
      </w:r>
      <w:r>
        <w:t xml:space="preserve"> </w:t>
      </w:r>
      <w:r>
        <w:t xml:space="preserve">decision rather than a threshold.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p≥0.5: acc / cov / OOD</w:t>
            </w:r>
          </w:p>
        </w:tc>
        <w:tc>
          <w:tcPr/>
          <w:p>
            <w:pPr>
              <w:pStyle w:val="Compact"/>
            </w:pPr>
            <w:r>
              <w:t xml:space="preserve">p≥0.7</w:t>
            </w:r>
          </w:p>
        </w:tc>
        <w:tc>
          <w:tcPr/>
          <w:p>
            <w:pPr>
              <w:pStyle w:val="Compact"/>
            </w:pPr>
            <w:r>
              <w:t xml:space="preserve">p≥0.9</w:t>
            </w:r>
          </w:p>
        </w:tc>
      </w:tr>
      <w:tr>
        <w:tc>
          <w:tcPr/>
          <w:p>
            <w:pPr>
              <w:pStyle w:val="Compact"/>
            </w:pPr>
            <w:r>
              <w:rPr>
                <w:b/>
                <w:bCs/>
              </w:rPr>
              <w:t xml:space="preserve">actinn-jax</w:t>
            </w:r>
          </w:p>
        </w:tc>
        <w:tc>
          <w:tcPr/>
          <w:p>
            <w:pPr>
              <w:pStyle w:val="Compact"/>
            </w:pPr>
            <w:r>
              <w:t xml:space="preserve">0.919 / 0.93 / 0.30</w:t>
            </w:r>
          </w:p>
        </w:tc>
        <w:tc>
          <w:tcPr/>
          <w:p>
            <w:pPr>
              <w:pStyle w:val="Compact"/>
            </w:pPr>
            <w:r>
              <w:t xml:space="preserve">0.946 / 0.84 / 0.52</w:t>
            </w:r>
          </w:p>
        </w:tc>
        <w:tc>
          <w:tcPr/>
          <w:p>
            <w:pPr>
              <w:pStyle w:val="Compact"/>
            </w:pPr>
            <w:r>
              <w:t xml:space="preserve">0.969 / 0.66 / 0.73</w:t>
            </w:r>
          </w:p>
        </w:tc>
      </w:tr>
      <w:tr>
        <w:tc>
          <w:tcPr/>
          <w:p>
            <w:pPr>
              <w:pStyle w:val="Compact"/>
            </w:pPr>
            <w:r>
              <w:t xml:space="preserve">scArches</w:t>
            </w:r>
          </w:p>
        </w:tc>
        <w:tc>
          <w:tcPr/>
          <w:p>
            <w:pPr>
              <w:pStyle w:val="Compact"/>
            </w:pPr>
            <w:r>
              <w:t xml:space="preserve">0.902 / 0.94 / 0.20</w:t>
            </w:r>
          </w:p>
        </w:tc>
        <w:tc>
          <w:tcPr/>
          <w:p>
            <w:pPr>
              <w:pStyle w:val="Compact"/>
            </w:pPr>
            <w:r>
              <w:t xml:space="preserve">0.941 / 0.82 / 0.44</w:t>
            </w:r>
          </w:p>
        </w:tc>
        <w:tc>
          <w:tcPr/>
          <w:p>
            <w:pPr>
              <w:pStyle w:val="Compact"/>
            </w:pPr>
            <w:r>
              <w:t xml:space="preserve">0.983 / 0.61 / 0.71</w:t>
            </w:r>
          </w:p>
        </w:tc>
      </w:tr>
      <w:tr>
        <w:tc>
          <w:tcPr/>
          <w:p>
            <w:pPr>
              <w:pStyle w:val="Compact"/>
            </w:pPr>
            <w:r>
              <w:t xml:space="preserve">scANVI</w:t>
            </w:r>
          </w:p>
        </w:tc>
        <w:tc>
          <w:tcPr/>
          <w:p>
            <w:pPr>
              <w:pStyle w:val="Compact"/>
            </w:pPr>
            <w:r>
              <w:t xml:space="preserve">0.893 / 0.96 / 0.13</w:t>
            </w:r>
          </w:p>
        </w:tc>
        <w:tc>
          <w:tcPr/>
          <w:p>
            <w:pPr>
              <w:pStyle w:val="Compact"/>
            </w:pPr>
            <w:r>
              <w:t xml:space="preserve">0.929 / 0.88 / 0.34</w:t>
            </w:r>
          </w:p>
        </w:tc>
        <w:tc>
          <w:tcPr/>
          <w:p>
            <w:pPr>
              <w:pStyle w:val="Compact"/>
            </w:pPr>
            <w:r>
              <w:t xml:space="preserve">0.965 / 0.74 / 0.60</w:t>
            </w:r>
          </w:p>
        </w:tc>
      </w:tr>
      <w:tr>
        <w:tc>
          <w:tcPr/>
          <w:p>
            <w:pPr>
              <w:pStyle w:val="Compact"/>
            </w:pPr>
            <w:r>
              <w:t xml:space="preserve">linear-anova-pca</w:t>
            </w:r>
          </w:p>
        </w:tc>
        <w:tc>
          <w:tcPr/>
          <w:p>
            <w:pPr>
              <w:pStyle w:val="Compact"/>
            </w:pPr>
            <w:r>
              <w:t xml:space="preserve">0.894 / 0.99 / 0.07</w:t>
            </w:r>
          </w:p>
        </w:tc>
        <w:tc>
          <w:tcPr/>
          <w:p>
            <w:pPr>
              <w:pStyle w:val="Compact"/>
            </w:pPr>
            <w:r>
              <w:t xml:space="preserve">0.916 / 0.93 / 0.25</w:t>
            </w:r>
          </w:p>
        </w:tc>
        <w:tc>
          <w:tcPr/>
          <w:p>
            <w:pPr>
              <w:pStyle w:val="Compact"/>
            </w:pPr>
            <w:r>
              <w:t xml:space="preserve">0.941 / 0.85 / 0.46</w:t>
            </w:r>
          </w:p>
        </w:tc>
      </w:tr>
      <w:tr>
        <w:tc>
          <w:tcPr/>
          <w:p>
            <w:pPr>
              <w:pStyle w:val="Compact"/>
            </w:pPr>
            <w:r>
              <w:t xml:space="preserve">kNN</w:t>
            </w:r>
          </w:p>
        </w:tc>
        <w:tc>
          <w:tcPr/>
          <w:p>
            <w:pPr>
              <w:pStyle w:val="Compact"/>
            </w:pPr>
            <w:r>
              <w:t xml:space="preserve">0.830 / 0.86 / 0.28</w:t>
            </w:r>
          </w:p>
        </w:tc>
        <w:tc>
          <w:tcPr/>
          <w:p>
            <w:pPr>
              <w:pStyle w:val="Compact"/>
            </w:pPr>
            <w:r>
              <w:t xml:space="preserve">0.921 / 0.61 / 0.63</w:t>
            </w:r>
          </w:p>
        </w:tc>
        <w:tc>
          <w:tcPr/>
          <w:p>
            <w:pPr>
              <w:pStyle w:val="Compact"/>
            </w:pPr>
            <w:r>
              <w:t xml:space="preserve">0.988 / 0.36 / 0.83</w:t>
            </w:r>
          </w:p>
        </w:tc>
      </w:tr>
      <w:tr>
        <w:tc>
          <w:tcPr/>
          <w:p>
            <w:pPr>
              <w:pStyle w:val="Compact"/>
            </w:pPr>
            <w:r>
              <w:t xml:space="preserve">CellTypist</w:t>
            </w:r>
          </w:p>
        </w:tc>
        <w:tc>
          <w:tcPr/>
          <w:p>
            <w:pPr>
              <w:pStyle w:val="Compact"/>
            </w:pPr>
            <w:r>
              <w:t xml:space="preserve">0.936 / 0.68 / 0.68</w:t>
            </w:r>
          </w:p>
        </w:tc>
        <w:tc>
          <w:tcPr/>
          <w:p>
            <w:pPr>
              <w:pStyle w:val="Compact"/>
            </w:pPr>
            <w:r>
              <w:t xml:space="preserve">0.936 / 0.68 / 0.68</w:t>
            </w:r>
          </w:p>
        </w:tc>
        <w:tc>
          <w:tcPr/>
          <w:p>
            <w:pPr>
              <w:pStyle w:val="Compact"/>
            </w:pPr>
            <w:r>
              <w:t xml:space="preserve">0.937 / 0.68 / 0.68</w:t>
            </w:r>
          </w:p>
        </w:tc>
      </w:tr>
      <w:tr>
        <w:tc>
          <w:tcPr/>
          <w:p>
            <w:pPr>
              <w:pStyle w:val="Compact"/>
            </w:pPr>
            <w:r>
              <w:t xml:space="preserve">ProtoCloud</w:t>
            </w:r>
          </w:p>
        </w:tc>
        <w:tc>
          <w:tcPr/>
          <w:p>
            <w:pPr>
              <w:pStyle w:val="Compact"/>
            </w:pPr>
            <w:r>
              <w:t xml:space="preserve">0.719 / 1.00 / 0.00</w:t>
            </w:r>
          </w:p>
        </w:tc>
        <w:tc>
          <w:tcPr/>
          <w:p>
            <w:pPr>
              <w:pStyle w:val="Compact"/>
            </w:pPr>
            <w:r>
              <w:t xml:space="preserve">0.719 / 0.97 / 0.02</w:t>
            </w:r>
          </w:p>
        </w:tc>
        <w:tc>
          <w:tcPr/>
          <w:p>
            <w:pPr>
              <w:pStyle w:val="Compact"/>
            </w:pPr>
            <w:r>
              <w:t xml:space="preserve">0.750 / 0.61 / 0.47</w:t>
            </w:r>
          </w:p>
        </w:tc>
      </w:tr>
      <w:tr>
        <w:tc>
          <w:tcPr/>
          <w:p>
            <w:pPr>
              <w:pStyle w:val="Compact"/>
            </w:pPr>
            <w:r>
              <w:t xml:space="preserve">scTOP</w:t>
            </w:r>
          </w:p>
        </w:tc>
        <w:tc>
          <w:tcPr/>
          <w:p>
            <w:pPr>
              <w:pStyle w:val="Compact"/>
            </w:pPr>
            <w:r>
              <w:t xml:space="preserve">0.971 / 0.06 / 0.98</w:t>
            </w:r>
          </w:p>
        </w:tc>
        <w:tc>
          <w:tcPr/>
          <w:p>
            <w:pPr>
              <w:pStyle w:val="Compact"/>
            </w:pPr>
            <w:r>
              <w:t xml:space="preserve">1.000 / 0.00 / 1.00</w:t>
            </w:r>
          </w:p>
        </w:tc>
        <w:tc>
          <w:tcPr/>
          <w:p>
            <w:pPr>
              <w:pStyle w:val="Compact"/>
            </w:pPr>
            <w:r>
              <w:t xml:space="preserve">1.000 / 0.00 / 1.00</w:t>
            </w:r>
          </w:p>
        </w:tc>
      </w:tr>
    </w:tbl>
    <w:p>
      <w:pPr>
        <w:pStyle w:val="BodyText"/>
      </w:pPr>
      <w:r>
        <w:rPr>
          <w:b/>
          <w:bCs/>
        </w:rPr>
        <w:t xml:space="preserve">Table 8.</w:t>
      </w:r>
      <w:r>
        <w:t xml:space="preserve"> </w:t>
      </w:r>
      <w:r>
        <w:t xml:space="preserve">Confidence-threshold sweep with 9 of 36 cell types held out of the liver</w:t>
      </w:r>
      <w:r>
        <w:t xml:space="preserve"> </w:t>
      </w:r>
      <w:r>
        <w:t xml:space="preserve">reference, so 1,350 query cells are out-of-distribution. Each cell reads accuracy on kept</w:t>
      </w:r>
      <w:r>
        <w:t xml:space="preserve"> </w:t>
      </w:r>
      <w:r>
        <w:t xml:space="preserve">cells / fraction of cells kept / fraction of held-out-type cells flagged. The full five-point</w:t>
      </w:r>
      <w:r>
        <w:t xml:space="preserve"> </w:t>
      </w:r>
      <w:r>
        <w:t xml:space="preserve">sweep is in Figure 6 and in the result tables.</w:t>
      </w:r>
    </w:p>
    <w:p>
      <w:pPr>
        <w:pStyle w:val="BodyText"/>
      </w:pPr>
      <w:r>
        <w:rPr>
          <w:b/>
          <w:bCs/>
        </w:rPr>
        <w:t xml:space="preserve">Five of the eight give a threshold that does something; three do not.</w:t>
      </w:r>
      <w:r>
        <w:t xml:space="preserve"> </w:t>
      </w:r>
      <w:r>
        <w:t xml:space="preserve">actinn-jax,</w:t>
      </w:r>
      <w:r>
        <w:t xml:space="preserve"> </w:t>
      </w:r>
      <w:r>
        <w:t xml:space="preserve">scArches, scANVI, the linear pipeline and kNN all trade coverage for accuracy across the</w:t>
      </w:r>
      <w:r>
        <w:t xml:space="preserve"> </w:t>
      </w:r>
      <w:r>
        <w:t xml:space="preserve">range. The other three fail in different ways: CellTypist’s probabilities are saturated near 0</w:t>
      </w:r>
      <w:r>
        <w:t xml:space="preserve"> </w:t>
      </w:r>
      <w:r>
        <w:t xml:space="preserve">or 1, so every threshold from 0.3 to 0.9 lands on one operating point; scTOP’s projection score</w:t>
      </w:r>
      <w:r>
        <w:t xml:space="preserve"> </w:t>
      </w:r>
      <w:r>
        <w:t xml:space="preserve">is not a calibrated probability and discards all but 6% of the query by p≥0.5; ProtoCloud’s</w:t>
      </w:r>
      <w:r>
        <w:t xml:space="preserve"> </w:t>
      </w:r>
      <w:r>
        <w:t xml:space="preserve">ambiguity flag barely moves until 0.9.</w:t>
      </w:r>
    </w:p>
    <w:p>
      <w:pPr>
        <w:pStyle w:val="BodyText"/>
      </w:pPr>
      <w:r>
        <w:t xml:space="preserve">Among the five that work, abstain quality does not separate them the way cost does.</w:t>
      </w:r>
      <w:r>
        <w:t xml:space="preserve"> </w:t>
      </w:r>
      <w:r>
        <w:t xml:space="preserve">actinn-jax and scArches are effectively tied — at p≥0.9, 0.969 accuracy on 66% of cells with</w:t>
      </w:r>
      <w:r>
        <w:t xml:space="preserve"> </w:t>
      </w:r>
      <w:r>
        <w:t xml:space="preserve">73% of novel cells flagged against 0.983 on 61% with 71% flagged — and scANVI is close behind.</w:t>
      </w:r>
      <w:r>
        <w:t xml:space="preserve"> </w:t>
      </w:r>
      <w:r>
        <w:t xml:space="preserve">kNN reaches the highest novelty detection (83%) by keeping only 36% of the query, which is a</w:t>
      </w:r>
      <w:r>
        <w:t xml:space="preserve"> </w:t>
      </w:r>
      <w:r>
        <w:t xml:space="preserve">different operating regime rather than a better one, and the linear pipeline is the weakest</w:t>
      </w:r>
      <w:r>
        <w:t xml:space="preserve"> </w:t>
      </w:r>
      <w:r>
        <w:t xml:space="preserve">here, flagging 46% of novel cells at the threshold where actinn-jax flags 73%. The distinction</w:t>
      </w:r>
      <w:r>
        <w:t xml:space="preserve"> </w:t>
      </w:r>
      <w:r>
        <w:t xml:space="preserve">worth drawing is therefore not that actinn-jax abstains better than the deep methods but that</w:t>
      </w:r>
      <w:r>
        <w:t xml:space="preserve"> </w:t>
      </w:r>
      <w:r>
        <w:t xml:space="preserve">it abstains as well for 0.67 s of predict time against scArches’s 21.4 s and scANVI’s 89.2 s</w:t>
      </w:r>
      <w:r>
        <w:t xml:space="preserve"> </w:t>
      </w:r>
      <w:r>
        <w:t xml:space="preserve">(Table 3) — the same accuracy-at-a-fraction-of-the-cost pattern §3.1 reports, applied to the</w:t>
      </w:r>
      <w:r>
        <w:t xml:space="preserve"> </w:t>
      </w:r>
      <w:r>
        <w:t xml:space="preserve">mechanism the workflow of §3.4 routes on.</w:t>
      </w:r>
    </w:p>
    <w:p>
      <w:pPr>
        <w:pStyle w:val="BodyText"/>
      </w:pPr>
      <w:r>
        <w:drawing>
          <wp:inline>
            <wp:extent cx="5334000" cy="2395249"/>
            <wp:effectExtent b="0" l="0" r="0" t="0"/>
            <wp:docPr descr="the abstain trade-off" title="" id="67" name="Picture"/>
            <a:graphic>
              <a:graphicData uri="http://schemas.openxmlformats.org/drawingml/2006/picture">
                <pic:pic>
                  <pic:nvPicPr>
                    <pic:cNvPr descr="/Users/iandriver/Downloads/actinn-jax-benchmark/docs/figures/fig_abstain.png" id="68" name="Picture"/>
                    <pic:cNvPicPr>
                      <a:picLocks noChangeArrowheads="1" noChangeAspect="1"/>
                    </pic:cNvPicPr>
                  </pic:nvPicPr>
                  <pic:blipFill>
                    <a:blip r:embed="rId66"/>
                    <a:stretch>
                      <a:fillRect/>
                    </a:stretch>
                  </pic:blipFill>
                  <pic:spPr bwMode="auto">
                    <a:xfrm>
                      <a:off x="0" y="0"/>
                      <a:ext cx="5334000" cy="2395249"/>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What abstention buys, and whether it finds the novel cells, for the eight methods</w:t>
      </w:r>
      <w:r>
        <w:t xml:space="preserve"> </w:t>
      </w:r>
      <w:r>
        <w:t xml:space="preserve">that return a per-cell confidence.</w:t>
      </w:r>
      <w:r>
        <w:t xml:space="preserve"> </w:t>
      </w:r>
      <w:r>
        <w:rPr>
          <w:i/>
          <w:iCs/>
        </w:rPr>
        <w:t xml:space="preserve">Left:</w:t>
      </w:r>
      <w:r>
        <w:t xml:space="preserve"> </w:t>
      </w:r>
      <w:r>
        <w:t xml:space="preserve">accuracy on kept cells against the fraction kept.</w:t>
      </w:r>
      <w:r>
        <w:t xml:space="preserve"> </w:t>
      </w:r>
      <w:r>
        <w:rPr>
          <w:i/>
          <w:iCs/>
        </w:rPr>
        <w:t xml:space="preserve">Right:</w:t>
      </w:r>
      <w:r>
        <w:t xml:space="preserve"> </w:t>
      </w:r>
      <w:r>
        <w:t xml:space="preserve">the share of held-out-type cells flagged as the threshold rises. A usable mechanism</w:t>
      </w:r>
      <w:r>
        <w:t xml:space="preserve"> </w:t>
      </w:r>
      <w:r>
        <w:t xml:space="preserve">moves along both axes; CellTypist’s saturated probabilities collapse four thresholds onto one</w:t>
      </w:r>
      <w:r>
        <w:t xml:space="preserve"> </w:t>
      </w:r>
      <w:r>
        <w:t xml:space="preserve">operating point, and scTOP’s projection score discards the query rather than ranking it.</w:t>
      </w:r>
    </w:p>
    <w:bookmarkEnd w:id="69"/>
    <w:bookmarkStart w:id="70"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 it</w:t>
      </w:r>
      <w:r>
        <w:t xml:space="preserve"> </w:t>
      </w:r>
      <w:r>
        <w:t xml:space="preserve">scored</w:t>
      </w:r>
      <w:r>
        <w:t xml:space="preserve"> </w:t>
      </w:r>
      <w:r>
        <w:rPr>
          <w:b/>
          <w:bCs/>
        </w:rPr>
        <w:t xml:space="preserve">exact-match accuracy 0.029 / ontology concordance 0.201, taking 62 s for 2,694 query</w:t>
      </w:r>
      <w:r>
        <w:rPr>
          <w:b/>
          <w:bCs/>
        </w:rPr>
        <w:t xml:space="preserve"> </w:t>
      </w:r>
      <w:r>
        <w:rPr>
          <w:b/>
          <w:bCs/>
        </w:rPr>
        <w:t xml:space="preserve">cells</w:t>
      </w:r>
      <w:r>
        <w:t xml:space="preserve"> </w:t>
      </w:r>
      <w:r>
        <w:t xml:space="preserve">— against actinn-jax’s 0.894 in 0.23 s — so as a</w:t>
      </w:r>
      <w:r>
        <w:t xml:space="preserve"> </w:t>
      </w:r>
      <w:r>
        <w:rPr>
          <w:i/>
          <w:iCs/>
        </w:rPr>
        <w:t xml:space="preserve">label</w:t>
      </w:r>
      <w:r>
        <w:t xml:space="preserve"> </w:t>
      </w:r>
      <w:r>
        <w:t xml:space="preserve">predictor it is both slow</w:t>
      </w:r>
      <w:r>
        <w:t xml:space="preserve"> </w:t>
      </w:r>
      <w:r>
        <w:t xml:space="preserve">(</w:t>
      </w:r>
      <w:r>
        <w:rPr>
          <w:b/>
          <w:bCs/>
        </w:rPr>
        <w:t xml:space="preserve">~280×</w:t>
      </w:r>
      <w:r>
        <w:t xml:space="preserve"> </w:t>
      </w:r>
      <w:r>
        <w:t xml:space="preserve">actinn-jax) and weak. It is reported on lung alone because its fixed vocabulary</w:t>
      </w:r>
      <w:r>
        <w:t xml:space="preserve"> </w:t>
      </w:r>
      <w:r>
        <w:t xml:space="preserve">cannot score the other datasets: the liver and blood+gut sets contain Cell Ontology terms</w:t>
      </w:r>
      <w:r>
        <w:t xml:space="preserve"> </w:t>
      </w:r>
      <w:r>
        <w:t xml:space="preserve">absent from its label set, and it declines them rather than guessing. That is an inherent</w:t>
      </w:r>
      <w:r>
        <w:t xml:space="preserve"> </w:t>
      </w:r>
      <w:r>
        <w:t xml:space="preserve">property of a zero-shot label head rather than a defect, but it does mean the raw predictions</w:t>
      </w:r>
      <w:r>
        <w:t xml:space="preserve"> </w:t>
      </w:r>
      <w:r>
        <w:t xml:space="preserve">are not a drop-in annotator. It is why the two-stage workflow uses scPRINT’s</w:t>
      </w:r>
      <w:r>
        <w:t xml:space="preserve"> </w:t>
      </w:r>
      <w:r>
        <w:rPr>
          <w:b/>
          <w:bCs/>
        </w:rPr>
        <w:t xml:space="preserve">embeddings</w:t>
      </w:r>
      <w:r>
        <w:t xml:space="preserve"> </w:t>
      </w:r>
      <w:r>
        <w:t xml:space="preserve">—</w:t>
      </w:r>
      <w:r>
        <w:t xml:space="preserve"> </w:t>
      </w:r>
      <w:r>
        <w:t xml:space="preserve">its learned structure — to shape a small trained model, and never its zero-shot labels.</w:t>
      </w:r>
    </w:p>
    <w:bookmarkEnd w:id="70"/>
    <w:bookmarkStart w:id="79"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71">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w:t>
      </w:r>
      <w:r>
        <w:t xml:space="preserve"> </w:t>
      </w:r>
      <w:hyperlink r:id="rId72">
        <w:r>
          <w:rPr>
            <w:rStyle w:val="Hyperlink"/>
          </w:rPr>
          <w:t xml:space="preserve">[Chen &amp; Guestrin 2016]</w:t>
        </w:r>
      </w:hyperlink>
      <w:r>
        <w:t xml:space="preserve"> </w:t>
      </w:r>
      <w:r>
        <w:t xml:space="preserve">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§3.6 externally.</w:t>
      </w:r>
    </w:p>
    <w:p>
      <w:pPr>
        <w:pStyle w:val="BodyText"/>
      </w:pPr>
      <w:r>
        <w:t xml:space="preserve">Means over the six datasets, every method through the same pipeline on one instance: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mean acc</w:t>
            </w:r>
          </w:p>
        </w:tc>
        <w:tc>
          <w:tcPr/>
          <w:p>
            <w:pPr>
              <w:pStyle w:val="Compact"/>
              <w:jc w:val="right"/>
            </w:pPr>
            <w:r>
              <w:t xml:space="preserve">macro-F1</w:t>
            </w:r>
          </w:p>
        </w:tc>
        <w:tc>
          <w:tcPr/>
          <w:p>
            <w:pPr>
              <w:pStyle w:val="Compact"/>
              <w:jc w:val="right"/>
            </w:pPr>
            <w:r>
              <w:t xml:space="preserve">cost</w:t>
            </w:r>
          </w:p>
        </w:tc>
        <w:tc>
          <w:tcPr/>
          <w:p>
            <w:pPr>
              <w:pStyle w:val="Compact"/>
              <w:jc w:val="right"/>
            </w:pPr>
            <w:r>
              <w:t xml:space="preserve">peak mem</w:t>
            </w:r>
          </w:p>
        </w:tc>
      </w:tr>
      <w:tr>
        <w:tc>
          <w:tcPr/>
          <w:p>
            <w:pPr>
              <w:pStyle w:val="Compact"/>
            </w:pPr>
            <w:r>
              <w:t xml:space="preserve">mlp</w:t>
            </w:r>
          </w:p>
        </w:tc>
        <w:tc>
          <w:tcPr/>
          <w:p>
            <w:pPr>
              <w:pStyle w:val="Compact"/>
              <w:jc w:val="right"/>
            </w:pPr>
            <w:r>
              <w:t xml:space="preserve">0.843</w:t>
            </w:r>
          </w:p>
        </w:tc>
        <w:tc>
          <w:tcPr/>
          <w:p>
            <w:pPr>
              <w:pStyle w:val="Compact"/>
              <w:jc w:val="right"/>
            </w:pPr>
            <w:r>
              <w:t xml:space="preserve">0.662</w:t>
            </w:r>
          </w:p>
        </w:tc>
        <w:tc>
          <w:tcPr/>
          <w:p>
            <w:pPr>
              <w:pStyle w:val="Compact"/>
              <w:jc w:val="right"/>
            </w:pPr>
            <w:r>
              <w:t xml:space="preserve">1.98×</w:t>
            </w:r>
          </w:p>
        </w:tc>
        <w:tc>
          <w:tcPr/>
          <w:p>
            <w:pPr>
              <w:pStyle w:val="Compact"/>
              <w:jc w:val="right"/>
            </w:pPr>
            <w:r>
              <w:t xml:space="preserve">19.9 GB</w:t>
            </w:r>
          </w:p>
        </w:tc>
      </w:tr>
      <w:tr>
        <w:tc>
          <w:tcPr/>
          <w:p>
            <w:pPr>
              <w:pStyle w:val="Compact"/>
            </w:pPr>
            <w:r>
              <w:rPr>
                <w:b/>
                <w:bCs/>
              </w:rPr>
              <w:t xml:space="preserve">actinn-jax</w:t>
            </w:r>
          </w:p>
        </w:tc>
        <w:tc>
          <w:tcPr/>
          <w:p>
            <w:pPr>
              <w:pStyle w:val="Compact"/>
              <w:jc w:val="right"/>
            </w:pPr>
            <w:r>
              <w:t xml:space="preserve">0.836</w:t>
            </w:r>
          </w:p>
        </w:tc>
        <w:tc>
          <w:tcPr/>
          <w:p>
            <w:pPr>
              <w:pStyle w:val="Compact"/>
              <w:jc w:val="right"/>
            </w:pPr>
            <w:r>
              <w:t xml:space="preserve">0.663</w:t>
            </w:r>
          </w:p>
        </w:tc>
        <w:tc>
          <w:tcPr/>
          <w:p>
            <w:pPr>
              <w:pStyle w:val="Compact"/>
              <w:jc w:val="right"/>
            </w:pPr>
            <w:r>
              <w:t xml:space="preserve">1.00×</w:t>
            </w:r>
          </w:p>
        </w:tc>
        <w:tc>
          <w:tcPr/>
          <w:p>
            <w:pPr>
              <w:pStyle w:val="Compact"/>
              <w:jc w:val="right"/>
            </w:pPr>
            <w:r>
              <w:t xml:space="preserve">21.0 GB</w:t>
            </w:r>
          </w:p>
        </w:tc>
      </w:tr>
      <w:tr>
        <w:tc>
          <w:tcPr/>
          <w:p>
            <w:pPr>
              <w:pStyle w:val="Compact"/>
            </w:pPr>
            <w:r>
              <w:rPr>
                <w:b/>
                <w:bCs/>
              </w:rPr>
              <w:t xml:space="preserve">linear-anova-pca</w:t>
            </w:r>
          </w:p>
        </w:tc>
        <w:tc>
          <w:tcPr/>
          <w:p>
            <w:pPr>
              <w:pStyle w:val="Compact"/>
              <w:jc w:val="right"/>
            </w:pPr>
            <w:r>
              <w:t xml:space="preserve">0.828</w:t>
            </w:r>
          </w:p>
        </w:tc>
        <w:tc>
          <w:tcPr/>
          <w:p>
            <w:pPr>
              <w:pStyle w:val="Compact"/>
              <w:jc w:val="right"/>
            </w:pPr>
            <w:r>
              <w:t xml:space="preserve">0.647</w:t>
            </w:r>
          </w:p>
        </w:tc>
        <w:tc>
          <w:tcPr/>
          <w:p>
            <w:pPr>
              <w:pStyle w:val="Compact"/>
              <w:jc w:val="right"/>
            </w:pPr>
            <w:r>
              <w:t xml:space="preserve">2.67×</w:t>
            </w:r>
          </w:p>
        </w:tc>
        <w:tc>
          <w:tcPr/>
          <w:p>
            <w:pPr>
              <w:pStyle w:val="Compact"/>
              <w:jc w:val="right"/>
            </w:pPr>
            <w:r>
              <w:t xml:space="preserve">20.1 GB</w:t>
            </w:r>
          </w:p>
        </w:tc>
      </w:tr>
      <w:tr>
        <w:tc>
          <w:tcPr/>
          <w:p>
            <w:pPr>
              <w:pStyle w:val="Compact"/>
            </w:pPr>
            <w:r>
              <w:rPr>
                <w:b/>
                <w:bCs/>
              </w:rPr>
              <w:t xml:space="preserve">SVM (SGD)</w:t>
            </w:r>
          </w:p>
        </w:tc>
        <w:tc>
          <w:tcPr/>
          <w:p>
            <w:pPr>
              <w:pStyle w:val="Compact"/>
              <w:jc w:val="right"/>
            </w:pPr>
            <w:r>
              <w:t xml:space="preserve">0.816</w:t>
            </w:r>
          </w:p>
        </w:tc>
        <w:tc>
          <w:tcPr/>
          <w:p>
            <w:pPr>
              <w:pStyle w:val="Compact"/>
              <w:jc w:val="right"/>
            </w:pPr>
            <w:r>
              <w:t xml:space="preserve">0.652</w:t>
            </w:r>
          </w:p>
        </w:tc>
        <w:tc>
          <w:tcPr/>
          <w:p>
            <w:pPr>
              <w:pStyle w:val="Compact"/>
              <w:jc w:val="right"/>
            </w:pPr>
            <w:r>
              <w:t xml:space="preserve">6.07×</w:t>
            </w:r>
          </w:p>
        </w:tc>
        <w:tc>
          <w:tcPr/>
          <w:p>
            <w:pPr>
              <w:pStyle w:val="Compact"/>
              <w:jc w:val="right"/>
            </w:pPr>
            <w:r>
              <w:t xml:space="preserve">20.1 GB</w:t>
            </w:r>
          </w:p>
        </w:tc>
      </w:tr>
      <w:tr>
        <w:tc>
          <w:tcPr/>
          <w:p>
            <w:pPr>
              <w:pStyle w:val="Compact"/>
            </w:pPr>
            <w:r>
              <w:t xml:space="preserve">logistic_regression</w:t>
            </w:r>
          </w:p>
        </w:tc>
        <w:tc>
          <w:tcPr/>
          <w:p>
            <w:pPr>
              <w:pStyle w:val="Compact"/>
              <w:jc w:val="right"/>
            </w:pPr>
            <w:r>
              <w:t xml:space="preserve">0.813</w:t>
            </w:r>
          </w:p>
        </w:tc>
        <w:tc>
          <w:tcPr/>
          <w:p>
            <w:pPr>
              <w:pStyle w:val="Compact"/>
              <w:jc w:val="right"/>
            </w:pPr>
            <w:r>
              <w:rPr>
                <w:b/>
                <w:bCs/>
              </w:rPr>
              <w:t xml:space="preserve">0.689</w:t>
            </w:r>
          </w:p>
        </w:tc>
        <w:tc>
          <w:tcPr/>
          <w:p>
            <w:pPr>
              <w:pStyle w:val="Compact"/>
              <w:jc w:val="right"/>
            </w:pPr>
            <w:r>
              <w:rPr>
                <w:b/>
                <w:bCs/>
              </w:rPr>
              <w:t xml:space="preserve">0.18×</w:t>
            </w:r>
          </w:p>
        </w:tc>
        <w:tc>
          <w:tcPr/>
          <w:p>
            <w:pPr>
              <w:pStyle w:val="Compact"/>
              <w:jc w:val="right"/>
            </w:pPr>
            <w:r>
              <w:t xml:space="preserve">20.0 GB</w:t>
            </w:r>
          </w:p>
        </w:tc>
      </w:tr>
      <w:tr>
        <w:tc>
          <w:tcPr/>
          <w:p>
            <w:pPr>
              <w:pStyle w:val="Compact"/>
            </w:pPr>
            <w:r>
              <w:rPr>
                <w:b/>
                <w:bCs/>
              </w:rPr>
              <w:t xml:space="preserve">CellTypist</w:t>
            </w:r>
          </w:p>
        </w:tc>
        <w:tc>
          <w:tcPr/>
          <w:p>
            <w:pPr>
              <w:pStyle w:val="Compact"/>
              <w:jc w:val="right"/>
            </w:pPr>
            <w:r>
              <w:t xml:space="preserve">0.810</w:t>
            </w:r>
          </w:p>
        </w:tc>
        <w:tc>
          <w:tcPr/>
          <w:p>
            <w:pPr>
              <w:pStyle w:val="Compact"/>
              <w:jc w:val="right"/>
            </w:pPr>
            <w:r>
              <w:t xml:space="preserve">0.643</w:t>
            </w:r>
          </w:p>
        </w:tc>
        <w:tc>
          <w:tcPr/>
          <w:p>
            <w:pPr>
              <w:pStyle w:val="Compact"/>
              <w:jc w:val="right"/>
            </w:pPr>
            <w:r>
              <w:t xml:space="preserve">7.62×</w:t>
            </w:r>
          </w:p>
        </w:tc>
        <w:tc>
          <w:tcPr/>
          <w:p>
            <w:pPr>
              <w:pStyle w:val="Compact"/>
              <w:jc w:val="right"/>
            </w:pPr>
            <w:r>
              <w:t xml:space="preserve">20.1 GB</w:t>
            </w:r>
          </w:p>
        </w:tc>
      </w:tr>
      <w:tr>
        <w:tc>
          <w:tcPr/>
          <w:p>
            <w:pPr>
              <w:pStyle w:val="Compact"/>
            </w:pPr>
            <w:r>
              <w:t xml:space="preserve">knn</w:t>
            </w:r>
          </w:p>
        </w:tc>
        <w:tc>
          <w:tcPr/>
          <w:p>
            <w:pPr>
              <w:pStyle w:val="Compact"/>
              <w:jc w:val="right"/>
            </w:pPr>
            <w:r>
              <w:t xml:space="preserve">0.793</w:t>
            </w:r>
          </w:p>
        </w:tc>
        <w:tc>
          <w:tcPr/>
          <w:p>
            <w:pPr>
              <w:pStyle w:val="Compact"/>
              <w:jc w:val="right"/>
            </w:pPr>
            <w:r>
              <w:t xml:space="preserve">0.648</w:t>
            </w:r>
          </w:p>
        </w:tc>
        <w:tc>
          <w:tcPr/>
          <w:p>
            <w:pPr>
              <w:pStyle w:val="Compact"/>
              <w:jc w:val="right"/>
            </w:pPr>
            <w:r>
              <w:rPr>
                <w:b/>
                <w:bCs/>
              </w:rPr>
              <w:t xml:space="preserve">0.07×</w:t>
            </w:r>
          </w:p>
        </w:tc>
        <w:tc>
          <w:tcPr/>
          <w:p>
            <w:pPr>
              <w:pStyle w:val="Compact"/>
              <w:jc w:val="right"/>
            </w:pPr>
            <w:r>
              <w:t xml:space="preserve">19.5 GB</w:t>
            </w:r>
          </w:p>
        </w:tc>
      </w:tr>
      <w:tr>
        <w:tc>
          <w:tcPr/>
          <w:p>
            <w:pPr>
              <w:pStyle w:val="Compact"/>
            </w:pPr>
            <w:r>
              <w:t xml:space="preserve">xgboost</w:t>
            </w:r>
          </w:p>
        </w:tc>
        <w:tc>
          <w:tcPr/>
          <w:p>
            <w:pPr>
              <w:pStyle w:val="Compact"/>
              <w:jc w:val="right"/>
            </w:pPr>
            <w:r>
              <w:t xml:space="preserve">0.791</w:t>
            </w:r>
          </w:p>
        </w:tc>
        <w:tc>
          <w:tcPr/>
          <w:p>
            <w:pPr>
              <w:pStyle w:val="Compact"/>
              <w:jc w:val="right"/>
            </w:pPr>
            <w:r>
              <w:t xml:space="preserve">0.614</w:t>
            </w:r>
          </w:p>
        </w:tc>
        <w:tc>
          <w:tcPr/>
          <w:p>
            <w:pPr>
              <w:pStyle w:val="Compact"/>
              <w:jc w:val="right"/>
            </w:pPr>
            <w:r>
              <w:t xml:space="preserve">5.48×</w:t>
            </w:r>
          </w:p>
        </w:tc>
        <w:tc>
          <w:tcPr/>
          <w:p>
            <w:pPr>
              <w:pStyle w:val="Compact"/>
              <w:jc w:val="right"/>
            </w:pPr>
            <w:r>
              <w:t xml:space="preserve">80.7 GB</w:t>
            </w:r>
          </w:p>
        </w:tc>
      </w:tr>
      <w:tr>
        <w:tc>
          <w:tcPr/>
          <w:p>
            <w:pPr>
              <w:pStyle w:val="Compact"/>
            </w:pPr>
            <w:r>
              <w:t xml:space="preserve">cellmapper_linear</w:t>
            </w:r>
          </w:p>
        </w:tc>
        <w:tc>
          <w:tcPr/>
          <w:p>
            <w:pPr>
              <w:pStyle w:val="Compact"/>
              <w:jc w:val="right"/>
            </w:pPr>
            <w:r>
              <w:t xml:space="preserve">0.776</w:t>
            </w:r>
          </w:p>
        </w:tc>
        <w:tc>
          <w:tcPr/>
          <w:p>
            <w:pPr>
              <w:pStyle w:val="Compact"/>
              <w:jc w:val="right"/>
            </w:pPr>
            <w:r>
              <w:t xml:space="preserve">0.553</w:t>
            </w:r>
          </w:p>
        </w:tc>
        <w:tc>
          <w:tcPr/>
          <w:p>
            <w:pPr>
              <w:pStyle w:val="Compact"/>
              <w:jc w:val="right"/>
            </w:pPr>
            <w:r>
              <w:t xml:space="preserve">0.35×</w:t>
            </w:r>
          </w:p>
        </w:tc>
        <w:tc>
          <w:tcPr/>
          <w:p>
            <w:pPr>
              <w:pStyle w:val="Compact"/>
              <w:jc w:val="right"/>
            </w:pPr>
            <w:r>
              <w:t xml:space="preserve">31.5 GB</w:t>
            </w:r>
          </w:p>
        </w:tc>
      </w:tr>
      <w:tr>
        <w:tc>
          <w:tcPr/>
          <w:p>
            <w:pPr>
              <w:pStyle w:val="Compact"/>
            </w:pPr>
            <w:r>
              <w:t xml:space="preserve">naive_bayes</w:t>
            </w:r>
          </w:p>
        </w:tc>
        <w:tc>
          <w:tcPr/>
          <w:p>
            <w:pPr>
              <w:pStyle w:val="Compact"/>
              <w:jc w:val="right"/>
            </w:pPr>
            <w:r>
              <w:t xml:space="preserve">0.738</w:t>
            </w:r>
          </w:p>
        </w:tc>
        <w:tc>
          <w:tcPr/>
          <w:p>
            <w:pPr>
              <w:pStyle w:val="Compact"/>
              <w:jc w:val="right"/>
            </w:pPr>
            <w:r>
              <w:t xml:space="preserve">0.613</w:t>
            </w:r>
          </w:p>
        </w:tc>
        <w:tc>
          <w:tcPr/>
          <w:p>
            <w:pPr>
              <w:pStyle w:val="Compact"/>
              <w:jc w:val="right"/>
            </w:pPr>
            <w:r>
              <w:t xml:space="preserve">0.19×</w:t>
            </w:r>
          </w:p>
        </w:tc>
        <w:tc>
          <w:tcPr/>
          <w:p>
            <w:pPr>
              <w:pStyle w:val="Compact"/>
              <w:jc w:val="right"/>
            </w:pPr>
            <w:r>
              <w:t xml:space="preserve">19.5 GB</w:t>
            </w:r>
          </w:p>
        </w:tc>
      </w:tr>
      <w:tr>
        <w:tc>
          <w:tcPr/>
          <w:p>
            <w:pPr>
              <w:pStyle w:val="Compact"/>
            </w:pPr>
            <w:r>
              <w:rPr>
                <w:b/>
                <w:bCs/>
              </w:rP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rPr>
                <w:b/>
                <w:bCs/>
              </w:rPr>
              <w:t xml:space="preserve">0.16×</w:t>
            </w:r>
          </w:p>
        </w:tc>
        <w:tc>
          <w:tcPr/>
          <w:p>
            <w:pPr>
              <w:pStyle w:val="Compact"/>
              <w:jc w:val="right"/>
            </w:pPr>
            <w:r>
              <w:t xml:space="preserve">20.4 GB</w:t>
            </w:r>
          </w:p>
        </w:tc>
      </w:tr>
    </w:tbl>
    <w:p>
      <w:pPr>
        <w:pStyle w:val="BodyText"/>
      </w:pPr>
      <w:r>
        <w:rPr>
          <w:b/>
          <w:bCs/>
        </w:rPr>
        <w:t xml:space="preserve">Table 9.</w:t>
      </w:r>
      <w:r>
        <w:t xml:space="preserve"> </w:t>
      </w:r>
      <w:r>
        <w:t xml:space="preserve">All eleven methods on the six Open Problems datasets, ordered by accuracy. Bold</w:t>
      </w:r>
      <w:r>
        <w:t xml:space="preserve"> </w:t>
      </w:r>
      <w:r>
        <w:t xml:space="preserve">marks the five components we contributed.</w:t>
      </w:r>
      <w:r>
        <w:t xml:space="preserve"> </w:t>
      </w:r>
      <w:r>
        <w:rPr>
          <w:i/>
          <w:iCs/>
        </w:rPr>
        <w:t xml:space="preserve">cost</w:t>
      </w:r>
      <w:r>
        <w:t xml:space="preserve"> </w:t>
      </w:r>
      <w:r>
        <w:t xml:space="preserve">is per-dataset wall-clock relative to</w:t>
      </w:r>
      <w:r>
        <w:t xml:space="preserve"> </w:t>
      </w:r>
      <w:r>
        <w:t xml:space="preserve">actinn-jax (§2.10), for which 1.00× is roughly two minutes.</w:t>
      </w:r>
    </w:p>
    <w:p>
      <w:pPr>
        <w:pStyle w:val="BodyText"/>
      </w:pPr>
      <w:r>
        <w:t xml:space="preserve">actinn-jax</w:t>
      </w:r>
      <w:r>
        <w:t xml:space="preserve"> </w:t>
      </w:r>
      <w:r>
        <w:rPr>
          <w:b/>
          <w:bCs/>
        </w:rPr>
        <w:t xml:space="preserve">matches its</w:t>
      </w:r>
      <w:r>
        <w:rPr>
          <w:b/>
          <w:bCs/>
        </w:rPr>
        <w:t xml:space="preserve"> </w:t>
      </w:r>
      <w:r>
        <w:rPr>
          <w:rStyle w:val="VerbatimChar"/>
          <w:b/>
          <w:bCs/>
        </w:rPr>
        <w:t xml:space="preserve">mlp</w:t>
      </w:r>
      <w:r>
        <w:rPr>
          <w:b/>
          <w:bCs/>
        </w:rPr>
        <w:t xml:space="preserve"> </w:t>
      </w:r>
      <w:r>
        <w:rPr>
          <w:b/>
          <w:bCs/>
        </w:rPr>
        <w:t xml:space="preserve">sibling on accuracy at half the cost</w:t>
      </w:r>
      <w:r>
        <w:t xml:space="preserve">, and</w:t>
      </w:r>
      <w:r>
        <w:t xml:space="preserve"> </w:t>
      </w:r>
      <w:r>
        <w:rPr>
          <w:b/>
          <w:bCs/>
        </w:rPr>
        <w:t xml:space="preserve">beats xgboost on</w:t>
      </w:r>
      <w:r>
        <w:rPr>
          <w:b/>
          <w:bCs/>
        </w:rPr>
        <w:t xml:space="preserve"> </w:t>
      </w:r>
      <w:r>
        <w:rPr>
          <w:b/>
          <w:bCs/>
        </w:rPr>
        <w:t xml:space="preserve">accuracy at 5.5× less runtime and 4× less memory</w:t>
      </w:r>
      <w:r>
        <w:t xml:space="preserve"> </w:t>
      </w:r>
      <w:r>
        <w:t xml:space="preserve">(21 vs 81 GB). Everything cheaper — knn,</w:t>
      </w:r>
      <w:r>
        <w:t xml:space="preserve"> </w:t>
      </w:r>
      <w:r>
        <w:t xml:space="preserve">logistic_regression, naive_bayes, scTOP — is less accurate, and the one heavyweight is slower</w:t>
      </w:r>
      <w:r>
        <w:t xml:space="preserve"> </w:t>
      </w:r>
      <w:r>
        <w:t xml:space="preserve">and heavier. Nothing here beats it on accuracy and cost together.</w:t>
      </w:r>
    </w:p>
    <w:p>
      <w:pPr>
        <w:pStyle w:val="BodyText"/>
      </w:pPr>
      <w:r>
        <w:rPr>
          <w:b/>
          <w:bCs/>
        </w:rPr>
        <w:t xml:space="preserve">The tuned linear pipeline loses its §3.1 advantage on both axes.</w:t>
      </w:r>
      <w:r>
        <w:t xml:space="preserve"> </w:t>
      </w:r>
      <w:r>
        <w:t xml:space="preserve">It places third on</w:t>
      </w:r>
      <w:r>
        <w:t xml:space="preserve"> </w:t>
      </w:r>
      <w:r>
        <w:t xml:space="preserve">accuracy (0.828, behind</w:t>
      </w:r>
      <w:r>
        <w:t xml:space="preserve"> </w:t>
      </w:r>
      <w:r>
        <w:rPr>
          <w:rStyle w:val="VerbatimChar"/>
        </w:rPr>
        <w:t xml:space="preserve">mlp</w:t>
      </w:r>
      <w:r>
        <w:t xml:space="preserve"> </w:t>
      </w:r>
      <w:r>
        <w:t xml:space="preserve">and actinn-jax), and where it fits 7×</w:t>
      </w:r>
      <w:r>
        <w:t xml:space="preserve"> </w:t>
      </w:r>
      <w:r>
        <w:rPr>
          <w:i/>
          <w:iCs/>
        </w:rPr>
        <w:t xml:space="preserve">faster</w:t>
      </w:r>
      <w:r>
        <w:t xml:space="preserve"> </w:t>
      </w:r>
      <w:r>
        <w:t xml:space="preserve">than actinn-jax</w:t>
      </w:r>
      <w:r>
        <w:t xml:space="preserve"> </w:t>
      </w:r>
      <w:r>
        <w:t xml:space="preserve">on the in-house panel it costs</w:t>
      </w:r>
      <w:r>
        <w:t xml:space="preserve"> </w:t>
      </w:r>
      <w:r>
        <w:rPr>
          <w:b/>
          <w:bCs/>
        </w:rPr>
        <w:t xml:space="preserve">2.7× more</w:t>
      </w:r>
      <w:r>
        <w:t xml:space="preserve"> </w:t>
      </w:r>
      <w:r>
        <w:t xml:space="preserve">here. The input budget explains the reversal: OP</w:t>
      </w:r>
      <w:r>
        <w:t xml:space="preserve"> </w:t>
      </w:r>
      <w:r>
        <w:t xml:space="preserve">hands every method 1,000 HVGs, and an ANOVA→PCA→logistic pipeline pays for the decomposition</w:t>
      </w:r>
      <w:r>
        <w:t xml:space="preserve"> </w:t>
      </w:r>
      <w:r>
        <w:t xml:space="preserve">on every query while a gene-space MLP amortizes it into one fit. CellTypist (7.6×) and the</w:t>
      </w:r>
      <w:r>
        <w:t xml:space="preserve"> </w:t>
      </w:r>
      <w:r>
        <w:t xml:space="preserve">SGD-SVM (6.1×) shift the same way. Neither a cost ranking nor an accuracy ranking survives a</w:t>
      </w:r>
      <w:r>
        <w:t xml:space="preserve"> </w:t>
      </w:r>
      <w:r>
        <w:t xml:space="preserve">change of feature budget — which is why we report both panels rather than picking</w:t>
      </w:r>
      <w:r>
        <w:t xml:space="preserve"> </w:t>
      </w:r>
      <w:r>
        <w:t xml:space="preserve">one.</w:t>
      </w:r>
    </w:p>
    <w:p>
      <w:pPr>
        <w:pStyle w:val="BodyText"/>
      </w:pPr>
      <w:r>
        <w:rPr>
          <w:rStyle w:val="VerbatimChar"/>
        </w:rPr>
        <w:t xml:space="preserve">logistic_regression</w:t>
      </w:r>
      <w:r>
        <w:t xml:space="preserve"> </w:t>
      </w:r>
      <w:r>
        <w:t xml:space="preserve">places fifth on accuracy but first on macro-F1 (0.689), at the</w:t>
      </w:r>
      <w:r>
        <w:t xml:space="preserve"> </w:t>
      </w:r>
      <w:r>
        <w:t xml:space="preserve">second-lowest cost. Across datasets spanning 13 to 160 cell types, accuracy</w:t>
      </w:r>
      <w:r>
        <w:t xml:space="preserve"> </w:t>
      </w:r>
      <w:r>
        <w:t xml:space="preserve">and macro-F1 do not order the panel the same way.</w:t>
      </w:r>
    </w:p>
    <w:p>
      <w:pPr>
        <w:pStyle w:val="BodyText"/>
      </w:pPr>
      <w:r>
        <w:rPr>
          <w:b/>
          <w:bCs/>
        </w:rPr>
        <w:t xml:space="preserve">scTOP collapses on two of the six and is weak on a third.</w:t>
      </w:r>
      <w:r>
        <w:t xml:space="preserve"> </w:t>
      </w:r>
      <w:r>
        <w:t xml:space="preserve">Its mean (0.581) is not a</w:t>
      </w:r>
      <w:r>
        <w:t xml:space="preserve"> </w:t>
      </w:r>
      <w:r>
        <w:t xml:space="preserve">uniformly weak result but 0.042 on tabula_sapiens, 0.124 on gtex_v9 and 0.495 on</w:t>
      </w:r>
      <w:r>
        <w:t xml:space="preserve"> </w:t>
      </w:r>
      <w:r>
        <w:t xml:space="preserve">immune_cell_atlas against 0.90–0.99 on the other three. Open Problems hands every method 1,000</w:t>
      </w:r>
      <w:r>
        <w:t xml:space="preserve"> </w:t>
      </w:r>
      <w:r>
        <w:t xml:space="preserve">HVGs, and scTOP’s rank projection needs genes expressed in an appreciable fraction of cells;</w:t>
      </w:r>
      <w:r>
        <w:t xml:space="preserve"> </w:t>
      </w:r>
      <w:r>
        <w:t xml:space="preserve">after its expression filter only</w:t>
      </w:r>
      <w:r>
        <w:t xml:space="preserve"> </w:t>
      </w:r>
      <w:r>
        <w:rPr>
          <w:b/>
          <w:bCs/>
        </w:rPr>
        <w:t xml:space="preserve">106 of 1,000</w:t>
      </w:r>
      <w:r>
        <w:t xml:space="preserve"> </w:t>
      </w:r>
      <w:r>
        <w:t xml:space="preserve">genes survive on gtex_v9 and 210 on</w:t>
      </w:r>
      <w:r>
        <w:t xml:space="preserve"> </w:t>
      </w:r>
      <w:r>
        <w:t xml:space="preserve">tabula_sapiens, against 306–405 where it works. At that point some test cells retain no</w:t>
      </w:r>
      <w:r>
        <w:t xml:space="preserve"> </w:t>
      </w:r>
      <w:r>
        <w:t xml:space="preserve">counts at all — 185 of 11,508 on gtex_v9 — and cannot be placed; they are scored as wrong</w:t>
      </w:r>
      <w:r>
        <w:t xml:space="preserve"> </w:t>
      </w:r>
      <w:r>
        <w:t xml:space="preserve">rather than dropped, so 0.124 is a floor. This is the same limitation §3.1 reports from the</w:t>
      </w:r>
      <w:r>
        <w:t xml:space="preserve"> </w:t>
      </w:r>
      <w:r>
        <w:t xml:space="preserve">other direction: scTOP is built for small, low-cardinality problems, and a fixed 1,000-HVG</w:t>
      </w:r>
      <w:r>
        <w:t xml:space="preserve"> </w:t>
      </w:r>
      <w:r>
        <w:t xml:space="preserve">budget over 53 and 160 types is neither.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off by default</w:t>
      </w:r>
      <w:r>
        <w:t xml:space="preserve"> </w:t>
      </w:r>
      <w:r>
        <w:t xml:space="preserve">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starves a gene-space MLP more</w:t>
      </w:r>
      <w:r>
        <w:t xml:space="preserve"> </w:t>
      </w:r>
      <w:r>
        <w:t xml:space="preserve">than it starves the others.</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(Figure 7). The budget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(Figure 8)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BodyText"/>
      </w:pPr>
      <w:r>
        <w:drawing>
          <wp:inline>
            <wp:extent cx="5334000" cy="2139510"/>
            <wp:effectExtent b="0" l="0" r="0" t="0"/>
            <wp:docPr descr="gene budget curve" title="" id="74" name="Picture"/>
            <a:graphic>
              <a:graphicData uri="http://schemas.openxmlformats.org/drawingml/2006/picture">
                <pic:pic>
                  <pic:nvPicPr>
                    <pic:cNvPr descr="/Users/iandriver/Downloads/actinn-jax-benchmark/docs/figures/gene_budget_curve.png" id="75" name="Picture"/>
                    <pic:cNvPicPr>
                      <a:picLocks noChangeArrowheads="1" noChangeAspect="1"/>
                    </pic:cNvPicPr>
                  </pic:nvPicPr>
                  <pic:blipFill>
                    <a:blip r:embed="rId73"/>
                    <a:stretch>
                      <a:fillRect/>
                    </a:stretch>
                  </pic:blipFill>
                  <pic:spPr bwMode="auto">
                    <a:xfrm>
                      <a:off x="0" y="0"/>
                      <a:ext cx="5334000" cy="2139510"/>
                    </a:xfrm>
                    <a:prstGeom prst="rect">
                      <a:avLst/>
                    </a:prstGeom>
                    <a:noFill/>
                    <a:ln w="9525">
                      <a:noFill/>
                      <a:headEnd/>
                      <a:tailEnd/>
                    </a:ln>
                  </pic:spPr>
                </pic:pic>
              </a:graphicData>
            </a:graphic>
          </wp:inline>
        </w:drawing>
      </w:r>
    </w:p>
    <w:p>
      <w:pPr>
        <w:pStyle w:val="BodyText"/>
      </w:pPr>
      <w:r>
        <w:rPr>
          <w:b/>
          <w:bCs/>
        </w:rPr>
        <w:t xml:space="preserve">Figure 7.</w:t>
      </w:r>
      <w:r>
        <w:t xml:space="preserve"> </w:t>
      </w:r>
      <w:r>
        <w:t xml:space="preserve">actinn-jax accuracy and macro-F1 against input gene budget across all six Open</w:t>
      </w:r>
      <w:r>
        <w:t xml:space="preserve"> </w:t>
      </w:r>
      <w:r>
        <w:t xml:space="preserve">Problems datasets. More genes help most datasets but regress the fine-grained,</w:t>
      </w:r>
      <w:r>
        <w:t xml:space="preserve"> </w:t>
      </w:r>
      <w:r>
        <w:t xml:space="preserve">domain-shifted tabula_sapiens.</w:t>
      </w:r>
    </w:p>
    <w:p>
      <w:pPr>
        <w:pStyle w:val="BodyText"/>
      </w:pPr>
      <w:r>
        <w:drawing>
          <wp:inline>
            <wp:extent cx="5334000" cy="2293972"/>
            <wp:effectExtent b="0" l="0" r="0" t="0"/>
            <wp:docPr descr="gene budget signals" title="" id="77" name="Picture"/>
            <a:graphic>
              <a:graphicData uri="http://schemas.openxmlformats.org/drawingml/2006/picture">
                <pic:pic>
                  <pic:nvPicPr>
                    <pic:cNvPr descr="/Users/iandriver/Downloads/actinn-jax-benchmark/docs/figures/gene_budget_signals.png" id="78" name="Picture"/>
                    <pic:cNvPicPr>
                      <a:picLocks noChangeArrowheads="1" noChangeAspect="1"/>
                    </pic:cNvPicPr>
                  </pic:nvPicPr>
                  <pic:blipFill>
                    <a:blip r:embed="rId76"/>
                    <a:stretch>
                      <a:fillRect/>
                    </a:stretch>
                  </pic:blipFill>
                  <pic:spPr bwMode="auto">
                    <a:xfrm>
                      <a:off x="0" y="0"/>
                      <a:ext cx="5334000" cy="2293972"/>
                    </a:xfrm>
                    <a:prstGeom prst="rect">
                      <a:avLst/>
                    </a:prstGeom>
                    <a:noFill/>
                    <a:ln w="9525">
                      <a:noFill/>
                      <a:headEnd/>
                      <a:tailEnd/>
                    </a:ln>
                  </pic:spPr>
                </pic:pic>
              </a:graphicData>
            </a:graphic>
          </wp:inline>
        </w:drawing>
      </w:r>
    </w:p>
    <w:p>
      <w:pPr>
        <w:pStyle w:val="BodyText"/>
      </w:pPr>
      <w:r>
        <w:rPr>
          <w:b/>
          <w:bCs/>
        </w:rPr>
        <w:t xml:space="preserve">Figure 8.</w:t>
      </w:r>
      <w:r>
        <w:t xml:space="preserve"> </w:t>
      </w:r>
      <w:r>
        <w:t xml:space="preserve">Label-free signals for setting the gene budget without test labels. Held-out</w:t>
      </w:r>
      <w:r>
        <w:t xml:space="preserve"> </w:t>
      </w:r>
      <w:r>
        <w:t xml:space="preserve">reference cross-validation and query-cells-per-class both single out tabula_sapiens, the one</w:t>
      </w:r>
      <w:r>
        <w:t xml:space="preserve"> </w:t>
      </w:r>
      <w:r>
        <w:t xml:space="preserve">dataset where more genes hurt.</w:t>
      </w:r>
    </w:p>
    <w:bookmarkEnd w:id="79"/>
    <w:bookmarkEnd w:id="80"/>
    <w:bookmarkStart w:id="82"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four leading methods are</w:t>
      </w:r>
      <w:r>
        <w:t xml:space="preserve"> </w:t>
      </w:r>
      <w:r>
        <w:t xml:space="preserve">separated by 0.008 in mean accuracy and by ~260× in predict time (§3.1),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3.0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(§3.3) — so a query costs the same against a 1k-cell reference and a 49k-cell</w:t>
      </w:r>
      <w:r>
        <w:t xml:space="preserve"> </w:t>
      </w:r>
      <w:r>
        <w:t xml:space="preserve">one. Peak memory is unremarkable on small references (2.4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broad→focused</w:t>
      </w:r>
      <w:r>
        <w:t xml:space="preserve"> </w:t>
      </w:r>
      <w:r>
        <w:t xml:space="preserve">pipeline (§3.4):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stage.</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Much of what looked like a deficit of the</w:t>
      </w:r>
      <w:r>
        <w:t xml:space="preserve"> </w:t>
      </w:r>
      <w:r>
        <w:rPr>
          <w:i/>
          <w:iCs/>
        </w:rPr>
        <w:t xml:space="preserve">model</w:t>
      </w:r>
      <w:r>
        <w:t xml:space="preserve"> </w:t>
      </w:r>
      <w:r>
        <w:t xml:space="preserve">on Open Problems</w:t>
      </w:r>
      <w:r>
        <w:t xml:space="preserve"> </w:t>
      </w:r>
      <w:r>
        <w:t xml:space="preserve">was a deficit of its</w:t>
      </w:r>
      <w:r>
        <w:t xml:space="preserve"> </w:t>
      </w:r>
      <w:r>
        <w:rPr>
          <w:b/>
          <w:bCs/>
        </w:rPr>
        <w:t xml:space="preserve">input</w:t>
      </w:r>
      <w:r>
        <w:t xml:space="preserve">. The benchmark hands every method 1,000 highly variable genes,</w:t>
      </w:r>
      <w:r>
        <w:t xml:space="preserve"> </w:t>
      </w:r>
      <w:r>
        <w:t xml:space="preserve">a far harsher constraint on a model reading gene space directly than on one that learns a</w:t>
      </w:r>
      <w:r>
        <w:t xml:space="preserve"> </w:t>
      </w:r>
      <w:r>
        <w:t xml:space="preserve">compressed representation first, and at a fair gene budget the gene-space MLP</w:t>
      </w:r>
      <w:r>
        <w:t xml:space="preserve"> </w:t>
      </w:r>
      <w:r>
        <w:rPr>
          <w:i/>
          <w:iCs/>
        </w:rPr>
        <w:t xml:space="preserve">matches the</w:t>
      </w:r>
      <w:r>
        <w:rPr>
          <w:i/>
          <w:iCs/>
        </w:rPr>
        <w:t xml:space="preserve"> </w:t>
      </w:r>
      <w:r>
        <w:rPr>
          <w:i/>
          <w:iCs/>
        </w:rPr>
        <w:t xml:space="preserve">leaderboard’s top method</w:t>
      </w:r>
      <w:r>
        <w:t xml:space="preserve"> </w:t>
      </w:r>
      <w:r>
        <w:t xml:space="preserve">on the datasets both complete. Widen the gene panel and most of the</w:t>
      </w:r>
      <w:r>
        <w:t xml:space="preserve"> </w:t>
      </w:r>
      <w:r>
        <w:t xml:space="preserve">gap closes, so the quantity being measured was partly</w:t>
      </w:r>
      <w:r>
        <w:t xml:space="preserve"> </w:t>
      </w:r>
      <w:r>
        <w:t xml:space="preserve">“how well does each method tolerate a</w:t>
      </w:r>
      <w:r>
        <w:t xml:space="preserve"> </w:t>
      </w:r>
      <w:r>
        <w:t xml:space="preserve">narrow input”</w:t>
      </w:r>
      <w:r>
        <w:t xml:space="preserve">, not</w:t>
      </w:r>
      <w:r>
        <w:t xml:space="preserve"> </w:t>
      </w:r>
      <w:r>
        <w:t xml:space="preserve">“which model class is stronger”</w:t>
      </w:r>
      <w:r>
        <w:t xml:space="preserve">.</w:t>
      </w:r>
    </w:p>
    <w:p>
      <w:pPr>
        <w:pStyle w:val="BodyText"/>
      </w:pPr>
      <w:r>
        <w:t xml:space="preserve">The genuine weaknesses are narrower. actinn-jax trails on small references and</w:t>
      </w:r>
      <w:r>
        <w:t xml:space="preserve"> </w:t>
      </w:r>
      <w:r>
        <w:t xml:space="preserve">very-few-cells-per-type sets (§3.1, §5), and it is sensitive to input budget under domain</w:t>
      </w:r>
      <w:r>
        <w:t xml:space="preserve"> </w:t>
      </w:r>
      <w:r>
        <w:t xml:space="preserve">shift: more genes help most datasets but overfit a tiny, fine-grained, shifted query</w:t>
      </w:r>
      <w:r>
        <w:t xml:space="preserve"> </w:t>
      </w:r>
      <w:r>
        <w:t xml:space="preserve">(tabula_sapiens). The two cheapest levers are principled and label-free —</w:t>
      </w:r>
      <w:r>
        <w:t xml:space="preserve"> </w:t>
      </w:r>
      <w:r>
        <w:rPr>
          <w:b/>
          <w:bCs/>
        </w:rPr>
        <w:t xml:space="preserve">standardization</w:t>
      </w:r>
      <w:r>
        <w:t xml:space="preserve"> </w:t>
      </w:r>
      <w:r>
        <w:t xml:space="preserve">(a scArches-style domain alignment) and a</w:t>
      </w:r>
      <w:r>
        <w:t xml:space="preserve"> </w:t>
      </w:r>
      <w:r>
        <w:rPr>
          <w:b/>
          <w:bCs/>
        </w:rPr>
        <w:t xml:space="preserve">gene budget chosen by cross-validation on the</w:t>
      </w:r>
      <w:r>
        <w:rPr>
          <w:b/>
          <w:bCs/>
        </w:rPr>
        <w:t xml:space="preserve"> </w:t>
      </w:r>
      <w:r>
        <w:rPr>
          <w:b/>
          <w:bCs/>
        </w:rPr>
        <w:t xml:space="preserve">reference alone</w:t>
      </w:r>
      <w:r>
        <w:t xml:space="preserve"> </w:t>
      </w:r>
      <w:r>
        <w:t xml:space="preserve">— and neither peeks at test labels.</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(§3.7),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Their</w:t>
      </w:r>
      <w:r>
        <w:t xml:space="preserve"> </w:t>
      </w:r>
      <w:r>
        <w:t xml:space="preserve">7M-parameter supervised hierarchical MLP over a 5,055-gene panel yields cleaner annotations</w:t>
      </w:r>
      <w:r>
        <w:t xml:space="preserve"> </w:t>
      </w:r>
      <w:r>
        <w:t xml:space="preserve">than scGPT and SCimilarity; they report those models’ labels as fragmented and</w:t>
      </w:r>
      <w:r>
        <w:t xml:space="preserve"> </w:t>
      </w:r>
      <w:r>
        <w:t xml:space="preserve">mis-transferred. Their stated theme — that training-data quality and organization matter as</w:t>
      </w:r>
      <w:r>
        <w:t xml:space="preserve"> </w:t>
      </w:r>
      <w:r>
        <w:t xml:space="preserve">much as architecture or scale — is one of the two claims we draw here, and their finding that</w:t>
      </w:r>
      <w:r>
        <w:t xml:space="preserve"> </w:t>
      </w:r>
      <w:r>
        <w:t xml:space="preserve">accuracy</w:t>
      </w:r>
      <w:r>
        <w:t xml:space="preserve"> </w:t>
      </w:r>
      <w:r>
        <w:rPr>
          <w:b/>
          <w:bCs/>
        </w:rPr>
        <w:t xml:space="preserve">saturates past ~5M training cells</w:t>
      </w:r>
      <w:r>
        <w:t xml:space="preserve"> </w:t>
      </w:r>
      <w:r>
        <w:t xml:space="preserve">supports it further. The other claim, that</w:t>
      </w:r>
      <w:r>
        <w:t xml:space="preserve"> </w:t>
      </w:r>
      <w:r>
        <w:t xml:space="preserve">zero-shot foundation-model labels are the weaker option, they reach independently. Both come</w:t>
      </w:r>
      <w:r>
        <w:t xml:space="preserve"> </w:t>
      </w:r>
      <w:r>
        <w:t xml:space="preserve">from a group with no stake in our conclusion.</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does not sit a fixed distance above or below us. Where it</w:t>
      </w:r>
      <w:r>
        <w:t xml:space="preserve"> </w:t>
      </w:r>
      <w:r>
        <w:t xml:space="preserve">lands depends on how much reference data it is given: below the top cluster on the subsampled</w:t>
      </w:r>
      <w:r>
        <w:t xml:space="preserve"> </w:t>
      </w:r>
      <w:r>
        <w:t xml:space="preserve">matrix, ahead on lung, and the strongest method of all at atlas scale (§3.1, §3.3), at ~8× actinn-jax’s CPU fit time (176 vs 22 s mean).</w:t>
      </w:r>
      <w:r>
        <w:t xml:space="preserve"> </w:t>
      </w:r>
      <w:r>
        <w:t xml:space="preserve">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w:t>
      </w:r>
      <w:r>
        <w:t xml:space="preserve"> </w:t>
      </w:r>
      <w:hyperlink r:id="rId81">
        <w:r>
          <w:rPr>
            <w:rStyle w:val="Hyperlink"/>
          </w:rPr>
          <w:t xml:space="preserve">[Souza &amp; Mehta 2026]</w:t>
        </w:r>
      </w:hyperlink>
      <w:r>
        <w:t xml:space="preserve"> </w:t>
      </w:r>
      <w:r>
        <w:t xml:space="preserve">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On</w:t>
      </w:r>
      <w:r>
        <w:t xml:space="preserve"> </w:t>
      </w:r>
      <w:r>
        <w:t xml:space="preserve">Tabula Sapiens 2.0 their normalize→ANOVA→PCA→logistic-regression pipeline reaches mean</w:t>
      </w:r>
      <w:r>
        <w:t xml:space="preserve"> </w:t>
      </w:r>
      <w:r>
        <w:t xml:space="preserve">macro-F1 0.899, against 0.907–0.910 for TranscriptFormer variants. Their explanation is</w:t>
      </w:r>
      <w:r>
        <w:t xml:space="preserve"> </w:t>
      </w:r>
      <w:r>
        <w:t xml:space="preserve">geometric: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the size of the input each method was given rather than the class of model</w:t>
      </w:r>
      <w:r>
        <w:t xml:space="preserve"> </w:t>
      </w:r>
      <w:r>
        <w:t xml:space="preserve">(§3.7). They</w:t>
      </w:r>
      <w:r>
        <w:t xml:space="preserve"> </w:t>
      </w:r>
      <w:r>
        <w:t xml:space="preserve">further find that simple methods hold</w:t>
      </w:r>
      <w:r>
        <w:t xml:space="preserve"> </w:t>
      </w:r>
      <w:r>
        <w:t xml:space="preserve">up</w:t>
      </w:r>
      <w:r>
        <w:t xml:space="preserve"> </w:t>
      </w:r>
      <w:r>
        <w:rPr>
          <w:i/>
          <w:iCs/>
        </w:rPr>
        <w:t xml:space="preserve">best</w:t>
      </w:r>
      <w:r>
        <w:t xml:space="preserve"> </w:t>
      </w:r>
      <w:r>
        <w:t xml:space="preserve">out-of-distribution — on novel cell types and unseen organisms. That matters for the</w:t>
      </w:r>
      <w:r>
        <w:t xml:space="preserve"> </w:t>
      </w:r>
      <w:r>
        <w:t xml:space="preserve">abstain mechanism of §3.5, which is only useful if low confidence tracks genuine novelty</w:t>
      </w:r>
      <w:r>
        <w:t xml:space="preserve"> </w:t>
      </w:r>
      <w:r>
        <w:t xml:space="preserve">rather than model noise. A method that degrades gradually on unfamiliar data still assigns</w:t>
      </w:r>
      <w:r>
        <w:t xml:space="preserve"> </w:t>
      </w:r>
      <w:r>
        <w:t xml:space="preserve">lower confidence to the cells it is getting wrong, so a threshold separates them; a method</w:t>
      </w:r>
      <w:r>
        <w:t xml:space="preserve"> </w:t>
      </w:r>
      <w:r>
        <w:t xml:space="preserve">that degrades abruptly can be confidently wrong, and no threshold helps.</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broad→focused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pass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an</w:t>
      </w:r>
      <w:r>
        <w:t xml:space="preserve"> </w:t>
      </w:r>
      <w:r>
        <w:rPr>
          <w:b/>
          <w:bCs/>
        </w:rPr>
        <w:t xml:space="preserve">expected</w:t>
      </w:r>
      <w:r>
        <w:rPr>
          <w:b/>
          <w:bCs/>
        </w:rPr>
        <w:t xml:space="preserve"> </w:t>
      </w:r>
      <w:r>
        <w:rPr>
          <w:b/>
          <w:bCs/>
        </w:rPr>
        <w:t xml:space="preserve">calibration error (ECE)</w:t>
      </w:r>
      <w:r>
        <w:t xml:space="preserve"> </w:t>
      </w:r>
      <w:r>
        <w:t xml:space="preserve">of 0.0044 — meaning its stated confidence sits within half a</w:t>
      </w:r>
      <w:r>
        <w:t xml:space="preserve"> </w:t>
      </w:r>
      <w:r>
        <w:t xml:space="preserve">percentage point of its observed accuracy —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broad-pass model of comparable accuracy at six to nine times its throughput, built</w:t>
      </w:r>
      <w:r>
        <w:t xml:space="preserve"> </w:t>
      </w:r>
      <w:r>
        <w:t xml:space="preserve">without a GPU and without labeled data (§3.4). A curated pan-human model is the right thing</w:t>
      </w:r>
      <w:r>
        <w:t xml:space="preserve"> </w:t>
      </w:r>
      <w:r>
        <w:t xml:space="preserve">to start from; a small fast model is the right thing to iterate with.</w:t>
      </w:r>
    </w:p>
    <w:p>
      <w:pPr>
        <w:pStyle w:val="BodyText"/>
      </w:pPr>
      <w:r>
        <w:t xml:space="preserve">What no fixed typology can do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broad-pass reference from a labeled census slice, as §3.4’s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the leading methods differ by at most 0.008 in accuracy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82"/>
    <w:bookmarkStart w:id="83" w:name="limitations"/>
    <w:p>
      <w:pPr>
        <w:pStyle w:val="Heading1"/>
      </w:pPr>
      <w:r>
        <w:t xml:space="preserve">Limitations</w:t>
      </w:r>
    </w:p>
    <w:p>
      <w:pPr>
        <w:pStyle w:val="Compact"/>
        <w:numPr>
          <w:ilvl w:val="0"/>
          <w:numId w:val="1007"/>
        </w:numPr>
      </w:pPr>
      <w:r>
        <w:t xml:space="preserve">Single hardware family for the in-house panel (Apple Silicon); no discrete-GPU numbers</w:t>
      </w:r>
      <w:r>
        <w:t xml:space="preserve"> </w:t>
      </w:r>
      <w:r>
        <w:t xml:space="preserve">there. The deep and foundation methods are written for CUDA and we would expect them to be</w:t>
      </w:r>
      <w:r>
        <w:t xml:space="preserve"> </w:t>
      </w:r>
      <w:r>
        <w:t xml:space="preserve">faster on it, but we did not measure that — it is outside the</w:t>
      </w:r>
      <w:r>
        <w:t xml:space="preserve"> </w:t>
      </w:r>
      <w:r>
        <w:t xml:space="preserve">“runs-on-a-laptop”</w:t>
      </w:r>
      <w:r>
        <w:t xml:space="preserve"> </w:t>
      </w:r>
      <w:r>
        <w:t xml:space="preserve">question,</w:t>
      </w:r>
      <w:r>
        <w:t xml:space="preserve"> </w:t>
      </w:r>
      <w:r>
        <w:t xml:space="preserve">and every timing here should be read as this hardware’s. The §3.7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7"/>
        </w:numPr>
      </w:pPr>
      <w:r>
        <w:rPr>
          <w:b/>
          <w:bCs/>
        </w:rPr>
        <w:t xml:space="preserve">Wall-clock comparisons across methods are only meaningful at matched concurrency.</w:t>
      </w:r>
      <w:r>
        <w:t xml:space="preserve"> </w:t>
      </w:r>
      <w:r>
        <w:t xml:space="preserve">Measured</w:t>
      </w:r>
      <w:r>
        <w:t xml:space="preserve"> </w:t>
      </w:r>
      <w:r>
        <w:rPr>
          <w:rStyle w:val="VerbatimChar"/>
        </w:rPr>
        <w:t xml:space="preserve">%cpu</w:t>
      </w:r>
      <w:r>
        <w:t xml:space="preserve"> </w:t>
      </w:r>
      <w:r>
        <w:t xml:space="preserve">on the OP harness spans 49% to 2338% across methods — some are</w:t>
      </w:r>
      <w:r>
        <w:t xml:space="preserve"> </w:t>
      </w:r>
      <w:r>
        <w:t xml:space="preserve">single-threaded, some saturate 23 cores — so the same method timed at two concurrency</w:t>
      </w:r>
      <w:r>
        <w:t xml:space="preserve"> </w:t>
      </w:r>
      <w:r>
        <w:t xml:space="preserve">settings differs by up to 12×, and any wall-clock ranking taken at high concurrency</w:t>
      </w:r>
      <w:r>
        <w:t xml:space="preserve"> </w:t>
      </w:r>
      <w:r>
        <w:t xml:space="preserve">silently ranks threading and scheduler contention alongside algorithm. Table 9 therefore</w:t>
      </w:r>
      <w:r>
        <w:t xml:space="preserve"> </w:t>
      </w:r>
      <w:r>
        <w:t xml:space="preserve">reports cost as a ratio within a run, anchored by a method common to both (§2.10) — the</w:t>
      </w:r>
      <w:r>
        <w:t xml:space="preserve"> </w:t>
      </w:r>
      <w:r>
        <w:t xml:space="preserve">anchor itself moved 165 s → 87 s between them, which is the size of the effect.</w:t>
      </w:r>
    </w:p>
    <w:p>
      <w:pPr>
        <w:pStyle w:val="Compact"/>
        <w:numPr>
          <w:ilvl w:val="0"/>
          <w:numId w:val="1007"/>
        </w:numPr>
      </w:pPr>
      <w:r>
        <w:rPr>
          <w:b/>
          <w:bCs/>
        </w:rPr>
        <w:t xml:space="preserve">The cross-method comparison is human only</w:t>
      </w:r>
      <w:r>
        <w:t xml:space="preserve">; six datasets per benchmark; GPU foundation</w:t>
      </w:r>
      <w:r>
        <w:t xml:space="preserve"> </w:t>
      </w:r>
      <w:r>
        <w:t xml:space="preserve">models beyond scPRINT/UCE (scGPT, Geneformer, popV) not run locally. The shipped references</w:t>
      </w:r>
      <w:r>
        <w:t xml:space="preserve"> </w:t>
      </w:r>
      <w:r>
        <w:t xml:space="preserve">now cover mouse (§3.4), but no</w:t>
      </w:r>
      <w:r>
        <w:t xml:space="preserve"> </w:t>
      </w:r>
      <w:r>
        <w:rPr>
          <w:i/>
          <w:iCs/>
        </w:rPr>
        <w:t xml:space="preserve">method comparison</w:t>
      </w:r>
      <w:r>
        <w:t xml:space="preserve"> </w:t>
      </w:r>
      <w:r>
        <w:t xml:space="preserve">was run on mouse data — the pan-mouse</w:t>
      </w:r>
      <w:r>
        <w:t xml:space="preserve"> </w:t>
      </w:r>
      <w:r>
        <w:t xml:space="preserve">result establishes that the reference-building route works on a second organism, not that</w:t>
      </w:r>
      <w:r>
        <w:t xml:space="preserve"> </w:t>
      </w:r>
      <w:r>
        <w:t xml:space="preserve">actinn-jax’s standing against other methods carries over to it.</w:t>
      </w:r>
    </w:p>
    <w:p>
      <w:pPr>
        <w:pStyle w:val="Compact"/>
        <w:numPr>
          <w:ilvl w:val="0"/>
          <w:numId w:val="1007"/>
        </w:numPr>
      </w:pPr>
      <w:r>
        <w:t xml:space="preserve">actinn-jax needs more cells/type than linear methods to reach parity (§3.1); on very small</w:t>
      </w:r>
      <w:r>
        <w:t xml:space="preserve"> </w:t>
      </w:r>
      <w:r>
        <w:t xml:space="preserve">references it trails.</w:t>
      </w:r>
    </w:p>
    <w:p>
      <w:pPr>
        <w:pStyle w:val="Compact"/>
        <w:numPr>
          <w:ilvl w:val="0"/>
          <w:numId w:val="1007"/>
        </w:numPr>
      </w:pPr>
      <w:r>
        <w:rPr>
          <w:b/>
          <w:bCs/>
        </w:rPr>
        <w:t xml:space="preserve">The distilled broad-pass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(§3.4).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behavior on biology the corpus never saw.</w:t>
      </w:r>
    </w:p>
    <w:p>
      <w:pPr>
        <w:pStyle w:val="Compact"/>
        <w:numPr>
          <w:ilvl w:val="0"/>
          <w:numId w:val="1007"/>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reference-cross-validation + cells-per-class selection rule is validated on 6 datasets with a single</w:t>
      </w:r>
      <w:r>
        <w:t xml:space="preserve"> </w:t>
      </w:r>
      <w:r>
        <w:t xml:space="preserve">clean failure case, so it is directional evidence, not a tuned threshold.</w:t>
      </w:r>
    </w:p>
    <w:p>
      <w:pPr>
        <w:pStyle w:val="Compact"/>
        <w:numPr>
          <w:ilvl w:val="0"/>
          <w:numId w:val="1007"/>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7"/>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7× faster on this panel’s hardware (§2.5), with its largest margin</w:t>
      </w:r>
      <w:r>
        <w:t xml:space="preserve"> </w:t>
      </w:r>
      <w:r>
        <w:t xml:space="preserve">on the 86-type blood+gut set (+4.2 pt).</w:t>
      </w:r>
      <w:r>
        <w:t xml:space="preserve"> </w:t>
      </w:r>
      <w:r>
        <w:t xml:space="preserve">Wall-clock ratios between a JAX model and a scikit-learn pipeline shift with the CPU and</w:t>
      </w:r>
      <w:r>
        <w:t xml:space="preserve"> </w:t>
      </w:r>
      <w:r>
        <w:t xml:space="preserve">the threading available, so read them as this machine’s, not as constants. The §3.1</w:t>
      </w:r>
      <w:r>
        <w:t xml:space="preserve"> </w:t>
      </w:r>
      <w:r>
        <w:t xml:space="preserve">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w:t>
      </w:r>
      <w:r>
        <w:t xml:space="preserve"> </w:t>
      </w:r>
      <w:r>
        <w:t xml:space="preserve">still to fit but competitive only at small, low cardinality — its own best macro-F1 on</w:t>
      </w:r>
      <w:r>
        <w:t xml:space="preserve"> </w:t>
      </w:r>
      <w:r>
        <w:t xml:space="preserve">pbmc (0.837), degrading to 0.644 on liver.</w:t>
      </w:r>
    </w:p>
    <w:p>
      <w:pPr>
        <w:pStyle w:val="Compact"/>
        <w:numPr>
          <w:ilvl w:val="0"/>
          <w:numId w:val="1007"/>
        </w:numPr>
      </w:pPr>
      <w:r>
        <w:rPr>
          <w:b/>
          <w:bCs/>
        </w:rPr>
        <w:t xml:space="preserve">actinn-jax’s memory advantage is bounded, and the linear pipeline scales further than a</w:t>
      </w:r>
      <w:r>
        <w:rPr>
          <w:b/>
          <w:bCs/>
        </w:rPr>
        <w:t xml:space="preserve"> </w:t>
      </w:r>
      <w:r>
        <w:rPr>
          <w:b/>
          <w:bCs/>
        </w:rPr>
        <w:t xml:space="preserve">naive extrapolation implies</w:t>
      </w:r>
      <w:r>
        <w:t xml:space="preserve">. Extrapolating the</w:t>
      </w:r>
      <w:r>
        <w:t xml:space="preserve"> </w:t>
      </w:r>
      <w:r>
        <w:t xml:space="preserve">linear pipeline’s small-reference footprint overstates its atlas-scale peak by ~2.4× — the</w:t>
      </w:r>
      <w:r>
        <w:t xml:space="preserve"> </w:t>
      </w:r>
      <w:r>
        <w:t xml:space="preserve">measured figure is</w:t>
      </w:r>
      <w:r>
        <w:t xml:space="preserve"> </w:t>
      </w:r>
      <w:r>
        <w:rPr>
          <w:b/>
          <w:bCs/>
        </w:rPr>
        <w:t xml:space="preserve">13.2 GB</w:t>
      </w:r>
      <w:r>
        <w:t xml:space="preserve"> </w:t>
      </w:r>
      <w:r>
        <w:t xml:space="preserve">at 49k reference cells — because its feature-selection step</w:t>
      </w:r>
      <w:r>
        <w:t xml:space="preserve"> </w:t>
      </w:r>
      <w:r>
        <w:t xml:space="preserve">caps the dense matrix at 20,000 genes rather than the full gene set. The linear/actinn-jax</w:t>
      </w:r>
      <w:r>
        <w:t xml:space="preserve"> </w:t>
      </w:r>
      <w:r>
        <w:t xml:space="preserve">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in this setting should be measured, not extrapolated.</w:t>
      </w:r>
    </w:p>
    <w:p>
      <w:pPr>
        <w:pStyle w:val="Compact"/>
        <w:numPr>
          <w:ilvl w:val="0"/>
          <w:numId w:val="1007"/>
        </w:numPr>
      </w:pPr>
      <w:r>
        <w:rPr>
          <w:b/>
          <w:bCs/>
        </w:rPr>
        <w:t xml:space="preserve">The main matrix uses subsampled references, and its ranking does not survive atlas scale.</w:t>
      </w:r>
      <w:r>
        <w:t xml:space="preserve"> </w:t>
      </w:r>
      <w:r>
        <w:t xml:space="preserve">Carried to 49k lung and 47k liver reference cells, ProtoCloud moves from the weakest method</w:t>
      </w:r>
      <w:r>
        <w:t xml:space="preserve"> </w:t>
      </w:r>
      <w:r>
        <w:t xml:space="preserve">to the strongest and scTOP crosses from the lightest to heavier than actinn-jax (§3.3,</w:t>
      </w:r>
      <w:r>
        <w:t xml:space="preserve"> </w:t>
      </w:r>
      <w:r>
        <w:t xml:space="preserve">Figure 3). The accuracy ordering of Table 3 describes laptop-sized references, which is the</w:t>
      </w:r>
      <w:r>
        <w:t xml:space="preserve"> </w:t>
      </w:r>
      <w:r>
        <w:t xml:space="preserve">regime this paper is about, but it should not be read as a ranking at atlas scale.</w:t>
      </w:r>
    </w:p>
    <w:p>
      <w:pPr>
        <w:pStyle w:val="Compact"/>
        <w:numPr>
          <w:ilvl w:val="0"/>
          <w:numId w:val="1007"/>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83"/>
    <w:bookmarkStart w:id="90" w:name="data-code-availability"/>
    <w:p>
      <w:pPr>
        <w:pStyle w:val="Heading1"/>
      </w:pPr>
      <w:r>
        <w:t xml:space="preserve">Data &amp; code availability</w:t>
      </w:r>
    </w:p>
    <w:p>
      <w:pPr>
        <w:pStyle w:val="FirstParagraph"/>
      </w:pPr>
      <w:r>
        <w:t xml:space="preserve">Two repositories hold everything needed to reproduce this work. The</w:t>
      </w:r>
      <w:r>
        <w:t xml:space="preserve"> </w:t>
      </w:r>
      <w:hyperlink r:id="rId33">
        <w:r>
          <w:rPr>
            <w:rStyle w:val="Hyperlink"/>
            <w:b/>
            <w:bCs/>
          </w:rPr>
          <w:t xml:space="preserve">benchmark repository</w:t>
        </w:r>
      </w:hyperlink>
      <w:r>
        <w:t xml:space="preserve"> </w:t>
      </w:r>
      <w:r>
        <w:t xml:space="preserve">carries the harness, the per-method adapters, the run</w:t>
      </w:r>
      <w:r>
        <w:t xml:space="preserve"> </w:t>
      </w:r>
      <w:r>
        <w:t xml:space="preserve">configurations that produce every number reported here, the environment lockfiles, the</w:t>
      </w:r>
      <w:r>
        <w:t xml:space="preserve"> </w:t>
      </w:r>
      <w:r>
        <w:t xml:space="preserve">result tables including the unified eleven-method matrix, and the figure scripts. It is</w:t>
      </w:r>
      <w:r>
        <w:t xml:space="preserve"> </w:t>
      </w:r>
      <w:r>
        <w:t xml:space="preserve">archived at</w:t>
      </w:r>
      <w:r>
        <w:t xml:space="preserve"> </w:t>
      </w:r>
      <w:hyperlink r:id="rId84">
        <w:r>
          <w:rPr>
            <w:rStyle w:val="Hyperlink"/>
          </w:rPr>
          <w:t xml:space="preserve">doi:10.5281/zenodo.21911372</w:t>
        </w:r>
      </w:hyperlink>
      <w:r>
        <w:t xml:space="preserve"> </w:t>
      </w:r>
      <w:r>
        <w:t xml:space="preserve">(MIT; a</w:t>
      </w:r>
      <w:r>
        <w:t xml:space="preserve"> </w:t>
      </w:r>
      <w:r>
        <w:t xml:space="preserve">concept DOI that resolves to the most recent release), which is what to cite for reproduction</w:t>
      </w:r>
      <w:r>
        <w:t xml:space="preserve"> </w:t>
      </w:r>
      <w:r>
        <w:t xml:space="preserve">rather than the default branch, since the branch may move on. The</w:t>
      </w:r>
      <w:r>
        <w:t xml:space="preserve"> </w:t>
      </w:r>
      <w:hyperlink r:id="rId85">
        <w:r>
          <w:rPr>
            <w:rStyle w:val="Hyperlink"/>
            <w:b/>
            <w:bCs/>
          </w:rPr>
          <w:t xml:space="preserve">actinn-jax package</w:t>
        </w:r>
      </w:hyperlink>
      <w:r>
        <w:t xml:space="preserve"> </w:t>
      </w:r>
      <w:r>
        <w:t xml:space="preserve">is on PyPI</w:t>
      </w:r>
      <w:r>
        <w:t xml:space="preserve"> </w:t>
      </w:r>
      <w:r>
        <w:t xml:space="preserve">(</w:t>
      </w:r>
      <w:r>
        <w:rPr>
          <w:rStyle w:val="VerbatimChar"/>
        </w:rPr>
        <w:t xml:space="preserve">pip install actinn-jax</w:t>
      </w:r>
      <w:r>
        <w:t xml:space="preserve">). Rebuilding the shipped broad reference is a single documented</w:t>
      </w:r>
      <w:r>
        <w:t xml:space="preserve"> </w:t>
      </w:r>
      <w:r>
        <w:t xml:space="preserve">command; the distilled broad-pass reference, the pan-mouse reference and the Cell-Ontology</w:t>
      </w:r>
      <w:r>
        <w:t xml:space="preserve"> </w:t>
      </w:r>
      <w:r>
        <w:t xml:space="preserve">hierarchy it depends on each have their own build documentation in the benchmark</w:t>
      </w:r>
      <w:r>
        <w:t xml:space="preserve"> </w:t>
      </w:r>
      <w:r>
        <w:t xml:space="preserve">repository, and the file-level detail lives there rather than here.</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86">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87">
        <w:r>
          <w:rPr>
            <w:rStyle w:val="Hyperlink"/>
          </w:rPr>
          <w:t xml:space="preserve">10.5281/zenodo.21688150</w:t>
        </w:r>
      </w:hyperlink>
      <w:r>
        <w:t xml:space="preserve"> </w:t>
      </w:r>
      <w:r>
        <w:t xml:space="preserve">for the</w:t>
      </w:r>
      <w:r>
        <w:t xml:space="preserve"> </w:t>
      </w:r>
      <w:r>
        <w:t xml:space="preserve">latest version). The package downloads and caches them on first use, so no manual</w:t>
      </w:r>
      <w:r>
        <w:t xml:space="preserve"> </w:t>
      </w:r>
      <w:r>
        <w:t xml:space="preserve">retrieval is needed, and can pre-download them for offline use.</w:t>
      </w:r>
    </w:p>
    <w:p>
      <w:pPr>
        <w:pStyle w:val="BodyText"/>
      </w:pPr>
      <w:r>
        <w:t xml:space="preserve">HLiCA data © Edgar et al. 2026 (CC-BY 4.0),</w:t>
      </w:r>
      <w:r>
        <w:t xml:space="preserve"> </w:t>
      </w:r>
      <w:hyperlink r:id="rId29">
        <w:r>
          <w:rPr>
            <w:rStyle w:val="Hyperlink"/>
          </w:rPr>
          <w:t xml:space="preserve">[doi:10.64898/2026.06.30.735539]</w:t>
        </w:r>
      </w:hyperlink>
      <w:r>
        <w:t xml:space="preserve">.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25">
        <w:r>
          <w:rPr>
            <w:rStyle w:val="Hyperlink"/>
          </w:rPr>
          <w:t xml:space="preserve">doi:10.64898/2026.07.16.738997</w:t>
        </w:r>
      </w:hyperlink>
      <w:r>
        <w:t xml:space="preserve">); its weights are</w:t>
      </w:r>
      <w:r>
        <w:t xml:space="preserve"> </w:t>
      </w:r>
      <w:r>
        <w:t xml:space="preserve">© the authors under</w:t>
      </w:r>
      <w:r>
        <w:t xml:space="preserve"> </w:t>
      </w:r>
      <w:hyperlink r:id="rId88">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89">
        <w:r>
          <w:rPr>
            <w:rStyle w:val="Hyperlink"/>
          </w:rPr>
          <w:t xml:space="preserve">Zenodo</w:t>
        </w:r>
      </w:hyperlink>
      <w:r>
        <w:t xml:space="preserve">. Attribution is a</w:t>
      </w:r>
      <w:r>
        <w:t xml:space="preserve"> </w:t>
      </w:r>
      <w:r>
        <w:t xml:space="preserve">condition of that licence and travels inside each shipped model’s build record.</w:t>
      </w:r>
    </w:p>
    <w:p>
      <w:pPr>
        <w:pStyle w:val="BodyText"/>
      </w:pPr>
      <w:r>
        <w:rPr>
          <w:b/>
          <w:bCs/>
        </w:rPr>
        <w:t xml:space="preserve">Additional documentation.</w:t>
      </w:r>
      <w:r>
        <w:t xml:space="preserve"> </w:t>
      </w:r>
      <w:r>
        <w:t xml:space="preserve">The</w:t>
      </w:r>
      <w:r>
        <w:t xml:space="preserve"> </w:t>
      </w:r>
      <w:hyperlink r:id="rId33">
        <w:r>
          <w:rPr>
            <w:rStyle w:val="Hyperlink"/>
          </w:rPr>
          <w:t xml:space="preserve">benchmark repository</w:t>
        </w:r>
      </w:hyperlink>
      <w:r>
        <w:t xml:space="preserve"> </w:t>
      </w:r>
      <w:r>
        <w:t xml:space="preserve">carries detailed notes for each result — tuned linear pipeline and sctop baselines; protocloud comparison; scaling and memory to atlas size; survey of cell-type annotation methods; rebuilding the broad reference; distilling pan-human azimuth; and 9 more.</w:t>
      </w:r>
    </w:p>
    <w:p>
      <w:pPr>
        <w:pStyle w:val="BodyText"/>
      </w:pPr>
      <w:r>
        <w:rPr>
          <w:b/>
          <w:bCs/>
        </w:rPr>
        <w:t xml:space="preserve">Supplementary material</w:t>
      </w:r>
      <w:r>
        <w:t xml:space="preserve"> </w:t>
      </w:r>
      <w:r>
        <w:t xml:space="preserve">(separate document) contains Figures S1–S4 — confusion matrices</w:t>
      </w:r>
      <w:r>
        <w:t xml:space="preserve"> </w:t>
      </w:r>
      <w:r>
        <w:t xml:space="preserve">with ontology-equivalent errors outlined, and per-class recall across eleven methods on three</w:t>
      </w:r>
      <w:r>
        <w:t xml:space="preserve"> </w:t>
      </w:r>
      <w:r>
        <w:t xml:space="preserve">splits — and Tables S1–S3, the method and dataset descriptions and per-dataset accuracy.</w:t>
      </w:r>
    </w:p>
    <w:bookmarkEnd w:id="90"/>
    <w:bookmarkStart w:id="91" w:name="references"/>
    <w:p>
      <w:pPr>
        <w:pStyle w:val="Heading1"/>
      </w:pPr>
      <w:r>
        <w:t xml:space="preserve">References</w:t>
      </w:r>
    </w:p>
    <w:p>
      <w:pPr>
        <w:pStyle w:val="Compact"/>
        <w:numPr>
          <w:ilvl w:val="0"/>
          <w:numId w:val="1008"/>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1">
        <w:r>
          <w:rPr>
            <w:rStyle w:val="Hyperlink"/>
          </w:rPr>
          <w:t xml:space="preserve">10xgenomics.com/datasets/3-k-pbm-cs-from-a-healthy-donor-1-standard-1-1-0</w:t>
        </w:r>
      </w:hyperlink>
      <w:r>
        <w:t xml:space="preserve">.</w:t>
      </w:r>
    </w:p>
    <w:p>
      <w:pPr>
        <w:pStyle w:val="Compact"/>
        <w:numPr>
          <w:ilvl w:val="0"/>
          <w:numId w:val="1008"/>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9">
        <w:r>
          <w:rPr>
            <w:rStyle w:val="Hyperlink"/>
          </w:rPr>
          <w:t xml:space="preserve">doi:10.1186/s13059-019-1795-z</w:t>
        </w:r>
      </w:hyperlink>
      <w:r>
        <w:t xml:space="preserve">.</w:t>
      </w:r>
    </w:p>
    <w:p>
      <w:pPr>
        <w:pStyle w:val="Compact"/>
        <w:numPr>
          <w:ilvl w:val="0"/>
          <w:numId w:val="1008"/>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0">
        <w:r>
          <w:rPr>
            <w:rStyle w:val="Hyperlink"/>
          </w:rPr>
          <w:t xml:space="preserve">doi:10.1038/s41586-026-10627-z</w:t>
        </w:r>
      </w:hyperlink>
      <w:r>
        <w:t xml:space="preserve">.</w:t>
      </w:r>
    </w:p>
    <w:p>
      <w:pPr>
        <w:pStyle w:val="Compact"/>
        <w:numPr>
          <w:ilvl w:val="0"/>
          <w:numId w:val="1008"/>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19">
        <w:r>
          <w:rPr>
            <w:rStyle w:val="Hyperlink"/>
          </w:rPr>
          <w:t xml:space="preserve">doi:10.1038/s41590-018-0276-y</w:t>
        </w:r>
      </w:hyperlink>
      <w:r>
        <w:t xml:space="preserve">.</w:t>
      </w:r>
    </w:p>
    <w:p>
      <w:pPr>
        <w:pStyle w:val="Compact"/>
        <w:numPr>
          <w:ilvl w:val="0"/>
          <w:numId w:val="1008"/>
        </w:numPr>
      </w:pPr>
      <w:r>
        <w:t xml:space="preserve">Bradbury J, et al. JAX: composable transformations of Python+NumPy programs (2018).</w:t>
      </w:r>
      <w:r>
        <w:t xml:space="preserve"> </w:t>
      </w:r>
      <w:hyperlink r:id="rId14">
        <w:r>
          <w:rPr>
            <w:rStyle w:val="Hyperlink"/>
          </w:rPr>
          <w:t xml:space="preserve">github.com/jax-ml/jax</w:t>
        </w:r>
      </w:hyperlink>
      <w:r>
        <w:t xml:space="preserve">.</w:t>
      </w:r>
    </w:p>
    <w:p>
      <w:pPr>
        <w:pStyle w:val="Compact"/>
        <w:numPr>
          <w:ilvl w:val="0"/>
          <w:numId w:val="1008"/>
        </w:numPr>
      </w:pPr>
      <w:r>
        <w:t xml:space="preserve">CZI Cell Science Program. CZ CELLxGENE Discover Census, LTS release 2025-11-08.</w:t>
      </w:r>
      <w:r>
        <w:t xml:space="preserve"> </w:t>
      </w:r>
      <w:hyperlink r:id="rId36">
        <w:r>
          <w:rPr>
            <w:rStyle w:val="Hyperlink"/>
          </w:rPr>
          <w:t xml:space="preserve">chanzuckerberg.github.io/cellxgene-census</w:t>
        </w:r>
      </w:hyperlink>
      <w:r>
        <w:t xml:space="preserve">.</w:t>
      </w:r>
    </w:p>
    <w:p>
      <w:pPr>
        <w:pStyle w:val="Compact"/>
        <w:numPr>
          <w:ilvl w:val="0"/>
          <w:numId w:val="1008"/>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72">
        <w:r>
          <w:rPr>
            <w:rStyle w:val="Hyperlink"/>
          </w:rPr>
          <w:t xml:space="preserve">doi:10.1145/2939672.2939785</w:t>
        </w:r>
      </w:hyperlink>
      <w:r>
        <w:t xml:space="preserve">.</w:t>
      </w:r>
    </w:p>
    <w:p>
      <w:pPr>
        <w:pStyle w:val="Compact"/>
        <w:numPr>
          <w:ilvl w:val="0"/>
          <w:numId w:val="1008"/>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17">
        <w:r>
          <w:rPr>
            <w:rStyle w:val="Hyperlink"/>
          </w:rPr>
          <w:t xml:space="preserve">doi:10.1126/science.abl5197</w:t>
        </w:r>
      </w:hyperlink>
      <w:r>
        <w:t xml:space="preserve">.</w:t>
      </w:r>
    </w:p>
    <w:p>
      <w:pPr>
        <w:pStyle w:val="Compact"/>
        <w:numPr>
          <w:ilvl w:val="0"/>
          <w:numId w:val="1008"/>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29">
        <w:r>
          <w:rPr>
            <w:rStyle w:val="Hyperlink"/>
          </w:rPr>
          <w:t xml:space="preserve">doi:10.64898/2026.06.30.735539</w:t>
        </w:r>
      </w:hyperlink>
      <w:r>
        <w:t xml:space="preserve">.</w:t>
      </w:r>
    </w:p>
    <w:p>
      <w:pPr>
        <w:pStyle w:val="Compact"/>
        <w:numPr>
          <w:ilvl w:val="0"/>
          <w:numId w:val="1008"/>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10">
        <w:r>
          <w:rPr>
            <w:rStyle w:val="Hyperlink"/>
          </w:rPr>
          <w:t xml:space="preserve">doi:10.1093/bib/bbae392</w:t>
        </w:r>
      </w:hyperlink>
      <w:r>
        <w:t xml:space="preserve">.</w:t>
      </w:r>
    </w:p>
    <w:p>
      <w:pPr>
        <w:pStyle w:val="Compact"/>
        <w:numPr>
          <w:ilvl w:val="0"/>
          <w:numId w:val="1008"/>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23">
        <w:r>
          <w:rPr>
            <w:rStyle w:val="Hyperlink"/>
          </w:rPr>
          <w:t xml:space="preserve">doi:10.1016/j.xgen.2026.101217</w:t>
        </w:r>
      </w:hyperlink>
      <w:r>
        <w:t xml:space="preserve">.</w:t>
      </w:r>
    </w:p>
    <w:p>
      <w:pPr>
        <w:pStyle w:val="Compact"/>
        <w:numPr>
          <w:ilvl w:val="0"/>
          <w:numId w:val="1008"/>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24">
        <w:r>
          <w:rPr>
            <w:rStyle w:val="Hyperlink"/>
          </w:rPr>
          <w:t xml:space="preserve">doi:10.1038/s41467-025-58699-1</w:t>
        </w:r>
      </w:hyperlink>
      <w:r>
        <w:t xml:space="preserve">.</w:t>
      </w:r>
    </w:p>
    <w:p>
      <w:pPr>
        <w:pStyle w:val="Compact"/>
        <w:numPr>
          <w:ilvl w:val="0"/>
          <w:numId w:val="1008"/>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20">
        <w:r>
          <w:rPr>
            <w:rStyle w:val="Hyperlink"/>
          </w:rPr>
          <w:t xml:space="preserve">doi:10.1038/nmeth.4644</w:t>
        </w:r>
      </w:hyperlink>
      <w:r>
        <w:t xml:space="preserve">.</w:t>
      </w:r>
    </w:p>
    <w:p>
      <w:pPr>
        <w:pStyle w:val="Compact"/>
        <w:numPr>
          <w:ilvl w:val="0"/>
          <w:numId w:val="1008"/>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08"/>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22">
        <w:r>
          <w:rPr>
            <w:rStyle w:val="Hyperlink"/>
          </w:rPr>
          <w:t xml:space="preserve">doi:10.1038/s41587-021-01001-7</w:t>
        </w:r>
      </w:hyperlink>
      <w:r>
        <w:t xml:space="preserve">.</w:t>
      </w:r>
    </w:p>
    <w:p>
      <w:pPr>
        <w:pStyle w:val="Compact"/>
        <w:numPr>
          <w:ilvl w:val="0"/>
          <w:numId w:val="1008"/>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8"/>
        </w:numPr>
      </w:pPr>
      <w:r>
        <w:t xml:space="preserve">Open Problems for Single-Cell Analysis Consortium. Open Problems: a living benchmark for single-cell analysis (2024).</w:t>
      </w:r>
      <w:r>
        <w:t xml:space="preserve"> </w:t>
      </w:r>
      <w:hyperlink r:id="rId41">
        <w:r>
          <w:rPr>
            <w:rStyle w:val="Hyperlink"/>
          </w:rPr>
          <w:t xml:space="preserve">openproblems.bio</w:t>
        </w:r>
      </w:hyperlink>
      <w:r>
        <w:t xml:space="preserve">.</w:t>
      </w:r>
    </w:p>
    <w:p>
      <w:pPr>
        <w:pStyle w:val="Compact"/>
        <w:numPr>
          <w:ilvl w:val="0"/>
          <w:numId w:val="1008"/>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16">
        <w:r>
          <w:rPr>
            <w:rStyle w:val="Hyperlink"/>
          </w:rPr>
          <w:t xml:space="preserve">jmlr.org/papers/v12/pedregosa11a.html</w:t>
        </w:r>
      </w:hyperlink>
      <w:r>
        <w:t xml:space="preserve">.</w:t>
      </w:r>
    </w:p>
    <w:p>
      <w:pPr>
        <w:pStyle w:val="Compact"/>
        <w:numPr>
          <w:ilvl w:val="0"/>
          <w:numId w:val="1008"/>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3">
        <w:r>
          <w:rPr>
            <w:rStyle w:val="Hyperlink"/>
          </w:rPr>
          <w:t xml:space="preserve">doi:10.1038/s41586-026-10689-z</w:t>
        </w:r>
      </w:hyperlink>
      <w:r>
        <w:t xml:space="preserve">.</w:t>
      </w:r>
    </w:p>
    <w:p>
      <w:pPr>
        <w:pStyle w:val="Compact"/>
        <w:numPr>
          <w:ilvl w:val="0"/>
          <w:numId w:val="1008"/>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25">
        <w:r>
          <w:rPr>
            <w:rStyle w:val="Hyperlink"/>
          </w:rPr>
          <w:t xml:space="preserve">doi:10.64898/2026.07.16.738997</w:t>
        </w:r>
      </w:hyperlink>
      <w:r>
        <w:t xml:space="preserve">.</w:t>
      </w:r>
    </w:p>
    <w:p>
      <w:pPr>
        <w:pStyle w:val="Compact"/>
        <w:numPr>
          <w:ilvl w:val="0"/>
          <w:numId w:val="1008"/>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28">
        <w:r>
          <w:rPr>
            <w:rStyle w:val="Hyperlink"/>
          </w:rPr>
          <w:t xml:space="preserve">doi:10.1038/s41591-023-02327-2</w:t>
        </w:r>
      </w:hyperlink>
      <w:r>
        <w:t xml:space="preserve">.</w:t>
      </w:r>
    </w:p>
    <w:p>
      <w:pPr>
        <w:pStyle w:val="Compact"/>
        <w:numPr>
          <w:ilvl w:val="0"/>
          <w:numId w:val="1008"/>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81">
        <w:r>
          <w:rPr>
            <w:rStyle w:val="Hyperlink"/>
          </w:rPr>
          <w:t xml:space="preserve">doi:10.64898/2026.02.11.705358</w:t>
        </w:r>
      </w:hyperlink>
      <w:r>
        <w:t xml:space="preserve">.</w:t>
      </w:r>
    </w:p>
    <w:p>
      <w:pPr>
        <w:pStyle w:val="Compact"/>
        <w:numPr>
          <w:ilvl w:val="0"/>
          <w:numId w:val="1008"/>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27">
        <w:r>
          <w:rPr>
            <w:rStyle w:val="Hyperlink"/>
          </w:rPr>
          <w:t xml:space="preserve">doi:10.1038/s41586-020-2922-4</w:t>
        </w:r>
      </w:hyperlink>
      <w:r>
        <w:t xml:space="preserve">.</w:t>
      </w:r>
    </w:p>
    <w:p>
      <w:pPr>
        <w:pStyle w:val="Compact"/>
        <w:numPr>
          <w:ilvl w:val="0"/>
          <w:numId w:val="1008"/>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21">
        <w:r>
          <w:rPr>
            <w:rStyle w:val="Hyperlink"/>
          </w:rPr>
          <w:t xml:space="preserve">doi:10.15252/msb.20209620</w:t>
        </w:r>
      </w:hyperlink>
      <w:r>
        <w:t xml:space="preserve">.</w:t>
      </w:r>
    </w:p>
    <w:p>
      <w:pPr>
        <w:pStyle w:val="Compact"/>
        <w:numPr>
          <w:ilvl w:val="0"/>
          <w:numId w:val="1008"/>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18">
        <w:r>
          <w:rPr>
            <w:rStyle w:val="Hyperlink"/>
          </w:rPr>
          <w:t xml:space="preserve">doi:10.1242/dev.201873</w:t>
        </w:r>
      </w:hyperlink>
      <w:r>
        <w:t xml:space="preserve">.</w:t>
      </w:r>
    </w:p>
    <w:p>
      <w:pPr>
        <w:pStyle w:val="Compact"/>
        <w:numPr>
          <w:ilvl w:val="0"/>
          <w:numId w:val="1008"/>
        </w:numPr>
      </w:pPr>
      <w:r>
        <w:t xml:space="preserve">Munroe R. Standards.</w:t>
      </w:r>
      <w:r>
        <w:t xml:space="preserve"> </w:t>
      </w:r>
      <w:r>
        <w:rPr>
          <w:i/>
          <w:iCs/>
        </w:rPr>
        <w:t xml:space="preserve">xkcd</w:t>
      </w:r>
      <w:r>
        <w:t xml:space="preserve"> </w:t>
      </w:r>
      <w:r>
        <w:t xml:space="preserve">927.</w:t>
      </w:r>
      <w:r>
        <w:t xml:space="preserve"> </w:t>
      </w:r>
      <w:hyperlink r:id="rId11">
        <w:r>
          <w:rPr>
            <w:rStyle w:val="Hyperlink"/>
          </w:rPr>
          <w:t xml:space="preserve">xkcd.com/927</w:t>
        </w:r>
      </w:hyperlink>
      <w:r>
        <w:t xml:space="preserve">.</w:t>
      </w:r>
    </w:p>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6" Target="media/rId66.png" /><Relationship Type="http://schemas.openxmlformats.org/officeDocument/2006/relationships/image" Id="rId55" Target="media/rId55.png" /><Relationship Type="http://schemas.openxmlformats.org/officeDocument/2006/relationships/image" Id="rId62" Target="media/rId62.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hyperlink" Id="rId36" Target="https://chanzuckerberg.github.io/cellxgene-census/" TargetMode="External" /><Relationship Type="http://schemas.openxmlformats.org/officeDocument/2006/relationships/hyperlink" Id="rId88"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72"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89" Target="https://doi.org/10.5281/zenodo.20401417" TargetMode="External" /><Relationship Type="http://schemas.openxmlformats.org/officeDocument/2006/relationships/hyperlink" Id="rId87" Target="https://doi.org/10.5281/zenodo.21688150" TargetMode="External" /><Relationship Type="http://schemas.openxmlformats.org/officeDocument/2006/relationships/hyperlink" Id="rId86" Target="https://doi.org/10.5281/zenodo.21688151" TargetMode="External" /><Relationship Type="http://schemas.openxmlformats.org/officeDocument/2006/relationships/hyperlink" Id="rId84" Target="https://doi.org/10.5281/zenodo.21911372" TargetMode="External" /><Relationship Type="http://schemas.openxmlformats.org/officeDocument/2006/relationships/hyperlink" Id="rId81"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85"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71"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36" Target="https://chanzuckerberg.github.io/cellxgene-census/" TargetMode="External" /><Relationship Type="http://schemas.openxmlformats.org/officeDocument/2006/relationships/hyperlink" Id="rId88"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72"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89" Target="https://doi.org/10.5281/zenodo.20401417" TargetMode="External" /><Relationship Type="http://schemas.openxmlformats.org/officeDocument/2006/relationships/hyperlink" Id="rId87" Target="https://doi.org/10.5281/zenodo.21688150" TargetMode="External" /><Relationship Type="http://schemas.openxmlformats.org/officeDocument/2006/relationships/hyperlink" Id="rId86" Target="https://doi.org/10.5281/zenodo.21688151" TargetMode="External" /><Relationship Type="http://schemas.openxmlformats.org/officeDocument/2006/relationships/hyperlink" Id="rId84" Target="https://doi.org/10.5281/zenodo.21911372" TargetMode="External" /><Relationship Type="http://schemas.openxmlformats.org/officeDocument/2006/relationships/hyperlink" Id="rId81"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85"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71"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benchmark of cell-type annotation methods for single-cell data: cost, not accuracy, distinguishes them</dc:title>
  <dc:creator>Ian Driver</dc:creator>
  <cp:keywords/>
  <dcterms:created xsi:type="dcterms:W3CDTF">2026-08-13T16:31:29Z</dcterms:created>
  <dcterms:modified xsi:type="dcterms:W3CDTF">2026-08-13T16:31:29Z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Cell-type annotation by reference mapping is among the most frequently repeated operations in single-cell analysis, yet published comparisons report accuracy far more often than the wall-clock time and memory that decide what a working scientist can actually run. We benchmarked thirteen methods — classical, regularized-linear, parameter-free, correlation, deep-probabilistic, prototype-VAE and foundation-model — across six datasets (8–86 cell types; within-dataset, cross-dataset and cross-study splits) on commodity hardware, and validated externally on Open Problems label_projection, whose datasets, metrics and ranking we did not choose. Accuracy among the leading methods is tightly clustered — the top four span 0.008 — while their inference cost differs by two orders of magnitude and their peak memory by 2.4×. No method leads everywhere, and neither ordering is stable: accuracy inverts as the reference grows from 3k cells to a full atlas, and cost rankings invert with the input feature budget. Because several methods are now both accurate and cheap, the useful question is not which is best but which fits a given job. We show that a low, flat inference cost makes multi-stage annotation practical on a laptop, using actinn-jax, a JAX reimplementation of ACTINN with a cached train-once/map-many reference: a shipped ~800-type reference with calibrated abstention hands off to a user’s own focused reference (cross-study liver 0.23/0.58 → 0.72/0.86, exact/ontology), with resolution below the cell-type label and cluster-level novelty screening. The same route builds a pan-mouse reference with no GPU, and distills Pan-human Azimuth into a broad-pass model matching its concordance at 6–9× its throughput. We release the reimplementation, the harness and the pre-trained references.</vt:lpwstr>
  </property>
  <property fmtid="{D5CDD505-2E9C-101B-9397-08002B2CF9AE}" pid="3" name="date">
    <vt:lpwstr/>
  </property>
</Properties>
</file>