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6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(S4),</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 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(S5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(S6).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 (S7).</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r>
        <w:t xml:space="preserve"> </w:t>
      </w:r>
      <w:r>
        <w:t xml:space="preserve">(S3).</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(S8) 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10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1"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~130×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 S3),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2.</w:t>
      </w:r>
    </w:p>
    <w:p>
      <w:pPr>
        <w:pStyle w:val="BodyText"/>
      </w:pPr>
      <w:r>
        <w:t xml:space="preserve">The</w:t>
      </w:r>
      <w:r>
        <w:t xml:space="preserve"> </w:t>
      </w:r>
      <w:r>
        <w:rPr>
          <w:b/>
          <w:bCs/>
        </w:rPr>
        <w:t xml:space="preserve">tuned linear 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1"/>
    <w:bookmarkStart w:id="55"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55"/>
    <w:bookmarkStart w:id="59"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57" name="Picture"/>
            <a:graphic>
              <a:graphicData uri="http://schemas.openxmlformats.org/drawingml/2006/picture">
                <pic:pic>
                  <pic:nvPicPr>
                    <pic:cNvPr descr="/Users/iandriver/Downloads/actinn-jax-benchmark/docs/figures/fig_workflow_umap.png" id="58" name="Picture"/>
                    <pic:cNvPicPr>
                      <a:picLocks noChangeArrowheads="1" noChangeAspect="1"/>
                    </pic:cNvPicPr>
                  </pic:nvPicPr>
                  <pic:blipFill>
                    <a:blip r:embed="rId56"/>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t xml:space="preserve">liver reference 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(S9, and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(S6).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(per-run</w:t>
      </w:r>
      <w:r>
        <w:t xml:space="preserve"> </w:t>
      </w:r>
      <w:r>
        <w:t xml:space="preserve">numbers in the</w:t>
      </w:r>
      <w:r>
        <w:t xml:space="preserve"> </w:t>
      </w:r>
      <w:hyperlink r:id="rId33">
        <w:r>
          <w:rPr>
            <w:rStyle w:val="Hyperlink"/>
          </w:rPr>
          <w:t xml:space="preserve">benchmark repository</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scores no better than no grouping at all (0.539 against 0.547), which rules</w:t>
      </w:r>
      <w:r>
        <w:t xml:space="preserve"> </w:t>
      </w:r>
      <w:r>
        <w:t xml:space="preserve">out the simplest explanation for the gain: that splitting 867 types into 29 smaller problems</w:t>
      </w:r>
      <w:r>
        <w:t xml:space="preserve"> </w:t>
      </w:r>
      <w:r>
        <w:t xml:space="preserve">makes each fine classifier’s job easier, something any split would do. What matters is</w:t>
      </w:r>
      <w:r>
        <w:t xml:space="preserve"> </w:t>
      </w:r>
      <w:r>
        <w:rPr>
          <w:i/>
          <w:iCs/>
        </w:rPr>
        <w:t xml:space="preserve">which</w:t>
      </w:r>
      <w:r>
        <w:t xml:space="preserve"> </w:t>
      </w:r>
      <w:r>
        <w:t xml:space="preserve">types share a group. Each group has its own fine classifier and the coarse call decides which</w:t>
      </w:r>
      <w:r>
        <w:t xml:space="preserve"> </w:t>
      </w:r>
      <w:r>
        <w:t xml:space="preserve">one ever sees the cell, so a group pays off only if the coarse classifier can recognize it</w:t>
      </w:r>
      <w:r>
        <w:t xml:space="preserve"> </w:t>
      </w:r>
      <w:r>
        <w:rPr>
          <w:i/>
          <w:iCs/>
        </w:rPr>
        <w:t xml:space="preserve">and</w:t>
      </w:r>
      <w:r>
        <w:t xml:space="preserve"> </w:t>
      </w:r>
      <w:r>
        <w:t xml:space="preserve">the right answer is inside it. Lineage groups manage both; groups of the same sizes</w:t>
      </w:r>
      <w:r>
        <w:t xml:space="preserve"> </w:t>
      </w:r>
      <w:r>
        <w:t xml:space="preserve">drawn at random manage 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 (S10).</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w:t>
      </w:r>
      <w:r>
        <w:t xml:space="preserve">(S11,</w:t>
      </w:r>
      <w:r>
        <w:t xml:space="preserve"> </w:t>
      </w:r>
      <w:r>
        <w:t xml:space="preserve">S12).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(S13).</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w:t>
      </w:r>
      <w:r>
        <w:t xml:space="preserve">(S14, S15):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(S7)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59"/>
    <w:bookmarkStart w:id="60"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0"/>
    <w:bookmarkStart w:id="61"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w:t>
      </w:r>
      <w:r>
        <w:t xml:space="preserve"> </w:t>
      </w:r>
      <w:r>
        <w:t xml:space="preserve">(S14)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1"/>
    <w:bookmarkStart w:id="70"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2">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 (S8).</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63">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RSS</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10.</w:t>
      </w:r>
      <w:r>
        <w:t xml:space="preserve"> </w:t>
      </w:r>
      <w:r>
        <w:t xml:space="preserve">All eleven methods on the six Open Problems datasets, ordered by accuracy. Bold</w:t>
      </w:r>
      <w:r>
        <w:t xml:space="preserve"> </w:t>
      </w:r>
      <w:r>
        <w:t xml:space="preserve">marks the four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the case for reporting both panels rather than picking</w:t>
      </w:r>
      <w:r>
        <w:t xml:space="preserve"> </w:t>
      </w:r>
      <w:r>
        <w:t xml:space="preserve">one.</w:t>
      </w:r>
    </w:p>
    <w:p>
      <w:pPr>
        <w:pStyle w:val="BodyText"/>
      </w:pPr>
      <w:r>
        <w:rPr>
          <w:rStyle w:val="VerbatimChar"/>
        </w:rPr>
        <w:t xml:space="preserve">logistic_regression</w:t>
      </w:r>
      <w:r>
        <w:t xml:space="preserve"> </w:t>
      </w:r>
      <w:r>
        <w:t xml:space="preserve">is worth noting separately: it takes macro-F1 (0.689) from fifth on</w:t>
      </w:r>
      <w:r>
        <w:t xml:space="preserve"> </w:t>
      </w:r>
      <w:r>
        <w:t xml:space="preserve">accuracy, at the second-lowest cost. Across datasets spanning 13 to 160 cell types, accuracy</w:t>
      </w:r>
      <w:r>
        <w:t xml:space="preserve"> </w:t>
      </w:r>
      <w:r>
        <w:t xml:space="preserve">and macro-F1 do not order the panel the same way.</w:t>
      </w:r>
    </w:p>
    <w:p>
      <w:pPr>
        <w:pStyle w:val="BodyText"/>
      </w:pPr>
      <w:r>
        <w:rPr>
          <w:b/>
          <w:bCs/>
        </w:rPr>
        <w:t xml:space="preserve">scTOP fails on two of the six.</w:t>
      </w:r>
      <w:r>
        <w:t xml:space="preserve"> </w:t>
      </w:r>
      <w:r>
        <w:t xml:space="preserve">Its mean (0.581) is not a</w:t>
      </w:r>
      <w:r>
        <w:t xml:space="preserve"> </w:t>
      </w:r>
      <w:r>
        <w:t xml:space="preserve">uniformly weak result but two collapses inside four ordinary ones: 0.124 on gtex_v9 and</w:t>
      </w:r>
      <w:r>
        <w:t xml:space="preserve"> </w:t>
      </w:r>
      <w:r>
        <w:t xml:space="preserve">0.042 on tabula_sapiens against 0.90–0.99 elsewhere.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4).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5)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65" name="Picture"/>
            <a:graphic>
              <a:graphicData uri="http://schemas.openxmlformats.org/drawingml/2006/picture">
                <pic:pic>
                  <pic:nvPicPr>
                    <pic:cNvPr descr="/Users/iandriver/Downloads/actinn-jax-benchmark/docs/figures/gene_budget_curve.png" id="66" name="Picture"/>
                    <pic:cNvPicPr>
                      <a:picLocks noChangeArrowheads="1" noChangeAspect="1"/>
                    </pic:cNvPicPr>
                  </pic:nvPicPr>
                  <pic:blipFill>
                    <a:blip r:embed="rId64"/>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68" name="Picture"/>
            <a:graphic>
              <a:graphicData uri="http://schemas.openxmlformats.org/drawingml/2006/picture">
                <pic:pic>
                  <pic:nvPicPr>
                    <pic:cNvPr descr="/Users/iandriver/Downloads/actinn-jax-benchmark/docs/figures/gene_budget_signals.png" id="69" name="Picture"/>
                    <pic:cNvPicPr>
                      <a:picLocks noChangeArrowheads="1" noChangeAspect="1"/>
                    </pic:cNvPicPr>
                  </pic:nvPicPr>
                  <pic:blipFill>
                    <a:blip r:embed="rId67"/>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0"/>
    <w:bookmarkEnd w:id="71"/>
    <w:bookmarkStart w:id="73"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(S13)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(S2).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72">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(S13)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73"/>
    <w:bookmarkStart w:id="74"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10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 (S1).</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w:t>
      </w:r>
      <w:r>
        <w:t xml:space="preserve">(S3).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74"/>
    <w:bookmarkStart w:id="80"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75">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76">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77">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7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79">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Supplementary notes.</w:t>
      </w:r>
      <w:r>
        <w:t xml:space="preserve"> </w:t>
      </w:r>
      <w:r>
        <w:t xml:space="preserve">Extended results and protocols, in the</w:t>
      </w:r>
      <w:r>
        <w:t xml:space="preserve"> </w:t>
      </w:r>
      <w:hyperlink r:id="rId33">
        <w:r>
          <w:rPr>
            <w:rStyle w:val="Hyperlink"/>
          </w:rPr>
          <w:t xml:space="preserve">benchmark repository</w:t>
        </w:r>
      </w:hyperlink>
      <w:r>
        <w:t xml:space="preserve">:</w:t>
      </w:r>
    </w:p>
    <w:p>
      <w:pPr>
        <w:pStyle w:val="Compact"/>
        <w:numPr>
          <w:ilvl w:val="0"/>
          <w:numId w:val="1008"/>
        </w:numPr>
      </w:pPr>
      <w:r>
        <w:rPr>
          <w:b/>
          <w:bCs/>
        </w:rPr>
        <w:t xml:space="preserve">S1</w:t>
      </w:r>
      <w:r>
        <w:t xml:space="preserve"> </w:t>
      </w:r>
      <w:r>
        <w:t xml:space="preserve">— Tuned linear pipeline and scTOP baselines</w:t>
      </w:r>
    </w:p>
    <w:p>
      <w:pPr>
        <w:pStyle w:val="Compact"/>
        <w:numPr>
          <w:ilvl w:val="0"/>
          <w:numId w:val="1008"/>
        </w:numPr>
      </w:pPr>
      <w:r>
        <w:rPr>
          <w:b/>
          <w:bCs/>
        </w:rPr>
        <w:t xml:space="preserve">S2</w:t>
      </w:r>
      <w:r>
        <w:t xml:space="preserve"> </w:t>
      </w:r>
      <w:r>
        <w:t xml:space="preserve">— ProtoCloud comparison</w:t>
      </w:r>
    </w:p>
    <w:p>
      <w:pPr>
        <w:pStyle w:val="Compact"/>
        <w:numPr>
          <w:ilvl w:val="0"/>
          <w:numId w:val="1008"/>
        </w:numPr>
      </w:pPr>
      <w:r>
        <w:rPr>
          <w:b/>
          <w:bCs/>
        </w:rPr>
        <w:t xml:space="preserve">S3</w:t>
      </w:r>
      <w:r>
        <w:t xml:space="preserve"> </w:t>
      </w:r>
      <w:r>
        <w:t xml:space="preserve">— Scaling and memory to atlas size</w:t>
      </w:r>
    </w:p>
    <w:p>
      <w:pPr>
        <w:pStyle w:val="Compact"/>
        <w:numPr>
          <w:ilvl w:val="0"/>
          <w:numId w:val="1008"/>
        </w:numPr>
      </w:pPr>
      <w:r>
        <w:rPr>
          <w:b/>
          <w:bCs/>
        </w:rPr>
        <w:t xml:space="preserve">S4</w:t>
      </w:r>
      <w:r>
        <w:t xml:space="preserve"> </w:t>
      </w:r>
      <w:r>
        <w:t xml:space="preserve">— Survey of cell-type annotation methods</w:t>
      </w:r>
    </w:p>
    <w:p>
      <w:pPr>
        <w:pStyle w:val="Compact"/>
        <w:numPr>
          <w:ilvl w:val="0"/>
          <w:numId w:val="1008"/>
        </w:numPr>
      </w:pPr>
      <w:r>
        <w:rPr>
          <w:b/>
          <w:bCs/>
        </w:rPr>
        <w:t xml:space="preserve">S5</w:t>
      </w:r>
      <w:r>
        <w:t xml:space="preserve"> </w:t>
      </w:r>
      <w:r>
        <w:t xml:space="preserve">— Rebuilding the broad reference</w:t>
      </w:r>
    </w:p>
    <w:p>
      <w:pPr>
        <w:pStyle w:val="Compact"/>
        <w:numPr>
          <w:ilvl w:val="0"/>
          <w:numId w:val="1008"/>
        </w:numPr>
      </w:pPr>
      <w:r>
        <w:rPr>
          <w:b/>
          <w:bCs/>
        </w:rPr>
        <w:t xml:space="preserve">S6</w:t>
      </w:r>
      <w:r>
        <w:t xml:space="preserve"> </w:t>
      </w:r>
      <w:r>
        <w:t xml:space="preserve">— Distilling Pan-human Azimuth</w:t>
      </w:r>
    </w:p>
    <w:p>
      <w:pPr>
        <w:pStyle w:val="Compact"/>
        <w:numPr>
          <w:ilvl w:val="0"/>
          <w:numId w:val="1008"/>
        </w:numPr>
      </w:pPr>
      <w:r>
        <w:rPr>
          <w:b/>
          <w:bCs/>
        </w:rPr>
        <w:t xml:space="preserve">S7</w:t>
      </w:r>
      <w:r>
        <w:t xml:space="preserve"> </w:t>
      </w:r>
      <w:r>
        <w:t xml:space="preserve">— Hepatocyte zonation</w:t>
      </w:r>
    </w:p>
    <w:p>
      <w:pPr>
        <w:pStyle w:val="Compact"/>
        <w:numPr>
          <w:ilvl w:val="0"/>
          <w:numId w:val="1008"/>
        </w:numPr>
      </w:pPr>
      <w:r>
        <w:rPr>
          <w:b/>
          <w:bCs/>
        </w:rPr>
        <w:t xml:space="preserve">S8</w:t>
      </w:r>
      <w:r>
        <w:t xml:space="preserve"> </w:t>
      </w:r>
      <w:r>
        <w:t xml:space="preserve">— Open Problems label projection</w:t>
      </w:r>
    </w:p>
    <w:p>
      <w:pPr>
        <w:pStyle w:val="Compact"/>
        <w:numPr>
          <w:ilvl w:val="0"/>
          <w:numId w:val="1008"/>
        </w:numPr>
      </w:pPr>
      <w:r>
        <w:rPr>
          <w:b/>
          <w:bCs/>
        </w:rPr>
        <w:t xml:space="preserve">S9</w:t>
      </w:r>
      <w:r>
        <w:t xml:space="preserve"> </w:t>
      </w:r>
      <w:r>
        <w:t xml:space="preserve">— Refinement and abstention</w:t>
      </w:r>
    </w:p>
    <w:p>
      <w:pPr>
        <w:pStyle w:val="Compact"/>
        <w:numPr>
          <w:ilvl w:val="0"/>
          <w:numId w:val="1008"/>
        </w:numPr>
      </w:pPr>
      <w:r>
        <w:rPr>
          <w:b/>
          <w:bCs/>
        </w:rPr>
        <w:t xml:space="preserve">S10</w:t>
      </w:r>
      <w:r>
        <w:t xml:space="preserve"> </w:t>
      </w:r>
      <w:r>
        <w:t xml:space="preserve">— Pan-mouse reference</w:t>
      </w:r>
    </w:p>
    <w:p>
      <w:pPr>
        <w:pStyle w:val="Compact"/>
        <w:numPr>
          <w:ilvl w:val="0"/>
          <w:numId w:val="1008"/>
        </w:numPr>
      </w:pPr>
      <w:r>
        <w:rPr>
          <w:b/>
          <w:bCs/>
        </w:rPr>
        <w:t xml:space="preserve">S11</w:t>
      </w:r>
      <w:r>
        <w:t xml:space="preserve"> </w:t>
      </w:r>
      <w:r>
        <w:t xml:space="preserve">— HLiCA liver reference</w:t>
      </w:r>
    </w:p>
    <w:p>
      <w:pPr>
        <w:pStyle w:val="Compact"/>
        <w:numPr>
          <w:ilvl w:val="0"/>
          <w:numId w:val="1008"/>
        </w:numPr>
      </w:pPr>
      <w:r>
        <w:rPr>
          <w:b/>
          <w:bCs/>
        </w:rPr>
        <w:t xml:space="preserve">S12</w:t>
      </w:r>
      <w:r>
        <w:t xml:space="preserve"> </w:t>
      </w:r>
      <w:r>
        <w:t xml:space="preserve">— HLiCA edge cases</w:t>
      </w:r>
    </w:p>
    <w:p>
      <w:pPr>
        <w:pStyle w:val="Compact"/>
        <w:numPr>
          <w:ilvl w:val="0"/>
          <w:numId w:val="1008"/>
        </w:numPr>
      </w:pPr>
      <w:r>
        <w:rPr>
          <w:b/>
          <w:bCs/>
        </w:rPr>
        <w:t xml:space="preserve">S13</w:t>
      </w:r>
      <w:r>
        <w:t xml:space="preserve"> </w:t>
      </w:r>
      <w:r>
        <w:t xml:space="preserve">— Pan-human Azimuth as broad pass and teacher</w:t>
      </w:r>
    </w:p>
    <w:p>
      <w:pPr>
        <w:pStyle w:val="Compact"/>
        <w:numPr>
          <w:ilvl w:val="0"/>
          <w:numId w:val="1008"/>
        </w:numPr>
      </w:pPr>
      <w:r>
        <w:rPr>
          <w:b/>
          <w:bCs/>
        </w:rPr>
        <w:t xml:space="preserve">S14</w:t>
      </w:r>
      <w:r>
        <w:t xml:space="preserve"> </w:t>
      </w:r>
      <w:r>
        <w:t xml:space="preserve">— Two-stage model flow</w:t>
      </w:r>
    </w:p>
    <w:p>
      <w:pPr>
        <w:pStyle w:val="Compact"/>
        <w:numPr>
          <w:ilvl w:val="0"/>
          <w:numId w:val="1008"/>
        </w:numPr>
      </w:pPr>
      <w:r>
        <w:rPr>
          <w:b/>
          <w:bCs/>
        </w:rPr>
        <w:t xml:space="preserve">S15</w:t>
      </w:r>
      <w:r>
        <w:t xml:space="preserve"> </w:t>
      </w:r>
      <w:r>
        <w:t xml:space="preserve">— Two-stage hierarchy experiments</w:t>
      </w:r>
    </w:p>
    <w:bookmarkEnd w:id="80"/>
    <w:bookmarkStart w:id="81" w:name="references"/>
    <w:p>
      <w:pPr>
        <w:pStyle w:val="Heading1"/>
      </w:pPr>
      <w:r>
        <w:t xml:space="preserve">References</w:t>
      </w:r>
    </w:p>
    <w:p>
      <w:pPr>
        <w:pStyle w:val="Compact"/>
        <w:numPr>
          <w:ilvl w:val="0"/>
          <w:numId w:val="1009"/>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9"/>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9"/>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9"/>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9"/>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9"/>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9"/>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63">
        <w:r>
          <w:rPr>
            <w:rStyle w:val="Hyperlink"/>
          </w:rPr>
          <w:t xml:space="preserve">doi:10.1145/2939672.2939785</w:t>
        </w:r>
      </w:hyperlink>
      <w:r>
        <w:t xml:space="preserve">.</w:t>
      </w:r>
    </w:p>
    <w:p>
      <w:pPr>
        <w:pStyle w:val="Compact"/>
        <w:numPr>
          <w:ilvl w:val="0"/>
          <w:numId w:val="1009"/>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9"/>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9"/>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9"/>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9"/>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9"/>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9"/>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9"/>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9"/>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9"/>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9"/>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9"/>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9"/>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9"/>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9"/>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72">
        <w:r>
          <w:rPr>
            <w:rStyle w:val="Hyperlink"/>
          </w:rPr>
          <w:t xml:space="preserve">doi:10.64898/2026.02.11.705358</w:t>
        </w:r>
      </w:hyperlink>
      <w:r>
        <w:t xml:space="preserve">.</w:t>
      </w:r>
    </w:p>
    <w:p>
      <w:pPr>
        <w:pStyle w:val="Compact"/>
        <w:numPr>
          <w:ilvl w:val="0"/>
          <w:numId w:val="1009"/>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9"/>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9"/>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9"/>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2026-08-07T18:37:50Z</dcterms:created>
  <dcterms:modified xsi:type="dcterms:W3CDTF">2026-08-07T18:37:50Z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