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5.png" ContentType="image/png"/>
  <Override PartName="/word/media/rId62.png" ContentType="image/png"/>
  <Override PartName="/word/media/rId48.png" ContentType="image/png"/>
  <Override PartName="/word/media/rId52.png" ContentType="image/png"/>
  <Override PartName="/word/media/rId59.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benchmark of annotation methods and practical low-memory workflows, with actinn-jax</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not ours to</w:t>
      </w:r>
      <w:r>
        <w:rPr>
          <w:b/>
          <w:bCs/>
        </w:rPr>
        <w:t xml:space="preserve"> </w:t>
      </w:r>
      <w:r>
        <w:rPr>
          <w:b/>
          <w:bCs/>
        </w:rPr>
        <w:t xml:space="preserve">design</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Python and ML</w:t>
      </w:r>
      <w:r>
        <w:t xml:space="preserve"> </w:t>
      </w:r>
      <w:r>
        <w:t xml:space="preserve">environments,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w:t>
      </w:r>
      <w:r>
        <w:t xml:space="preserve"> </w:t>
      </w:r>
      <w:r>
        <w:t xml:space="preserve">the TensorFlow-1.x original,</w:t>
      </w:r>
      <w:r>
        <w:t xml:space="preserve"> </w:t>
      </w:r>
      <w:r>
        <w:rPr>
          <w:b/>
          <w:bCs/>
        </w:rPr>
        <w:t xml:space="preserve">installs on current Python and ML environments</w:t>
      </w:r>
      <w:r>
        <w:t xml:space="preserve">. Because the</w:t>
      </w:r>
      <w:r>
        <w:t xml:space="preserve"> </w:t>
      </w:r>
      <w:r>
        <w:t xml:space="preserve">two are the same 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not included: it is unmaintained, and no longer installs against current</w:t>
      </w:r>
      <w:r>
        <w:t xml:space="preserve"> </w:t>
      </w:r>
      <w:r>
        <w:t xml:space="preserve">releases of the harmony dependency it builds on.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since a method or reference built on one convention cannot read</w:t>
      </w:r>
      <w:r>
        <w:t xml:space="preserve"> </w:t>
      </w:r>
      <w:r>
        <w:t xml:space="preserve">the other without remapping.</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w:t>
      </w:r>
      <w:r>
        <w:t xml:space="preserve"> </w:t>
      </w:r>
      <w:r>
        <w:t xml:space="preserve">though the lineage is correct and only the depth is wrong.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0"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Figures 2 and 3.</w:t>
      </w:r>
    </w:p>
    <w:p>
      <w:pPr>
        <w:pStyle w:val="BodyText"/>
      </w:pPr>
      <w:r>
        <w:t xml:space="preserve">The</w:t>
      </w:r>
      <w:r>
        <w:t xml:space="preserve"> </w:t>
      </w:r>
      <w:r>
        <w:rPr>
          <w:b/>
          <w:bCs/>
        </w:rPr>
        <w:t xml:space="preserve">tuned linear pipeline</w:t>
      </w:r>
      <w:r>
        <w:t xml:space="preserve"> </w:t>
      </w:r>
      <w:r>
        <w:t xml:space="preserve">holds the fast-frontier point: the highest accuracy in Table 3</w:t>
      </w:r>
      <w:r>
        <w:t xml:space="preserve"> </w:t>
      </w:r>
      <w:r>
        <w:t xml:space="preserve">(0.839) at the lowest fit time of any method in the leading cluster (3.0 s), placing it above</w:t>
      </w:r>
      <w:r>
        <w:t xml:space="preserve"> </w:t>
      </w:r>
      <w:r>
        <w:t xml:space="preserve">and to the left of actinn-jax, SVM, kNN 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predict time that stays flat as the</w:t>
      </w:r>
      <w:r>
        <w:t xml:space="preserve"> </w:t>
      </w:r>
      <w:r>
        <w:t xml:space="preserve">reference grows, and ~2× lower peak memory that holds to atlas scale. The figure is drawn</w:t>
      </w:r>
      <w:r>
        <w:t xml:space="preserve"> </w:t>
      </w:r>
      <w:r>
        <w:t xml:space="preserve">from the liver_intra panel alone, and is consistent with the panel-wide ranking of Tables 3</w:t>
      </w:r>
      <w:r>
        <w:t xml:space="preserve"> </w:t>
      </w:r>
      <w:r>
        <w:t xml:space="preserve">and 5.</w:t>
      </w:r>
    </w:p>
    <w:bookmarkEnd w:id="51"/>
    <w:bookmarkStart w:id="58"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little from scale on lung (0.819 → 0.846, barely outside its</w:t>
      </w:r>
      <w:r>
        <w:t xml:space="preserve"> </w:t>
      </w:r>
      <w:r>
        <w:t xml:space="preserve">interval) and loses ground on liver (0.657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Error bars on</w:t>
      </w:r>
      <w:r>
        <w:t xml:space="preserve"> </w:t>
      </w:r>
      <w:r>
        <w:rPr>
          <w:i/>
          <w:iCs/>
        </w:rPr>
        <w:t xml:space="preserve">A</w:t>
      </w:r>
      <w:r>
        <w:t xml:space="preserve"> </w:t>
      </w:r>
      <w:r>
        <w:t xml:space="preserve">and</w:t>
      </w:r>
      <w:r>
        <w:t xml:space="preserve"> </w:t>
      </w:r>
      <w:r>
        <w:rPr>
          <w:i/>
          <w:iCs/>
        </w:rPr>
        <w:t xml:space="preserve">B</w:t>
      </w:r>
      <w:r>
        <w:t xml:space="preserve"> </w:t>
      </w:r>
      <w:r>
        <w:t xml:space="preserve">are 95% binomial intervals on the query, which grows with</w:t>
      </w:r>
      <w:r>
        <w:t xml:space="preserve"> </w:t>
      </w:r>
      <w:r>
        <w:t xml:space="preserve">the reference (1,035 to 16,398 cells on lung), so they narrow from left to right; each point</w:t>
      </w:r>
      <w:r>
        <w:t xml:space="preserve"> </w:t>
      </w:r>
      <w:r>
        <w:t xml:space="preserve">is a single run, so they cover sampling of the query and not run-to-run variation. Peak memory</w:t>
      </w:r>
      <w:r>
        <w:t xml:space="preserve"> </w:t>
      </w:r>
      <w:r>
        <w:t xml:space="preserve">is not a proportion and carries none. Fit time is not plotted: the 47k liver point was measured</w:t>
      </w:r>
      <w:r>
        <w:t xml:space="preserve"> </w:t>
      </w:r>
      <w:r>
        <w:t xml:space="preserve">under CPU contention, so a cost axis there would report scheduling rather than scaling.</w:t>
      </w:r>
    </w:p>
    <w:bookmarkEnd w:id="58"/>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_ondata.png" id="61" name="Picture"/>
                    <pic:cNvPicPr>
                      <a:picLocks noChangeArrowheads="1" noChangeAspect="1"/>
                    </pic:cNvPicPr>
                  </pic:nvPicPr>
                  <pic:blipFill>
                    <a:blip r:embed="rId59"/>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 orientation</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more accurate and ~3× faster than building it from the</w:t>
      </w:r>
      <w:r>
        <w:t xml:space="preserve"> </w:t>
      </w:r>
      <w:r>
        <w:t xml:space="preserve">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5A).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459955"/>
            <wp:effectExtent b="0" l="0" r="0" t="0"/>
            <wp:docPr descr="building a coarse hierarchy without a GPU" title="" id="63" name="Picture"/>
            <a:graphic>
              <a:graphicData uri="http://schemas.openxmlformats.org/drawingml/2006/picture">
                <pic:pic>
                  <pic:nvPicPr>
                    <pic:cNvPr descr="/Users/iandriver/Downloads/actinn-jax-benchmark/docs/figures/fig_ontology_hierarchy.png" id="64" name="Picture"/>
                    <pic:cNvPicPr>
                      <a:picLocks noChangeArrowheads="1" noChangeAspect="1"/>
                    </pic:cNvPicPr>
                  </pic:nvPicPr>
                  <pic:blipFill>
                    <a:blip r:embed="rId62"/>
                    <a:stretch>
                      <a:fillRect/>
                    </a:stretch>
                  </pic:blipFill>
                  <pic:spPr bwMode="auto">
                    <a:xfrm>
                      <a:off x="0" y="0"/>
                      <a:ext cx="5334000" cy="345995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 and</w:t>
      </w:r>
      <w:r>
        <w:t xml:space="preserve"> </w:t>
      </w:r>
      <w:r>
        <w:t xml:space="preserve">against a random grouping with the same group sizes, scored by ontology concordance on the</w:t>
      </w:r>
      <w:r>
        <w:t xml:space="preserve"> </w:t>
      </w:r>
      <w:r>
        <w:t xml:space="preserve">held-out human lung atlas. Bars start at zero and error bars are 95% binomial intervals on the</w:t>
      </w:r>
      <w:r>
        <w:t xml:space="preserve"> </w:t>
      </w:r>
      <w:r>
        <w:t xml:space="preserve">2,161 scored cells; the gain over no hierarchy clears that interval and the gap between the two</w:t>
      </w:r>
      <w:r>
        <w:t xml:space="preserve"> </w:t>
      </w:r>
      <w:r>
        <w:t xml:space="preserve">controls does not.</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5B).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the ontology grouping reaches</w:t>
      </w:r>
      <w:r>
        <w:t xml:space="preserve"> </w:t>
      </w:r>
      <w:r>
        <w:rPr>
          <w:b/>
          <w:bCs/>
        </w:rPr>
        <w:t xml:space="preserve">0.616</w:t>
      </w:r>
      <w:r>
        <w:t xml:space="preserve"> </w:t>
      </w:r>
      <w:r>
        <w:t xml:space="preserve">against</w:t>
      </w:r>
      <w:r>
        <w:t xml:space="preserve"> </w:t>
      </w:r>
      <w:r>
        <w:rPr>
          <w:b/>
          <w:bCs/>
        </w:rPr>
        <w:t xml:space="preserve">0.547</w:t>
      </w:r>
      <w:r>
        <w:t xml:space="preserve"> </w:t>
      </w:r>
      <w:r>
        <w:t xml:space="preserve">for no hierarchy at all — a gain of</w:t>
      </w:r>
      <w:r>
        <w:t xml:space="preserve"> </w:t>
      </w:r>
      <w:r>
        <w:rPr>
          <w:b/>
          <w:bCs/>
        </w:rPr>
        <w:t xml:space="preserve">0.069</w:t>
      </w:r>
      <w:r>
        <w:t xml:space="preserve">, or 13% relative,</w:t>
      </w:r>
      <w:r>
        <w:t xml:space="preserve"> </w:t>
      </w:r>
      <w:r>
        <w:t xml:space="preserve">which on 2,161 scored cells sits outside the 95% interval of ±0.029. A random grouping with the</w:t>
      </w:r>
      <w:r>
        <w:t xml:space="preserve"> </w:t>
      </w:r>
      <w:r>
        <w:t xml:space="preserve">same group sizes scores</w:t>
      </w:r>
      <w:r>
        <w:t xml:space="preserve"> </w:t>
      </w:r>
      <w:r>
        <w:rPr>
          <w:b/>
          <w:bCs/>
        </w:rPr>
        <w:t xml:space="preserve">0.539</w:t>
      </w:r>
      <w:r>
        <w:t xml:space="preserve">, which is 0.008 from the no-hierarchy control and inside that</w:t>
      </w:r>
      <w:r>
        <w:t xml:space="preserve"> </w:t>
      </w:r>
      <w:r>
        <w:t xml:space="preserve">interval (Figure 5C).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9"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we sweep a confidence threshold over every method</w:t>
      </w:r>
      <w:r>
        <w:t xml:space="preserve"> </w:t>
      </w:r>
      <w:r>
        <w:t xml:space="preserve">that returns a per-cell confidence. Six do. SVM, SingleR and scPRINT return none and cannot be</w:t>
      </w:r>
      <w:r>
        <w:t xml:space="preserve"> </w:t>
      </w:r>
      <w:r>
        <w:t xml:space="preserve">swept at all; scmap-cluster has a single native</w:t>
      </w:r>
      <w:r>
        <w:t xml:space="preserve"> </w:t>
      </w:r>
      <w:r>
        <w:t xml:space="preserve">“unassigned”</w:t>
      </w:r>
      <w:r>
        <w:t xml:space="preserve"> </w:t>
      </w:r>
      <w:r>
        <w:t xml:space="preserve">decision rather than a threshold;</w:t>
      </w:r>
      <w:r>
        <w:t xml:space="preserve"> </w:t>
      </w:r>
      <w:r>
        <w:t xml:space="preserve">and scANVI and scArches expose class probabilities in principle, but the adapters used here</w:t>
      </w:r>
      <w:r>
        <w:t xml:space="preserve"> </w:t>
      </w:r>
      <w:r>
        <w:t xml:space="preserve">return hard labels only, so they are absent for an implementation reason rather than a</w:t>
      </w:r>
      <w:r>
        <w:t xml:space="preserve"> </w:t>
      </w:r>
      <w:r>
        <w:t xml:space="preserve">methodological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p≥0.5: acc / cov / OOD</w:t>
            </w:r>
          </w:p>
        </w:tc>
        <w:tc>
          <w:tcPr/>
          <w:p>
            <w:pPr>
              <w:pStyle w:val="Compact"/>
            </w:pPr>
            <w:r>
              <w:t xml:space="preserve">p≥0.7</w:t>
            </w:r>
          </w:p>
        </w:tc>
        <w:tc>
          <w:tcPr/>
          <w:p>
            <w:pPr>
              <w:pStyle w:val="Compact"/>
            </w:pPr>
            <w:r>
              <w:t xml:space="preserve">p≥0.9</w:t>
            </w:r>
          </w:p>
        </w:tc>
      </w:tr>
      <w:tr>
        <w:tc>
          <w:tcPr/>
          <w:p>
            <w:pPr>
              <w:pStyle w:val="Compact"/>
            </w:pPr>
            <w:r>
              <w:rPr>
                <w:b/>
                <w:bCs/>
              </w:rPr>
              <w:t xml:space="preserve">actinn-jax</w:t>
            </w:r>
          </w:p>
        </w:tc>
        <w:tc>
          <w:tcPr/>
          <w:p>
            <w:pPr>
              <w:pStyle w:val="Compact"/>
            </w:pPr>
            <w:r>
              <w:t xml:space="preserve">0.919 / 0.93 / 0.30</w:t>
            </w:r>
          </w:p>
        </w:tc>
        <w:tc>
          <w:tcPr/>
          <w:p>
            <w:pPr>
              <w:pStyle w:val="Compact"/>
            </w:pPr>
            <w:r>
              <w:t xml:space="preserve">0.946 / 0.84 / 0.52</w:t>
            </w:r>
          </w:p>
        </w:tc>
        <w:tc>
          <w:tcPr/>
          <w:p>
            <w:pPr>
              <w:pStyle w:val="Compact"/>
            </w:pPr>
            <w:r>
              <w:t xml:space="preserve">0.969 / 0.66 / 0.73</w:t>
            </w:r>
          </w:p>
        </w:tc>
      </w:tr>
      <w:tr>
        <w:tc>
          <w:tcPr/>
          <w:p>
            <w:pPr>
              <w:pStyle w:val="Compact"/>
            </w:pPr>
            <w:r>
              <w:t xml:space="preserve">linear-anova-pca</w:t>
            </w:r>
          </w:p>
        </w:tc>
        <w:tc>
          <w:tcPr/>
          <w:p>
            <w:pPr>
              <w:pStyle w:val="Compact"/>
            </w:pPr>
            <w:r>
              <w:t xml:space="preserve">0.894 / 0.99 / 0.07</w:t>
            </w:r>
          </w:p>
        </w:tc>
        <w:tc>
          <w:tcPr/>
          <w:p>
            <w:pPr>
              <w:pStyle w:val="Compact"/>
            </w:pPr>
            <w:r>
              <w:t xml:space="preserve">0.916 / 0.93 / 0.25</w:t>
            </w:r>
          </w:p>
        </w:tc>
        <w:tc>
          <w:tcPr/>
          <w:p>
            <w:pPr>
              <w:pStyle w:val="Compact"/>
            </w:pPr>
            <w:r>
              <w:t xml:space="preserve">0.941 / 0.85 / 0.46</w:t>
            </w:r>
          </w:p>
        </w:tc>
      </w:tr>
      <w:tr>
        <w:tc>
          <w:tcPr/>
          <w:p>
            <w:pPr>
              <w:pStyle w:val="Compact"/>
            </w:pPr>
            <w:r>
              <w:t xml:space="preserve">kNN</w:t>
            </w:r>
          </w:p>
        </w:tc>
        <w:tc>
          <w:tcPr/>
          <w:p>
            <w:pPr>
              <w:pStyle w:val="Compact"/>
            </w:pPr>
            <w:r>
              <w:t xml:space="preserve">0.830 / 0.86 / 0.28</w:t>
            </w:r>
          </w:p>
        </w:tc>
        <w:tc>
          <w:tcPr/>
          <w:p>
            <w:pPr>
              <w:pStyle w:val="Compact"/>
            </w:pPr>
            <w:r>
              <w:t xml:space="preserve">0.921 / 0.61 / 0.63</w:t>
            </w:r>
          </w:p>
        </w:tc>
        <w:tc>
          <w:tcPr/>
          <w:p>
            <w:pPr>
              <w:pStyle w:val="Compact"/>
            </w:pPr>
            <w:r>
              <w:t xml:space="preserve">0.988 / 0.36 / 0.83</w:t>
            </w:r>
          </w:p>
        </w:tc>
      </w:tr>
      <w:tr>
        <w:tc>
          <w:tcPr/>
          <w:p>
            <w:pPr>
              <w:pStyle w:val="Compact"/>
            </w:pPr>
            <w:r>
              <w:t xml:space="preserve">CellTypist</w:t>
            </w:r>
          </w:p>
        </w:tc>
        <w:tc>
          <w:tcPr/>
          <w:p>
            <w:pPr>
              <w:pStyle w:val="Compact"/>
            </w:pPr>
            <w:r>
              <w:t xml:space="preserve">0.936 / 0.68 / 0.68</w:t>
            </w:r>
          </w:p>
        </w:tc>
        <w:tc>
          <w:tcPr/>
          <w:p>
            <w:pPr>
              <w:pStyle w:val="Compact"/>
            </w:pPr>
            <w:r>
              <w:t xml:space="preserve">0.936 / 0.68 / 0.68</w:t>
            </w:r>
          </w:p>
        </w:tc>
        <w:tc>
          <w:tcPr/>
          <w:p>
            <w:pPr>
              <w:pStyle w:val="Compact"/>
            </w:pPr>
            <w:r>
              <w:t xml:space="preserve">0.937 / 0.68 / 0.68</w:t>
            </w:r>
          </w:p>
        </w:tc>
      </w:tr>
      <w:tr>
        <w:tc>
          <w:tcPr/>
          <w:p>
            <w:pPr>
              <w:pStyle w:val="Compact"/>
            </w:pPr>
            <w:r>
              <w:t xml:space="preserve">ProtoCloud</w:t>
            </w:r>
          </w:p>
        </w:tc>
        <w:tc>
          <w:tcPr/>
          <w:p>
            <w:pPr>
              <w:pStyle w:val="Compact"/>
            </w:pPr>
            <w:r>
              <w:t xml:space="preserve">0.719 / 1.00 / 0.00</w:t>
            </w:r>
          </w:p>
        </w:tc>
        <w:tc>
          <w:tcPr/>
          <w:p>
            <w:pPr>
              <w:pStyle w:val="Compact"/>
            </w:pPr>
            <w:r>
              <w:t xml:space="preserve">0.719 / 0.97 / 0.02</w:t>
            </w:r>
          </w:p>
        </w:tc>
        <w:tc>
          <w:tcPr/>
          <w:p>
            <w:pPr>
              <w:pStyle w:val="Compact"/>
            </w:pPr>
            <w:r>
              <w:t xml:space="preserve">0.750 / 0.61 / 0.47</w:t>
            </w:r>
          </w:p>
        </w:tc>
      </w:tr>
      <w:tr>
        <w:tc>
          <w:tcPr/>
          <w:p>
            <w:pPr>
              <w:pStyle w:val="Compact"/>
            </w:pPr>
            <w:r>
              <w:t xml:space="preserve">scTOP</w:t>
            </w:r>
          </w:p>
        </w:tc>
        <w:tc>
          <w:tcPr/>
          <w:p>
            <w:pPr>
              <w:pStyle w:val="Compact"/>
            </w:pPr>
            <w:r>
              <w:t xml:space="preserve">0.971 / 0.06 / 0.98</w:t>
            </w:r>
          </w:p>
        </w:tc>
        <w:tc>
          <w:tcPr/>
          <w:p>
            <w:pPr>
              <w:pStyle w:val="Compact"/>
            </w:pPr>
            <w:r>
              <w:t xml:space="preserve">1.000 / 0.00 / 1.00</w:t>
            </w:r>
          </w:p>
        </w:tc>
        <w:tc>
          <w:tcPr/>
          <w:p>
            <w:pPr>
              <w:pStyle w:val="Compact"/>
            </w:pPr>
            <w:r>
              <w:t xml:space="preserve">1.000 / 0.00 / 1.00</w:t>
            </w:r>
          </w:p>
        </w:tc>
      </w:tr>
    </w:tbl>
    <w:p>
      <w:pPr>
        <w:pStyle w:val="BodyText"/>
      </w:pPr>
      <w:r>
        <w:rPr>
          <w:b/>
          <w:bCs/>
        </w:rPr>
        <w:t xml:space="preserve">Table 8.</w:t>
      </w:r>
      <w:r>
        <w:t xml:space="preserve"> </w:t>
      </w:r>
      <w:r>
        <w:t xml:space="preserve">Confidence-threshold sweep with 9 of 36 cell types held out of the liver</w:t>
      </w:r>
      <w:r>
        <w:t xml:space="preserve"> </w:t>
      </w:r>
      <w:r>
        <w:t xml:space="preserve">reference, so 1,350 query cells are out-of-distribution. Each cell reads accuracy on kept</w:t>
      </w:r>
      <w:r>
        <w:t xml:space="preserve"> </w:t>
      </w:r>
      <w:r>
        <w:t xml:space="preserve">cells / fraction of cells kept / fraction of held-out-type cells flagged. The full five-point</w:t>
      </w:r>
      <w:r>
        <w:t xml:space="preserve"> </w:t>
      </w:r>
      <w:r>
        <w:t xml:space="preserve">sweep is in Figure 6 and in the result tables.</w:t>
      </w:r>
    </w:p>
    <w:p>
      <w:pPr>
        <w:pStyle w:val="BodyText"/>
      </w:pPr>
      <w:r>
        <w:rPr>
          <w:b/>
          <w:bCs/>
        </w:rPr>
        <w:t xml:space="preserve">A usable abstain needs the threshold to move both quantities, and only three of the six do.</w:t>
      </w:r>
      <w:r>
        <w:t xml:space="preserve"> </w:t>
      </w:r>
      <w:r>
        <w:t xml:space="preserve">actinn-jax, the linear pipeline and kNN each trade coverage for accuracy smoothly across the</w:t>
      </w:r>
      <w:r>
        <w:t xml:space="preserve"> </w:t>
      </w:r>
      <w:r>
        <w:t xml:space="preserve">range. The other three fail in different ways: CellTypist’s probabilities are saturated near 0</w:t>
      </w:r>
      <w:r>
        <w:t xml:space="preserve"> </w:t>
      </w:r>
      <w:r>
        <w:t xml:space="preserve">or 1, so every threshold from 0.3 to 0.9 lands on one operating point; scTOP’s projection score</w:t>
      </w:r>
      <w:r>
        <w:t xml:space="preserve"> </w:t>
      </w:r>
      <w:r>
        <w:t xml:space="preserve">is not a calibrated probability and discards all but 6% of the query by p≥0.5; ProtoCloud’s</w:t>
      </w:r>
      <w:r>
        <w:t xml:space="preserve"> </w:t>
      </w:r>
      <w:r>
        <w:t xml:space="preserve">ambiguity flag barely moves until 0.9.</w:t>
      </w:r>
    </w:p>
    <w:p>
      <w:pPr>
        <w:pStyle w:val="BodyText"/>
      </w:pPr>
      <w:r>
        <w:t xml:space="preserve">Among the three that work, the trade-offs differ. kNN buys accuracy by dumping coverage —</w:t>
      </w:r>
      <w:r>
        <w:t xml:space="preserve"> </w:t>
      </w:r>
      <w:r>
        <w:t xml:space="preserve">0.988 on the 36% of cells it keeps. actinn-jax and the linear pipeline sit at comparable</w:t>
      </w:r>
      <w:r>
        <w:t xml:space="preserve"> </w:t>
      </w:r>
      <w:r>
        <w:t xml:space="preserve">coverage, and actinn-jax flags more of the genuinely novel cells at every threshold (0.73</w:t>
      </w:r>
      <w:r>
        <w:t xml:space="preserve"> </w:t>
      </w:r>
      <w:r>
        <w:t xml:space="preserve">against 0.46 at p≥0.9), which is what the abstain step is for in the workflow of §3.4: a</w:t>
      </w:r>
      <w:r>
        <w:t xml:space="preserve"> </w:t>
      </w:r>
      <w:r>
        <w:t xml:space="preserve">threshold that separates novel cells from confident ones is a routing decision, and one that</w:t>
      </w:r>
      <w:r>
        <w:t xml:space="preserve"> </w:t>
      </w:r>
      <w:r>
        <w:t xml:space="preserve">merely lowers coverage is not.</w:t>
      </w:r>
    </w:p>
    <w:p>
      <w:pPr>
        <w:pStyle w:val="BodyText"/>
      </w:pPr>
      <w:r>
        <w:drawing>
          <wp:inline>
            <wp:extent cx="5334000" cy="2279816"/>
            <wp:effectExtent b="0" l="0" r="0" t="0"/>
            <wp:docPr descr="the abstain trade-off" title="" id="67" name="Picture"/>
            <a:graphic>
              <a:graphicData uri="http://schemas.openxmlformats.org/drawingml/2006/picture">
                <pic:pic>
                  <pic:nvPicPr>
                    <pic:cNvPr descr="/Users/iandriver/Downloads/actinn-jax-benchmark/docs/figures/fig_abstain.png" id="68" name="Picture"/>
                    <pic:cNvPicPr>
                      <a:picLocks noChangeArrowheads="1" noChangeAspect="1"/>
                    </pic:cNvPicPr>
                  </pic:nvPicPr>
                  <pic:blipFill>
                    <a:blip r:embed="rId66"/>
                    <a:stretch>
                      <a:fillRect/>
                    </a:stretch>
                  </pic:blipFill>
                  <pic:spPr bwMode="auto">
                    <a:xfrm>
                      <a:off x="0" y="0"/>
                      <a:ext cx="5334000" cy="2279816"/>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What abstention buys, and whether it finds the novel cells, for the six methods</w:t>
      </w:r>
      <w:r>
        <w:t xml:space="preserve"> </w:t>
      </w:r>
      <w:r>
        <w:t xml:space="preserve">that return a per-cell confidence.</w:t>
      </w:r>
      <w:r>
        <w:t xml:space="preserve"> </w:t>
      </w:r>
      <w:r>
        <w:rPr>
          <w:i/>
          <w:iCs/>
        </w:rPr>
        <w:t xml:space="preserve">Left:</w:t>
      </w:r>
      <w:r>
        <w:t xml:space="preserve"> </w:t>
      </w:r>
      <w:r>
        <w:t xml:space="preserve">accuracy on kept cells against the fraction kept.</w:t>
      </w:r>
      <w:r>
        <w:t xml:space="preserve"> </w:t>
      </w:r>
      <w:r>
        <w:rPr>
          <w:i/>
          <w:iCs/>
        </w:rPr>
        <w:t xml:space="preserve">Right:</w:t>
      </w:r>
      <w:r>
        <w:t xml:space="preserve"> </w:t>
      </w:r>
      <w:r>
        <w:t xml:space="preserve">the share of held-out-type cells flagged as the threshold rises. A usable mechanism</w:t>
      </w:r>
      <w:r>
        <w:t xml:space="preserve"> </w:t>
      </w:r>
      <w:r>
        <w:t xml:space="preserve">moves along both axes; CellTypist’s saturated probabilities collapse four thresholds onto one</w:t>
      </w:r>
      <w:r>
        <w:t xml:space="preserve"> </w:t>
      </w:r>
      <w:r>
        <w:t xml:space="preserve">operating point, and scTOP’s projection score discards the query rather than ranking it.</w:t>
      </w:r>
    </w:p>
    <w:bookmarkEnd w:id="69"/>
    <w:bookmarkStart w:id="70"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0"/>
    <w:bookmarkStart w:id="79"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1">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2">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7).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8)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4" name="Picture"/>
            <a:graphic>
              <a:graphicData uri="http://schemas.openxmlformats.org/drawingml/2006/picture">
                <pic:pic>
                  <pic:nvPicPr>
                    <pic:cNvPr descr="/Users/iandriver/Downloads/actinn-jax-benchmark/docs/figures/gene_budget_curve.png" id="75" name="Picture"/>
                    <pic:cNvPicPr>
                      <a:picLocks noChangeArrowheads="1" noChangeAspect="1"/>
                    </pic:cNvPicPr>
                  </pic:nvPicPr>
                  <pic:blipFill>
                    <a:blip r:embed="rId73"/>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7" name="Picture"/>
            <a:graphic>
              <a:graphicData uri="http://schemas.openxmlformats.org/drawingml/2006/picture">
                <pic:pic>
                  <pic:nvPicPr>
                    <pic:cNvPr descr="/Users/iandriver/Downloads/actinn-jax-benchmark/docs/figures/gene_budget_signals.png" id="78" name="Picture"/>
                    <pic:cNvPicPr>
                      <a:picLocks noChangeArrowheads="1" noChangeAspect="1"/>
                    </pic:cNvPicPr>
                  </pic:nvPicPr>
                  <pic:blipFill>
                    <a:blip r:embed="rId76"/>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9"/>
    <w:bookmarkEnd w:id="80"/>
    <w:bookmarkStart w:id="82"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1">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What no fixed typology can do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2"/>
    <w:bookmarkStart w:id="83"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3"/>
    <w:bookmarkStart w:id="9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It is</w:t>
      </w:r>
      <w:r>
        <w:t xml:space="preserve"> </w:t>
      </w:r>
      <w:r>
        <w:t xml:space="preserve">archived at</w:t>
      </w:r>
      <w:r>
        <w:t xml:space="preserve"> </w:t>
      </w:r>
      <w:hyperlink r:id="rId84">
        <w:r>
          <w:rPr>
            <w:rStyle w:val="Hyperlink"/>
          </w:rPr>
          <w:t xml:space="preserve">doi:10.5281/zenodo.21911372</w:t>
        </w:r>
      </w:hyperlink>
      <w:r>
        <w:t xml:space="preserve"> </w:t>
      </w:r>
      <w:r>
        <w:t xml:space="preserve">(MIT; a</w:t>
      </w:r>
      <w:r>
        <w:t xml:space="preserve"> </w:t>
      </w:r>
      <w:r>
        <w:t xml:space="preserve">concept DOI that resolves to the most recent release), which is what to cite for reproduction</w:t>
      </w:r>
      <w:r>
        <w:t xml:space="preserve"> </w:t>
      </w:r>
      <w:r>
        <w:t xml:space="preserve">rather than the default branch, since the branch may move on. The</w:t>
      </w:r>
      <w:r>
        <w:t xml:space="preserve"> </w:t>
      </w:r>
      <w:hyperlink r:id="rId8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9">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across eleven methods on three</w:t>
      </w:r>
      <w:r>
        <w:t xml:space="preserve"> </w:t>
      </w:r>
      <w:r>
        <w:t xml:space="preserve">splits — and Tables S1–S3, the method and dataset descriptions and per-dataset accuracy.</w:t>
      </w:r>
    </w:p>
    <w:bookmarkEnd w:id="90"/>
    <w:bookmarkStart w:id="91"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2">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1">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36" Target="https://chanzuckerberg.github.io/cellxgene-census/" TargetMode="External" /><Relationship Type="http://schemas.openxmlformats.org/officeDocument/2006/relationships/hyperlink" Id="rId8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9" Target="https://doi.org/10.5281/zenodo.20401417" TargetMode="External" /><Relationship Type="http://schemas.openxmlformats.org/officeDocument/2006/relationships/hyperlink" Id="rId87" Target="https://doi.org/10.5281/zenodo.21688150" TargetMode="External" /><Relationship Type="http://schemas.openxmlformats.org/officeDocument/2006/relationships/hyperlink" Id="rId86" Target="https://doi.org/10.5281/zenodo.21688151" TargetMode="External" /><Relationship Type="http://schemas.openxmlformats.org/officeDocument/2006/relationships/hyperlink" Id="rId84" Target="https://doi.org/10.5281/zenodo.21911372"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9" Target="https://doi.org/10.5281/zenodo.20401417" TargetMode="External" /><Relationship Type="http://schemas.openxmlformats.org/officeDocument/2006/relationships/hyperlink" Id="rId87" Target="https://doi.org/10.5281/zenodo.21688150" TargetMode="External" /><Relationship Type="http://schemas.openxmlformats.org/officeDocument/2006/relationships/hyperlink" Id="rId86" Target="https://doi.org/10.5281/zenodo.21688151" TargetMode="External" /><Relationship Type="http://schemas.openxmlformats.org/officeDocument/2006/relationships/hyperlink" Id="rId84" Target="https://doi.org/10.5281/zenodo.21911372"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benchmark of annotation methods and practical low-memory workflows, with actinn-jax</dc:title>
  <dc:creator>Ian Driver</dc:creator>
  <cp:keywords/>
  <dcterms:created xsi:type="dcterms:W3CDTF">2026-08-13T15:18:55Z</dcterms:created>
  <dcterms:modified xsi:type="dcterms:W3CDTF">2026-08-13T15:18:55Z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