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3.png" ContentType="image/png"/>
  <Override PartName="/word/media/rId27.png" ContentType="image/png"/>
  <Override PartName="/word/media/rId19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Annotating single-cell data on a laptop: a 13-method benchmark and practical low-memory workflows, with actinn-jax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Reference-based cell-type annotation is a routine, high-volume step in single-cell analysis, and most labs run it on a laptop, not a GPU cluster. We present</w:t>
      </w:r>
      <w:r>
        <w:t xml:space="preserve"> </w:t>
      </w:r>
      <w:r>
        <w:rPr>
          <w:b/>
          <w:bCs/>
        </w:rPr>
        <w:t xml:space="preserve">actinn-jax</w:t>
      </w:r>
      <w:r>
        <w:t xml:space="preserve">, a from-scratch JAX reimplementation of ACTINN (a 4-layer MLP classifier) with a sparse-aware pipeline and a train-once/map-many cached reference model, and use it as the occasion for a neutral benchmark of</w:t>
      </w:r>
      <w:r>
        <w:t xml:space="preserve"> </w:t>
      </w:r>
      <w:r>
        <w:rPr>
          <w:b/>
          <w:bCs/>
        </w:rPr>
        <w:t xml:space="preserve">thirteen</w:t>
      </w:r>
      <w:r>
        <w:t xml:space="preserve"> </w:t>
      </w:r>
      <w:r>
        <w:t xml:space="preserve">methods spanning every major class — classical (SVM, kNN), regularized-linear (CellTypist), a carefully-tuned linear pipeline, parameter-free projection (scTOP), marker/correlation (SingleR, scmap), the original TensorFlow ACTINN, deep probabilistic (scANVI, scArches), an interpretable prototype VAE (ProtoCloud), and a foundation model (scPRINT) — across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datasets (within-dataset, cross-dataset and cross-study; 8 to 86 cell types) plus a five-point</w:t>
      </w:r>
      <w:r>
        <w:t xml:space="preserve"> </w:t>
      </w:r>
      <w:r>
        <w:rPr>
          <w:b/>
          <w:bCs/>
        </w:rPr>
        <w:t xml:space="preserve">scaling sweep to 49k reference cells</w:t>
      </w:r>
      <w:r>
        <w:t xml:space="preserve">, measuring accuracy, macro-F1, ontology-aware concordance, training and inference time, and peak memory on commodity Apple-Silicon hardware.</w:t>
      </w:r>
      <w:r>
        <w:t xml:space="preserve"> </w:t>
      </w:r>
      <w:r>
        <w:rPr>
          <w:b/>
          <w:bCs/>
        </w:rPr>
        <w:t xml:space="preserve">The headline result is not that our method wins.</w:t>
      </w:r>
      <w:r>
        <w:t xml:space="preserve"> </w:t>
      </w:r>
      <w:r>
        <w:t xml:space="preserve">On the original ten-method panel actinn-jax ties the top accuracy cluster (mean 0.831 vs. scANVI 0.835, a five-way cluster within 0.004) while predicting ~195× faster than scANVI, and it places 3rd of 17 on the community</w:t>
      </w:r>
      <w:r>
        <w:t xml:space="preserve"> </w:t>
      </w:r>
      <w:r>
        <w:rPr>
          <w:b/>
          <w:bCs/>
        </w:rPr>
        <w:t xml:space="preserve">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 </w:t>
      </w:r>
      <w:r>
        <w:t xml:space="preserve">benchmark (1st among methods completing every dataset). But adding the strongest simple baselines from the concurrent literature changes the picture. A carefully preprocessed</w:t>
      </w:r>
      <w:r>
        <w:t xml:space="preserve"> </w:t>
      </w:r>
      <w:r>
        <w:rPr>
          <w:b/>
          <w:bCs/>
        </w:rPr>
        <w:t xml:space="preserve">linear pipeline</w:t>
      </w:r>
      <w:r>
        <w:t xml:space="preserve"> </w:t>
      </w:r>
      <w:r>
        <w:t xml:space="preserve">(normalize → ANOVA → PCA → logistic regression)</w:t>
      </w:r>
      <w:r>
        <w:t xml:space="preserve"> </w:t>
      </w:r>
      <w:r>
        <w:rPr>
          <w:b/>
          <w:bCs/>
        </w:rPr>
        <w:t xml:space="preserve">beats actinn-jax on both accuracy and training time</w:t>
      </w:r>
      <w:r>
        <w:t xml:space="preserve"> </w:t>
      </w:r>
      <w:r>
        <w:t xml:space="preserve">(mean 0.880/0.860 vs. 0.867/0.839 across four datasets, fitting 3.7× faster); and at atlas scale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is the decisive accuracy winner, rising from worst at 3k reference cells (0.722) to best at 49k (</w:t>
      </w:r>
      <w:r>
        <w:rPr>
          <w:b/>
          <w:bCs/>
        </w:rPr>
        <w:t xml:space="preserve">0.976</w:t>
      </w:r>
      <w:r>
        <w:t xml:space="preserve"> </w:t>
      </w:r>
      <w:r>
        <w:t xml:space="preserve">vs. 0.936 for actinn-jax and 0.939 for the linear pipeline).</w:t>
      </w:r>
      <w:r>
        <w:t xml:space="preserve"> </w:t>
      </w:r>
      <w:r>
        <w:rPr>
          <w:b/>
          <w:bCs/>
        </w:rPr>
        <w:t xml:space="preserve">actinn-jax is not the accuracy leader at any scale we tested</w:t>
      </w:r>
      <w:r>
        <w:t xml:space="preserve">, and our earlier margins over the</w:t>
      </w:r>
      <w:r>
        <w:t xml:space="preserve"> </w:t>
      </w:r>
      <w:r>
        <w:t xml:space="preserve">“classical tier”</w:t>
      </w:r>
      <w:r>
        <w:t xml:space="preserve"> </w:t>
      </w:r>
      <w:r>
        <w:t xml:space="preserve">reflected</w:t>
      </w:r>
      <w:r>
        <w:t xml:space="preserve"> </w:t>
      </w:r>
      <w:r>
        <w:rPr>
          <w:i/>
          <w:iCs/>
        </w:rPr>
        <w:t xml:space="preserve">untuned</w:t>
      </w:r>
      <w:r>
        <w:t xml:space="preserve"> </w:t>
      </w:r>
      <w:r>
        <w:t xml:space="preserve">baselines.</w:t>
      </w:r>
      <w:r>
        <w:t xml:space="preserve"> </w:t>
      </w:r>
      <w:r>
        <w:rPr>
          <w:b/>
          <w:bCs/>
        </w:rPr>
        <w:t xml:space="preserve">Several methods now annotate quickly, accurately, and with a usable handle on unknown cells</w:t>
      </w:r>
      <w:r>
        <w:t xml:space="preserve"> </w:t>
      </w:r>
      <w:r>
        <w:t xml:space="preserve">— the tuned linear pipeline, ProtoCloud, scANVI and actinn-jax all clear that bar in different regimes — so the useful contribution is not another accuracy ranking but a clear account of</w:t>
      </w:r>
      <w:r>
        <w:t xml:space="preserve"> </w:t>
      </w:r>
      <w:r>
        <w:rPr>
          <w:b/>
          <w:bCs/>
        </w:rPr>
        <w:t xml:space="preserve">which tool fits which job, and what the practical workflows look like</w:t>
      </w:r>
      <w:r>
        <w:t xml:space="preserve">. We therefore report the benchmark as a decision aid (accuracy-per-second, accuracy-per-byte, and behaviour from 3k to 49k reference cells) and then demonstrate</w:t>
      </w:r>
      <w:r>
        <w:t xml:space="preserve"> </w:t>
      </w:r>
      <w:r>
        <w:rPr>
          <w:b/>
          <w:bCs/>
        </w:rPr>
        <w:t xml:space="preserve">end-to-end workflows</w:t>
      </w:r>
      <w:r>
        <w:t xml:space="preserve"> </w:t>
      </w:r>
      <w:r>
        <w:t xml:space="preserve">built on actinn-jax where its cost profile is the binding constraint: annotating an unknown human dataset from a</w:t>
      </w:r>
      <w:r>
        <w:t xml:space="preserve"> </w:t>
      </w:r>
      <w:r>
        <w:rPr>
          <w:b/>
          <w:bCs/>
        </w:rPr>
        <w:t xml:space="preserve">shipped census-scale reference</w:t>
      </w:r>
      <w:r>
        <w:t xml:space="preserve"> </w:t>
      </w:r>
      <w:r>
        <w:t xml:space="preserve">(~800 cell types, calibrated abstain) with no training;</w:t>
      </w:r>
      <w:r>
        <w:t xml:space="preserve"> </w:t>
      </w:r>
      <w:r>
        <w:rPr>
          <w:b/>
          <w:bCs/>
        </w:rPr>
        <w:t xml:space="preserve">tissue-aware refinement</w:t>
      </w:r>
      <w:r>
        <w:t xml:space="preserve"> </w:t>
      </w:r>
      <w:r>
        <w:t xml:space="preserve">that halves spurious cross-tissue labels on a liver query; a</w:t>
      </w:r>
      <w:r>
        <w:t xml:space="preserve"> </w:t>
      </w:r>
      <w:r>
        <w:rPr>
          <w:b/>
          <w:bCs/>
        </w:rPr>
        <w:t xml:space="preserve">broad→refined hand-off</w:t>
      </w:r>
      <w:r>
        <w:t xml:space="preserve"> </w:t>
      </w:r>
      <w:r>
        <w:t xml:space="preserve">to a small focused reference (held-out cross-study liver 0.23/0.58 → 0.72/0.86, exact-CL/ontology); within-cell-type resolution (hepatocyte zonation); and a</w:t>
      </w:r>
      <w:r>
        <w:t xml:space="preserve"> </w:t>
      </w:r>
      <w:r>
        <w:rPr>
          <w:b/>
          <w:bCs/>
        </w:rPr>
        <w:t xml:space="preserve">cluster-level novel-cell-type screen</w:t>
      </w:r>
      <w:r>
        <w:t xml:space="preserve"> </w:t>
      </w:r>
      <w:r>
        <w:t xml:space="preserve">validated by recovering a withheld pulmonary ionocyte population and its marker ASCL3. actinn-jax is the</w:t>
      </w:r>
      <w:r>
        <w:t xml:space="preserve"> </w:t>
      </w:r>
      <w:r>
        <w:rPr>
          <w:b/>
          <w:bCs/>
        </w:rPr>
        <w:t xml:space="preserve">lightest accurate method</w:t>
      </w:r>
      <w:r>
        <w:t xml:space="preserve"> </w:t>
      </w:r>
      <w:r>
        <w:t xml:space="preserve">in the panel (2.1× lower peak memory than the linear pipeline at 49k cells, 6.1 vs. 13.2 GB, with sub-second memory-bounded inference), which is what makes these workflows practical on a laptop. We are explicit about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unique: ProtoCloud also provides uncertainty, gene attribution and a (stronger, retraining-based) refinement path; what actinn-jax adds is a ready-to-run broad reference, sub-second frozen-model refinement, and a one-call novelty screen. We also</w:t>
      </w:r>
      <w:r>
        <w:t xml:space="preserve"> </w:t>
      </w:r>
      <w:r>
        <w:rPr>
          <w:b/>
          <w:bCs/>
        </w:rPr>
        <w:t xml:space="preserve">retract two of our own earlier claims</w:t>
      </w:r>
      <w:r>
        <w:t xml:space="preserve">: a projected memory blow-up for the linear pipeline at atlas scale did not occur (13.2 GB, not ~32 GB), and the memory gap is bounded at ~2–3× rather than widening with data.</w:t>
      </w:r>
    </w:p>
    <w:p>
      <w:pPr>
        <w:pStyle w:val="FirstParagraph"/>
      </w:pPr>
      <w:r>
        <w:rPr>
          <w:b/>
          <w:bCs/>
        </w:rPr>
        <w:t xml:space="preserve">Ian Driver</w:t>
      </w:r>
    </w:p>
    <w:p>
      <w:pPr>
        <w:pStyle w:val="BodyText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Annotating cell types by mapping to a labeled reference is one of the most frequently run</w:t>
      </w:r>
      <w:r>
        <w:t xml:space="preserve"> </w:t>
      </w:r>
      <w:r>
        <w:t xml:space="preserve">operations in single-cell RNA-seq. The method landscape is large (survey),</w:t>
      </w:r>
      <w:r>
        <w:t xml:space="preserve"> </w:t>
      </w:r>
      <w:r>
        <w:t xml:space="preserve">but published comparisons ([Abdelaal 2019], [Huang 2024]) emphasize accuracy and rarely</w:t>
      </w:r>
      <w:r>
        <w:t xml:space="preserve"> </w:t>
      </w:r>
      <w:r>
        <w:t xml:space="preserve">report the axis that decides what a working scientist actually runs on their own machine:</w:t>
      </w:r>
      <w:r>
        <w:t xml:space="preserve"> </w:t>
      </w:r>
      <w:r>
        <w:rPr>
          <w:b/>
          <w:bCs/>
        </w:rPr>
        <w:t xml:space="preserve">wall-clock time and memory on commodity hardware</w:t>
      </w:r>
      <w:r>
        <w:t xml:space="preserve">, without a GPU. Foundation models</w:t>
      </w:r>
      <w:r>
        <w:t xml:space="preserve"> </w:t>
      </w:r>
      <w:r>
        <w:t xml:space="preserve">(scGPT, Geneformer, scPRINT) push accuracy in some settings but need GPUs and minutes-to-</w:t>
      </w:r>
      <w:r>
        <w:t xml:space="preserve"> </w:t>
      </w:r>
      <w:r>
        <w:t xml:space="preserve">hours, and — as we and others find — their</w:t>
      </w:r>
      <w:r>
        <w:t xml:space="preserve"> </w:t>
      </w:r>
      <w:r>
        <w:rPr>
          <w:i/>
          <w:iCs/>
        </w:rPr>
        <w:t xml:space="preserve">zero-shot</w:t>
      </w:r>
      <w:r>
        <w:t xml:space="preserve"> </w:t>
      </w:r>
      <w:r>
        <w:t xml:space="preserve">label predictions underperform a</w:t>
      </w:r>
      <w:r>
        <w:t xml:space="preserve"> </w:t>
      </w:r>
      <w:r>
        <w:t xml:space="preserve">small model trained on curated reference labels.</w:t>
      </w:r>
    </w:p>
    <w:p>
      <w:pPr>
        <w:pStyle w:val="BodyText"/>
      </w:pPr>
      <w:r>
        <w:t xml:space="preserve">We ask a practical question:</w:t>
      </w:r>
      <w:r>
        <w:t xml:space="preserve"> </w:t>
      </w:r>
      <w:r>
        <w:rPr>
          <w:b/>
          <w:bCs/>
        </w:rPr>
        <w:t xml:space="preserve">for a given annotation job on commodity hardware, which</w:t>
      </w:r>
      <w:r>
        <w:rPr>
          <w:b/>
          <w:bCs/>
        </w:rPr>
        <w:t xml:space="preserve"> </w:t>
      </w:r>
      <w:r>
        <w:rPr>
          <w:b/>
          <w:bCs/>
        </w:rPr>
        <w:t xml:space="preserve">method should you actually run, and what does the surrounding workflow look like?</w:t>
      </w:r>
      <w:r>
        <w:t xml:space="preserve"> </w:t>
      </w:r>
      <w:r>
        <w:t xml:space="preserve">Several</w:t>
      </w:r>
      <w:r>
        <w:t xml:space="preserve"> </w:t>
      </w:r>
      <w:r>
        <w:t xml:space="preserve">methods now annotate quickly and accurately and give a usable signal on unknown cells, so</w:t>
      </w:r>
      <w:r>
        <w:t xml:space="preserve"> </w:t>
      </w:r>
      <w:r>
        <w:t xml:space="preserve">the shortage is not another leaderboard but guidance on fit-for-purpose — accuracy per</w:t>
      </w:r>
      <w:r>
        <w:t xml:space="preserve"> </w:t>
      </w:r>
      <w:r>
        <w:t xml:space="preserve">second, accuracy per byte, and how each behaves as the reference grows. We answer with a</w:t>
      </w:r>
      <w:r>
        <w:t xml:space="preserve"> </w:t>
      </w:r>
      <w:r>
        <w:t xml:space="preserve">neutral 13-method benchmark plus a set of demonstrated workflows, and we hold ourselves to a</w:t>
      </w:r>
      <w:r>
        <w:t xml:space="preserve"> </w:t>
      </w:r>
      <w:r>
        <w:t xml:space="preserve">neutral standard: every method runs in its own environment through the same harness, on the</w:t>
      </w:r>
      <w:r>
        <w:t xml:space="preserve"> </w:t>
      </w:r>
      <w:r>
        <w:t xml:space="preserve">same splits, scored by the same metrics,</w:t>
      </w:r>
      <w:r>
        <w:t xml:space="preserve"> </w:t>
      </w:r>
      <w:r>
        <w:rPr>
          <w:b/>
          <w:bCs/>
        </w:rPr>
        <w:t xml:space="preserve">with the honest result reported wherever</w:t>
      </w:r>
      <w:r>
        <w:rPr>
          <w:b/>
          <w:bCs/>
        </w:rPr>
        <w:t xml:space="preserve"> </w:t>
      </w:r>
      <w:r>
        <w:rPr>
          <w:b/>
          <w:bCs/>
        </w:rPr>
        <w:t xml:space="preserve">actinn-jax loses — which, on accuracy, is often.</w:t>
      </w:r>
    </w:p>
    <w:p>
      <w:pPr>
        <w:pStyle w:val="BodyText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1. A modern, dependency-light (no TensorFlow) JAX reimplementation of ACTINN with sparse</w:t>
      </w:r>
      <w:r>
        <w:t xml:space="preserve"> </w:t>
      </w:r>
      <w:r>
        <w:t xml:space="preserve">preprocessing, chunked atlas-scale prediction, and a cached reference model.</w:t>
      </w:r>
      <w:r>
        <w:t xml:space="preserve"> </w:t>
      </w:r>
      <w:r>
        <w:t xml:space="preserve">2. A neutral</w:t>
      </w:r>
      <w:r>
        <w:t xml:space="preserve"> </w:t>
      </w:r>
      <w:r>
        <w:rPr>
          <w:b/>
          <w:bCs/>
        </w:rPr>
        <w:t xml:space="preserve">13-method × 6-dataset</w:t>
      </w:r>
      <w:r>
        <w:t xml:space="preserve"> </w:t>
      </w:r>
      <w:r>
        <w:t xml:space="preserve">benchmark of accuracy, speed, and memory on Apple</w:t>
      </w:r>
      <w:r>
        <w:t xml:space="preserve"> </w:t>
      </w:r>
      <w:r>
        <w:t xml:space="preserve">Silicon, with a rejection/abstain analysis and a</w:t>
      </w:r>
      <w:r>
        <w:t xml:space="preserve"> </w:t>
      </w:r>
      <w:r>
        <w:rPr>
          <w:b/>
          <w:bCs/>
        </w:rPr>
        <w:t xml:space="preserve">five-point scaling sweep to 49k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cells</w:t>
      </w:r>
      <w:r>
        <w:t xml:space="preserve">. The panel deliberately includes the baselines most likely to beat us —</w:t>
      </w:r>
      <w:r>
        <w:t xml:space="preserve"> </w:t>
      </w:r>
      <w:r>
        <w:t xml:space="preserve">a tuned linear pipeline, scTOP, and ProtoCloud — and</w:t>
      </w:r>
      <w:r>
        <w:t xml:space="preserve"> </w:t>
      </w:r>
      <w:r>
        <w:rPr>
          <w:b/>
          <w:bCs/>
        </w:rPr>
        <w:t xml:space="preserve">two of them do</w:t>
      </w:r>
      <w:r>
        <w:t xml:space="preserve">; we report that,</w:t>
      </w:r>
      <w:r>
        <w:t xml:space="preserve"> </w:t>
      </w:r>
      <w:r>
        <w:t xml:space="preserve">and retract two earlier claims of our own that the scaling data falsified (§5).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Demonstrated end-to-end workflows</w:t>
      </w:r>
      <w:r>
        <w:t xml:space="preserve"> </w:t>
      </w:r>
      <w:r>
        <w:t xml:space="preserve">for jobs where cost is the binding constraint,</w:t>
      </w:r>
      <w:r>
        <w:t xml:space="preserve"> </w:t>
      </w:r>
      <w:r>
        <w:t xml:space="preserve">all CPU: annotate an unknown human dataset from a</w:t>
      </w:r>
      <w:r>
        <w:t xml:space="preserve"> </w:t>
      </w:r>
      <w:r>
        <w:rPr>
          <w:b/>
          <w:bCs/>
        </w:rPr>
        <w:t xml:space="preserve">shipped census-wide ~800-type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with a calibrated abstain and no training;</w:t>
      </w:r>
      <w:r>
        <w:t xml:space="preserve"> </w:t>
      </w:r>
      <w:r>
        <w:rPr>
          <w:b/>
          <w:bCs/>
        </w:rPr>
        <w:t xml:space="preserve">tissue-aware refinement</w:t>
      </w:r>
      <w:r>
        <w:t xml:space="preserve"> </w:t>
      </w:r>
      <w:r>
        <w:t xml:space="preserve">(halves</w:t>
      </w:r>
      <w:r>
        <w:t xml:space="preserve"> </w:t>
      </w:r>
      <w:r>
        <w:t xml:space="preserve">spurious cross-tissue labels on a liver query); a</w:t>
      </w:r>
      <w:r>
        <w:t xml:space="preserve"> </w:t>
      </w:r>
      <w:r>
        <w:rPr>
          <w:b/>
          <w:bCs/>
        </w:rPr>
        <w:t xml:space="preserve">broad→refined hand-off</w:t>
      </w:r>
      <w:r>
        <w:t xml:space="preserve"> </w:t>
      </w:r>
      <w:r>
        <w:t xml:space="preserve">to a small</w:t>
      </w:r>
      <w:r>
        <w:t xml:space="preserve"> </w:t>
      </w:r>
      <w:r>
        <w:t xml:space="preserve">focused reference (cross-study liver 0.23/0.58 → 0.72/0.86); within-cell-type resolution</w:t>
      </w:r>
      <w:r>
        <w:t xml:space="preserve"> </w:t>
      </w:r>
      <w:r>
        <w:t xml:space="preserve">(hepatocyte zonation); and a</w:t>
      </w:r>
      <w:r>
        <w:t xml:space="preserve"> </w:t>
      </w:r>
      <w:r>
        <w:rPr>
          <w:b/>
          <w:bCs/>
        </w:rPr>
        <w:t xml:space="preserve">one-call novel-cell-type screen</w:t>
      </w:r>
      <w:r>
        <w:t xml:space="preserve"> </w:t>
      </w:r>
      <w:r>
        <w:t xml:space="preserve">(recovers a withheld</w:t>
      </w:r>
      <w:r>
        <w:t xml:space="preserve"> </w:t>
      </w:r>
      <w:r>
        <w:t xml:space="preserve">pulmonary ionocyte population and its marker ASCL3). We state which of these are genuinely</w:t>
      </w:r>
      <w:r>
        <w:t xml:space="preserve"> </w:t>
      </w:r>
      <w:r>
        <w:t xml:space="preserve">distinct: ProtoCloud also offers uncertainty, attribution and a retraining-based refine, so</w:t>
      </w:r>
      <w:r>
        <w:t xml:space="preserve"> </w:t>
      </w:r>
      <w:r>
        <w:t xml:space="preserve">the distinct pieces are the ready-to-run broad reference, sub-second frozen-model</w:t>
      </w:r>
      <w:r>
        <w:t xml:space="preserve"> </w:t>
      </w:r>
      <w:r>
        <w:t xml:space="preserve">refinement, and the novelty screen.</w:t>
      </w:r>
      <w:r>
        <w:t xml:space="preserve"> </w:t>
      </w:r>
      <w:r>
        <w:t xml:space="preserve">4. An</w:t>
      </w:r>
      <w:r>
        <w:t xml:space="preserve"> </w:t>
      </w:r>
      <w:r>
        <w:rPr>
          <w:b/>
          <w:bCs/>
        </w:rPr>
        <w:t xml:space="preserve">independent external validation</w:t>
      </w:r>
      <w:r>
        <w:t xml:space="preserve"> </w:t>
      </w:r>
      <w:r>
        <w:t xml:space="preserve">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with a</w:t>
      </w:r>
      <w:r>
        <w:t xml:space="preserve"> </w:t>
      </w:r>
      <w:r>
        <w:t xml:space="preserve">controlled same-hardware speed/memory comparison, and a small set of cheap, honest</w:t>
      </w:r>
      <w:r>
        <w:t xml:space="preserve"> </w:t>
      </w:r>
      <w:r>
        <w:t xml:space="preserve">ablations that characterize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gene-space model gains or loses to heavier methods</w:t>
      </w:r>
      <w:r>
        <w:t xml:space="preserve"> </w:t>
      </w:r>
      <w:r>
        <w:t xml:space="preserve">(input standardization; a reference-guided gene budget; a foundation-model negative</w:t>
      </w:r>
      <w:r>
        <w:t xml:space="preserve"> </w:t>
      </w:r>
      <w:r>
        <w:t xml:space="preserve">control).</w:t>
      </w:r>
    </w:p>
    <w:bookmarkEnd w:id="9"/>
    <w:bookmarkStart w:id="14" w:name="methods"/>
    <w:p>
      <w:pPr>
        <w:pStyle w:val="Heading1"/>
      </w:pPr>
      <w:r>
        <w:t xml:space="preserve">Methods</w:t>
      </w:r>
    </w:p>
    <w:bookmarkStart w:id="10" w:name="actinn-jax"/>
    <w:p>
      <w:pPr>
        <w:pStyle w:val="Heading2"/>
      </w:pPr>
      <w:r>
        <w:t xml:space="preserve">actinn-jax</w:t>
      </w:r>
    </w:p>
    <w:p>
      <w:pPr>
        <w:pStyle w:val="FirstParagraph"/>
      </w:pPr>
      <w:r>
        <w:t xml:space="preserve">actinn-jax reimplements ACTINN ([Ma &amp; Pellegrini 2020]) — a 4-layer fully-connected</w:t>
      </w:r>
      <w:r>
        <w:t xml:space="preserve"> </w:t>
      </w:r>
      <w:r>
        <w:t xml:space="preserve">network (100/50/25 hidden units, ReLU, softmax) trained with Adam — in JAX/optax, replacing</w:t>
      </w:r>
      <w:r>
        <w:t xml:space="preserve"> </w:t>
      </w:r>
      <w:r>
        <w:t xml:space="preserve">the original’s TensorFlow-1.x graph/session code. Key engineering: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Sparse-aware preprocessing</w:t>
      </w:r>
      <w:r>
        <w:t xml:space="preserve">: no</w:t>
      </w:r>
      <w:r>
        <w:t xml:space="preserve"> </w:t>
      </w:r>
      <w:r>
        <w:rPr>
          <w:rStyle w:val="VerbatimChar"/>
        </w:rPr>
        <w:t xml:space="preserve">adata.to_df</w:t>
      </w:r>
      <w:r>
        <w:t xml:space="preserve"> </w:t>
      </w:r>
      <w:r>
        <w:t xml:space="preserve">densification; CP10k+log2</w:t>
      </w:r>
      <w:r>
        <w:t xml:space="preserve"> </w:t>
      </w:r>
      <w:r>
        <w:t xml:space="preserve">normalization and the expr/CV gene filter run on sparse matrices; only the selected-gene</w:t>
      </w:r>
      <w:r>
        <w:t xml:space="preserve"> </w:t>
      </w:r>
      <w:r>
        <w:t xml:space="preserve">columns of each minibatch are densified.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Cached reference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ReferenceModel</w:t>
      </w:r>
      <w:r>
        <w:t xml:space="preserve">): train once,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/</w:t>
      </w:r>
      <w:r>
        <w:rPr>
          <w:rStyle w:val="VerbatimChar"/>
        </w:rPr>
        <w:t xml:space="preserve">load</w:t>
      </w:r>
      <w:r>
        <w:t xml:space="preserve">, map many</w:t>
      </w:r>
      <w:r>
        <w:t xml:space="preserve"> </w:t>
      </w:r>
      <w:r>
        <w:t xml:space="preserve">queries — the amortized cost of repeated annotation against a fixed reference drops to</w:t>
      </w:r>
      <w:r>
        <w:t xml:space="preserve"> </w:t>
      </w:r>
      <w:r>
        <w:t xml:space="preserve">the inference cost alone.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Chunked prediction</w:t>
      </w:r>
      <w:r>
        <w:t xml:space="preserve"> </w:t>
      </w:r>
      <w:r>
        <w:t xml:space="preserve">for atlas-scale queries;</w:t>
      </w:r>
      <w:r>
        <w:t xml:space="preserve"> </w:t>
      </w:r>
      <w:r>
        <w:rPr>
          <w:rStyle w:val="VerbatimChar"/>
          <w:b/>
          <w:bCs/>
        </w:rPr>
        <w:t xml:space="preserve">use_raw='auto'</w:t>
      </w:r>
      <w:r>
        <w:t xml:space="preserve"> </w:t>
      </w:r>
      <w:r>
        <w:t xml:space="preserve">to pick raw counts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(CELLxGENE convention).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Optional reference-fit standardization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standardize=True</w:t>
      </w:r>
      <w:r>
        <w:t xml:space="preserve">): z-score each selected</w:t>
      </w:r>
      <w:r>
        <w:t xml:space="preserve"> </w:t>
      </w:r>
      <w:r>
        <w:t xml:space="preserve">gene by the reference’s frozen mean/std and apply it to the query — a cheap domain</w:t>
      </w:r>
      <w:r>
        <w:t xml:space="preserve"> </w:t>
      </w:r>
      <w:r>
        <w:t xml:space="preserve">alignment (§3.9). Opt-in, with a saved scaler that projects with the model; μ/σ persist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.npz</w:t>
      </w:r>
      <w:r>
        <w:t xml:space="preserve"> </w:t>
      </w:r>
      <w:r>
        <w:t xml:space="preserve">(old models load standardization-off, backward-compatible).</w:t>
      </w:r>
      <w:r>
        <w:t xml:space="preserve"> </w:t>
      </w:r>
      <w:r>
        <w:t xml:space="preserve">Measured against the original TF ACTINN it is</w:t>
      </w:r>
      <w:r>
        <w:t xml:space="preserve"> </w:t>
      </w:r>
      <w:r>
        <w:rPr>
          <w:b/>
          <w:bCs/>
        </w:rPr>
        <w:t xml:space="preserve">~3.3× faster and ~3.5× lighter</w:t>
      </w:r>
      <w:r>
        <w:t xml:space="preserve"> </w:t>
      </w:r>
      <w:r>
        <w:t xml:space="preserve">at equal</w:t>
      </w:r>
      <w:r>
        <w:t xml:space="preserve"> </w:t>
      </w:r>
      <w:r>
        <w:t xml:space="preserve">accuracy; that comparison is included</w:t>
      </w:r>
      <w:r>
        <w:t xml:space="preserve"> </w:t>
      </w:r>
      <w:r>
        <w:t xml:space="preserve">directly in this benchmark as the</w:t>
      </w:r>
      <w:r>
        <w:t xml:space="preserve"> </w:t>
      </w:r>
      <w:r>
        <w:rPr>
          <w:rStyle w:val="VerbatimChar"/>
        </w:rPr>
        <w:t xml:space="preserve">actinn-orig</w:t>
      </w:r>
      <w:r>
        <w:t xml:space="preserve"> </w:t>
      </w:r>
      <w:r>
        <w:t xml:space="preserve">method.</w:t>
      </w:r>
    </w:p>
    <w:bookmarkEnd w:id="10"/>
    <w:bookmarkStart w:id="11" w:name="benchmarked-methods"/>
    <w:p>
      <w:pPr>
        <w:pStyle w:val="Heading2"/>
      </w:pPr>
      <w:r>
        <w:t xml:space="preserve">Benchmarked methods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abstain (min_prob)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normalize→ANOVA→PCA(220)→logreg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core (</w:t>
            </w:r>
            <w:r>
              <w:rPr>
                <w:rStyle w:val="VerbatimChar"/>
              </w:rPr>
              <w:t xml:space="preserve">sctop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ACTINN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TensorFlow 2.15 MLP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.venv-tf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R/.Rlib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R/.Rlib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.venv-scvi (MPS)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.venv-scvi (MPS)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.venv-protocloud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.venv-scprint (MPS)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scPred excluded</w:t>
      </w:r>
      <w:r>
        <w:t xml:space="preserve">: unmaintained; requires harmony’s removed</w:t>
      </w:r>
      <w:r>
        <w:t xml:space="preserve"> </w:t>
      </w:r>
      <w:r>
        <w:rPr>
          <w:rStyle w:val="VerbatimChar"/>
        </w:rPr>
        <w:t xml:space="preserve">HarmonyMatrix</w:t>
      </w:r>
      <w:r>
        <w:t xml:space="preserve"> </w:t>
      </w:r>
      <w:r>
        <w:t xml:space="preserve">API and</w:t>
      </w:r>
      <w:r>
        <w:t xml:space="preserve"> </w:t>
      </w:r>
      <w:r>
        <w:t xml:space="preserve">older harmony versions do not compile on the current toolchain. Documented, not silently</w:t>
      </w:r>
      <w:r>
        <w:t xml:space="preserve"> </w:t>
      </w:r>
      <w:r>
        <w:t xml:space="preserve">dropped.</w:t>
      </w:r>
    </w:p>
    <w:bookmarkEnd w:id="11"/>
    <w:bookmarkStart w:id="12" w:name="datasets"/>
    <w:p>
      <w:pPr>
        <w:pStyle w:val="Heading2"/>
      </w:pPr>
      <w:r>
        <w:t xml:space="preserve">Datasets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(HCLA→Krasnow)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blood+gut (Sanger)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t xml:space="preserve">The set spans the three generalization regimes (within-dataset, across datasets, across</w:t>
      </w:r>
      <w:r>
        <w:t xml:space="preserve"> </w:t>
      </w:r>
      <w:r>
        <w:t xml:space="preserve">studies), an order of magnitude in cell-type count (8→86), and both gene-ID conventions.</w:t>
      </w:r>
    </w:p>
    <w:bookmarkEnd w:id="12"/>
    <w:bookmarkStart w:id="13" w:name="metrics-protocol"/>
    <w:p>
      <w:pPr>
        <w:pStyle w:val="Heading2"/>
      </w:pPr>
      <w:r>
        <w:t xml:space="preserve">Metrics &amp; protocol</w:t>
      </w:r>
    </w:p>
    <w:p>
      <w:pPr>
        <w:pStyle w:val="FirstParagraph"/>
      </w:pPr>
      <w:r>
        <w:t xml:space="preserve">Per (dataset, method, repeat):</w:t>
      </w:r>
      <w:r>
        <w:t xml:space="preserve"> </w:t>
      </w:r>
      <w:r>
        <w:rPr>
          <w:b/>
          <w:bCs/>
        </w:rPr>
        <w:t xml:space="preserve">accuracy</w:t>
      </w:r>
      <w:r>
        <w:t xml:space="preserve">,</w:t>
      </w:r>
      <w:r>
        <w:t xml:space="preserve"> </w:t>
      </w:r>
      <w:r>
        <w:rPr>
          <w:b/>
          <w:bCs/>
        </w:rPr>
        <w:t xml:space="preserve">macro-F1</w:t>
      </w:r>
      <w:r>
        <w:t xml:space="preserve"> </w:t>
      </w:r>
      <w:r>
        <w:t xml:space="preserve">(unweighted over classes, so</w:t>
      </w:r>
      <w:r>
        <w:t xml:space="preserve"> </w:t>
      </w:r>
      <w:r>
        <w:t xml:space="preserve">rare types count),</w:t>
      </w:r>
      <w:r>
        <w:t xml:space="preserve"> </w:t>
      </w:r>
      <w:r>
        <w:rPr>
          <w:b/>
          <w:bCs/>
        </w:rPr>
        <w:t xml:space="preserve">ontology-aware concordance</w:t>
      </w:r>
      <w:r>
        <w:t xml:space="preserve"> </w:t>
      </w:r>
      <w:r>
        <w:t xml:space="preserve">(a call is correct if it is the same</w:t>
      </w:r>
      <w:r>
        <w:t xml:space="preserve"> </w:t>
      </w:r>
      <w:r>
        <w:t xml:space="preserve">node, an ancestor, or a descendant of the truth in the Cell Ontology — credits</w:t>
      </w:r>
      <w:r>
        <w:t xml:space="preserve"> </w:t>
      </w:r>
      <w:r>
        <w:t xml:space="preserve">right-lineage-wrong-granularity calls; only where both ref and query carry CL ids),</w:t>
      </w:r>
      <w:r>
        <w:t xml:space="preserve"> </w:t>
      </w:r>
      <w:r>
        <w:rPr>
          <w:b/>
          <w:bCs/>
        </w:rPr>
        <w:t xml:space="preserve">fit time</w:t>
      </w:r>
      <w:r>
        <w:t xml:space="preserve">,</w:t>
      </w:r>
      <w:r>
        <w:t xml:space="preserve"> </w:t>
      </w:r>
      <w:r>
        <w:rPr>
          <w:b/>
          <w:bCs/>
        </w:rPr>
        <w:t xml:space="preserve">predict time</w:t>
      </w:r>
      <w:r>
        <w:t xml:space="preserve">,</w:t>
      </w:r>
      <w:r>
        <w:t xml:space="preserve"> </w:t>
      </w:r>
      <w:r>
        <w:rPr>
          <w:b/>
          <w:bCs/>
        </w:rPr>
        <w:t xml:space="preserve">peak RSS</w:t>
      </w:r>
      <w:r>
        <w:t xml:space="preserve">. Each method runs in its own venv via</w:t>
      </w:r>
      <w:r>
        <w:t xml:space="preserve"> </w:t>
      </w:r>
      <w:r>
        <w:t xml:space="preserve">subprocess isolation (</w:t>
      </w:r>
      <w:r>
        <w:rPr>
          <w:rStyle w:val="VerbatimChar"/>
        </w:rPr>
        <w:t xml:space="preserve">benchmark/runner.py</w:t>
      </w:r>
      <w:r>
        <w:t xml:space="preserve">); the driver (</w:t>
      </w:r>
      <w:r>
        <w:rPr>
          <w:rStyle w:val="VerbatimChar"/>
        </w:rPr>
        <w:t xml:space="preserve">benchmark/driver.py</w:t>
      </w:r>
      <w:r>
        <w:t xml:space="preserve">) builds</w:t>
      </w:r>
      <w:r>
        <w:t xml:space="preserve"> </w:t>
      </w:r>
      <w:r>
        <w:t xml:space="preserve">identical ref/query splits once per dataset and scores every method against them.</w:t>
      </w:r>
      <w:r>
        <w:t xml:space="preserve"> </w:t>
      </w:r>
      <w:r>
        <w:rPr>
          <w:b/>
          <w:bCs/>
        </w:rPr>
        <w:t xml:space="preserve">repeats = 3</w:t>
      </w:r>
      <w:r>
        <w:t xml:space="preserve"> </w:t>
      </w:r>
      <w:r>
        <w:t xml:space="preserve">(scPRINT: 1, near-deterministic and embed-dominated).</w:t>
      </w:r>
    </w:p>
    <w:p>
      <w:pPr>
        <w:pStyle w:val="BodyText"/>
      </w:pPr>
      <w:r>
        <w:rPr>
          <w:b/>
          <w:bCs/>
        </w:rPr>
        <w:t xml:space="preserve">Hardware</w:t>
      </w:r>
      <w:r>
        <w:t xml:space="preserve">: Apple Silicon (M-series), CPU for the classical/linear/correlation tiers and</w:t>
      </w:r>
      <w:r>
        <w:t xml:space="preserve"> </w:t>
      </w:r>
      <w:r>
        <w:t xml:space="preserve">actinn-jax; Apple MPS for the deep and foundation tiers. No discrete GPU, no cloud — the</w:t>
      </w:r>
      <w:r>
        <w:t xml:space="preserve"> </w:t>
      </w:r>
      <w:r>
        <w:t xml:space="preserve">regime the benchmark is about. Math-library threads are left uncapped (wall-clock as a</w:t>
      </w:r>
      <w:r>
        <w:t xml:space="preserve"> </w:t>
      </w:r>
      <w:r>
        <w:t xml:space="preserve">practitioner sees it); an optional thread cap is available for stricter reproducibility.</w:t>
      </w:r>
    </w:p>
    <w:bookmarkEnd w:id="13"/>
    <w:bookmarkEnd w:id="14"/>
    <w:bookmarkStart w:id="43" w:name="results"/>
    <w:p>
      <w:pPr>
        <w:pStyle w:val="Heading1"/>
      </w:pPr>
      <w:r>
        <w:t xml:space="preserve">Results</w:t>
      </w:r>
    </w:p>
    <w:bookmarkStart w:id="18" w:name="accuracy-across-datasets"/>
    <w:p>
      <w:pPr>
        <w:pStyle w:val="Heading2"/>
      </w:pPr>
      <w:r>
        <w:t xml:space="preserve">Accuracy across datasets</w:t>
      </w:r>
    </w:p>
    <w:p>
      <w:pPr>
        <w:pStyle w:val="CaptionedFigure"/>
      </w:pPr>
      <w:r>
        <w:drawing>
          <wp:inline>
            <wp:extent cx="5334000" cy="3589421"/>
            <wp:effectExtent b="0" l="0" r="0" t="0"/>
            <wp:docPr descr="Accuracy by method (rows) and dataset (columns), in-house panel.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ccuracy_heatma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9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Accuracy by method (rows) and dataset (columns), in-house panel.</w:t>
      </w:r>
    </w:p>
    <w:p>
      <w:pPr>
        <w:pStyle w:val="BodyText"/>
      </w:pPr>
      <w:r>
        <w:t xml:space="preserve">Mean accuracy across the</w:t>
      </w:r>
      <w:r>
        <w:t xml:space="preserve"> </w:t>
      </w:r>
      <w:r>
        <w:rPr>
          <w:b/>
          <w:bCs/>
        </w:rPr>
        <w:t xml:space="preserve">five shared-vocabulary datasets</w:t>
      </w:r>
      <w:r>
        <w:t xml:space="preserve"> </w:t>
      </w:r>
      <w:r>
        <w:t xml:space="preserve">(lung_cross excluded — its</w:t>
      </w:r>
      <w:r>
        <w:t xml:space="preserve"> </w:t>
      </w:r>
      <w:r>
        <w:t xml:space="preserve">exact accuracy is a vocabulary artifact, see the † note below; means over all six are ~0.08</w:t>
      </w:r>
      <w:r>
        <w:t xml:space="preserve"> </w:t>
      </w:r>
      <w:r>
        <w:t xml:space="preserve">lower for every method with the identical ranking):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mean acc (5 datasets)</w:t>
            </w:r>
          </w:p>
        </w:tc>
        <w:tc>
          <w:tcPr/>
          <w:p>
            <w:pPr>
              <w:pStyle w:val="Compact"/>
            </w:pPr>
            <w:r>
              <w:t xml:space="preserve">mean macro-F1 (6)</w:t>
            </w:r>
          </w:p>
        </w:tc>
        <w:tc>
          <w:tcPr/>
          <w:p>
            <w:pPr>
              <w:pStyle w:val="Compact"/>
            </w:pPr>
            <w:r>
              <w:t xml:space="preserve">mean ontology (6)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0.835</w:t>
            </w:r>
          </w:p>
        </w:tc>
        <w:tc>
          <w:tcPr/>
          <w:p>
            <w:pPr>
              <w:pStyle w:val="Compact"/>
            </w:pPr>
            <w:r>
              <w:t xml:space="preserve">0.701</w:t>
            </w:r>
          </w:p>
        </w:tc>
        <w:tc>
          <w:tcPr/>
          <w:p>
            <w:pPr>
              <w:pStyle w:val="Compact"/>
            </w:pPr>
            <w:r>
              <w:t xml:space="preserve">0.812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ACTINN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0.809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0.683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0.816</w:t>
            </w:r>
          </w:p>
        </w:tc>
        <w:tc>
          <w:tcPr/>
          <w:p>
            <w:pPr>
              <w:pStyle w:val="Compact"/>
            </w:pPr>
            <w:r>
              <w:t xml:space="preserve">0.688</w:t>
            </w:r>
          </w:p>
        </w:tc>
        <w:tc>
          <w:tcPr/>
          <w:p>
            <w:pPr>
              <w:pStyle w:val="Compact"/>
            </w:pPr>
            <w:r>
              <w:t xml:space="preserve">0.797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0.770</w:t>
            </w:r>
          </w:p>
        </w:tc>
        <w:tc>
          <w:tcPr/>
          <w:p>
            <w:pPr>
              <w:pStyle w:val="Compact"/>
            </w:pPr>
            <w:r>
              <w:t xml:space="preserve">0.652</w:t>
            </w:r>
          </w:p>
        </w:tc>
        <w:tc>
          <w:tcPr/>
          <w:p>
            <w:pPr>
              <w:pStyle w:val="Compac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0.770</w:t>
            </w:r>
          </w:p>
        </w:tc>
        <w:tc>
          <w:tcPr/>
          <w:p>
            <w:pPr>
              <w:pStyle w:val="Compact"/>
            </w:pPr>
            <w:r>
              <w:t xml:space="preserve">0.624</w:t>
            </w:r>
          </w:p>
        </w:tc>
        <w:tc>
          <w:tcPr/>
          <w:p>
            <w:pPr>
              <w:pStyle w:val="Compact"/>
            </w:pPr>
            <w:r>
              <w:t xml:space="preserve">0.769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0.550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</w:tr>
    </w:tbl>
    <w:p>
      <w:pPr>
        <w:pStyle w:val="BodyText"/>
      </w:pPr>
      <w:r>
        <w:t xml:space="preserve">The top five methods (scANVI, original ACTINN, scArches, actinn-jax, CellTypist) are a</w:t>
      </w:r>
      <w:r>
        <w:t xml:space="preserve"> </w:t>
      </w:r>
      <w:r>
        <w:t xml:space="preserve">statistical tie on accuracy — spread of 0.004 — and actinn-jax is joint-top on</w:t>
      </w:r>
      <w:r>
        <w:t xml:space="preserve"> </w:t>
      </w:r>
      <w:r>
        <w:t xml:space="preserve">ontology-aware concordance (0.811). Per dataset (accuracy):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scANVI 0.913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</w:t>
            </w:r>
            <w:r>
              <w:t xml:space="preserve"> </w:t>
            </w:r>
            <w:r>
              <w:rPr>
                <w:b/>
                <w:bCs/>
              </w:rPr>
              <w:t xml:space="preserve">0.749 ontology</w:t>
            </w:r>
          </w:p>
        </w:tc>
        <w:tc>
          <w:tcPr/>
          <w:p>
            <w:pPr>
              <w:pStyle w:val="Compact"/>
            </w:pPr>
            <w:r>
              <w:t xml:space="preserve">scANVI 0.360 / 0.767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scANVI 0.802 (</w:t>
            </w:r>
            <w:r>
              <w:rPr>
                <w:b/>
                <w:bCs/>
              </w:rPr>
              <w:t xml:space="preserve">tied #1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t xml:space="preserve">0.686</w:t>
            </w:r>
          </w:p>
        </w:tc>
        <w:tc>
          <w:tcPr/>
          <w:p>
            <w:pPr>
              <w:pStyle w:val="Compact"/>
            </w:pPr>
            <w:r>
              <w:t xml:space="preserve">original ACTINN 0.695 (actinn-jax #2, top cluster)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scANVI 0.880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0.934</w:t>
            </w:r>
          </w:p>
        </w:tc>
      </w:tr>
    </w:tbl>
    <w:p>
      <w:pPr>
        <w:pStyle w:val="BodyText"/>
      </w:pPr>
      <w:r>
        <w:t xml:space="preserve">actinn-jax is tied-#1 on the richer within-dataset liver data and in the top cluster on</w:t>
      </w:r>
      <w:r>
        <w:t xml:space="preserve"> </w:t>
      </w:r>
      <w:r>
        <w:t xml:space="preserve">the hard cross-study split; it trails the deep methods by 1–2 points on the high-</w:t>
      </w:r>
      <w:r>
        <w:t xml:space="preserve"> </w:t>
      </w:r>
      <w:r>
        <w:t xml:space="preserve">cardinality and small-n sets. scmap-cluster is consistently the weakest (0.24 macro-F1 on</w:t>
      </w:r>
      <w:r>
        <w:t xml:space="preserve"> </w:t>
      </w:r>
      <w:r>
        <w:t xml:space="preserve">liver_cross).</w:t>
      </w:r>
    </w:p>
    <w:p>
      <w:pPr>
        <w:pStyle w:val="BodyText"/>
      </w:pPr>
      <w:r>
        <w:rPr>
          <w:b/>
          <w:bCs/>
        </w:rPr>
        <w:t xml:space="preserve">† lung_cross exact accuracy (~0.35 for every method) is a label-vocabulary artifact, not</w:t>
      </w:r>
      <w:r>
        <w:rPr>
          <w:b/>
          <w:bCs/>
        </w:rPr>
        <w:t xml:space="preserve"> </w:t>
      </w:r>
      <w:r>
        <w:rPr>
          <w:b/>
          <w:bCs/>
        </w:rPr>
        <w:t xml:space="preserve">a transfer failure.</w:t>
      </w:r>
      <w:r>
        <w:t xml:space="preserve"> </w:t>
      </w:r>
      <w:r>
        <w:t xml:space="preserve">HCLA (reference) and Krasnow (query) were annotated independently and</w:t>
      </w:r>
      <w:r>
        <w:t xml:space="preserve"> </w:t>
      </w:r>
      <w:r>
        <w:t xml:space="preserve">share only</w:t>
      </w:r>
      <w:r>
        <w:t xml:space="preserve"> </w:t>
      </w:r>
      <w:r>
        <w:rPr>
          <w:b/>
          <w:bCs/>
        </w:rPr>
        <w:t xml:space="preserve">20 of 46 cell-type names</w:t>
      </w:r>
      <w:r>
        <w:t xml:space="preserve">; 26 of Krasnow’s types are absent from HCLA’s</w:t>
      </w:r>
      <w:r>
        <w:t xml:space="preserve"> </w:t>
      </w:r>
      <w:r>
        <w:t xml:space="preserve">vocabulary, so no classifier can emit the exact string. The mismatch is granularity: HCLA’s</w:t>
      </w:r>
      <w:r>
        <w:t xml:space="preserve"> </w:t>
      </w:r>
      <w:r>
        <w:t xml:space="preserve">finer taxonomy has</w:t>
      </w:r>
      <w:r>
        <w:t xml:space="preserve"> </w:t>
      </w:r>
      <w:r>
        <w:rPr>
          <w:rStyle w:val="VerbatimChar"/>
        </w:rPr>
        <w:t xml:space="preserve">alveolar / elicited / lung macrophage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no generic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macrophage</w:t>
      </w:r>
      <w:r>
        <w:t xml:space="preserve"> </w:t>
      </w:r>
      <w:r>
        <w:t xml:space="preserve">(CL:0000235), while Krasnow labels many cells generic</w:t>
      </w:r>
      <w:r>
        <w:t xml:space="preserve"> </w:t>
      </w:r>
      <w:r>
        <w:rPr>
          <w:rStyle w:val="VerbatimChar"/>
        </w:rPr>
        <w:t xml:space="preserve">macrophage</w:t>
      </w:r>
      <w:r>
        <w:t xml:space="preserve"> </w:t>
      </w:r>
      <w:r>
        <w:t xml:space="preserve">— so an HCLA-trained</w:t>
      </w:r>
      <w:r>
        <w:t xml:space="preserve"> </w:t>
      </w:r>
      <w:r>
        <w:t xml:space="preserve">model predicts</w:t>
      </w:r>
      <w:r>
        <w:t xml:space="preserve"> </w:t>
      </w:r>
      <w:r>
        <w:rPr>
          <w:rStyle w:val="VerbatimChar"/>
        </w:rPr>
        <w:t xml:space="preserve">lung macrophage</w:t>
      </w:r>
      <w:r>
        <w:t xml:space="preserve"> </w:t>
      </w:r>
      <w:r>
        <w:t xml:space="preserve">(CL:1001603) for them, exact-wrong but ontology-correct</w:t>
      </w:r>
      <w:r>
        <w:t xml:space="preserve"> </w:t>
      </w:r>
      <w:r>
        <w:t xml:space="preserve">(</w:t>
      </w:r>
      <w:r>
        <w:rPr>
          <w:i/>
          <w:iCs/>
        </w:rPr>
        <w:t xml:space="preserve">lung macrophage is-a macrophage</w:t>
      </w:r>
      <w:r>
        <w:t xml:space="preserve">); likewise Krasnow’s generic</w:t>
      </w:r>
      <w:r>
        <w:t xml:space="preserve"> </w:t>
      </w:r>
      <w:r>
        <w:rPr>
          <w:rStyle w:val="VerbatimChar"/>
        </w:rPr>
        <w:t xml:space="preserve">endothelial cell</w:t>
      </w:r>
      <w:r>
        <w:t xml:space="preserve"> </w:t>
      </w:r>
      <w:r>
        <w:t xml:space="preserve">(CL:0000115) has no HCLA counterpart.</w:t>
      </w:r>
      <w:r>
        <w:t xml:space="preserve"> </w:t>
      </w:r>
      <w:r>
        <w:rPr>
          <w:b/>
          <w:bCs/>
        </w:rPr>
        <w:t xml:space="preserve">Ontology-aware concordance — which credits a</w:t>
      </w:r>
      <w:r>
        <w:rPr>
          <w:b/>
          <w:bCs/>
        </w:rPr>
        <w:t xml:space="preserve"> </w:t>
      </w:r>
      <w:r>
        <w:rPr>
          <w:b/>
          <w:bCs/>
        </w:rPr>
        <w:t xml:space="preserve">same-lineage call — is 0.75–0.77 for every method</w:t>
      </w:r>
      <w:r>
        <w:t xml:space="preserve">, so cross-dataset transfer actually</w:t>
      </w:r>
      <w:r>
        <w:t xml:space="preserve"> </w:t>
      </w:r>
      <w:r>
        <w:t xml:space="preserve">works; exact-match just conflates classifier error with vocabulary/granularity mismatch.</w:t>
      </w:r>
      <w:r>
        <w:t xml:space="preserve"> </w:t>
      </w:r>
      <w:r>
        <w:t xml:space="preserve">This is precisely why we report ontology concordance, and it is a general benchmarking</w:t>
      </w:r>
      <w:r>
        <w:t xml:space="preserve"> </w:t>
      </w:r>
      <w:r>
        <w:t xml:space="preserve">pitfall:</w:t>
      </w:r>
      <w:r>
        <w:t xml:space="preserve"> </w:t>
      </w:r>
      <w:r>
        <w:rPr>
          <w:b/>
          <w:bCs/>
        </w:rPr>
        <w:t xml:space="preserve">cross-dataset exact accuracy between independently-annotated atlases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meaningful accuracy signal.</w:t>
      </w:r>
      <w:r>
        <w:t xml:space="preserve"> </w:t>
      </w:r>
      <w:r>
        <w:t xml:space="preserve">The other five datasets use a single shared label vocabulary</w:t>
      </w:r>
      <w:r>
        <w:t xml:space="preserve"> </w:t>
      </w:r>
      <w:r>
        <w:t xml:space="preserve">for reference and query (a split of one atlas, or HLiCA’s harmonized annotations), so their</w:t>
      </w:r>
      <w:r>
        <w:t xml:space="preserve"> </w:t>
      </w:r>
      <w:r>
        <w:t xml:space="preserve">exact scores are unaffected.</w:t>
      </w:r>
    </w:p>
    <w:bookmarkEnd w:id="18"/>
    <w:bookmarkStart w:id="22" w:name="speed-and-memory"/>
    <w:p>
      <w:pPr>
        <w:pStyle w:val="Heading2"/>
      </w:pPr>
      <w:r>
        <w:t xml:space="preserve">Speed and memory</w:t>
      </w:r>
    </w:p>
    <w:p>
      <w:pPr>
        <w:pStyle w:val="CaptionedFigure"/>
      </w:pPr>
      <w:r>
        <w:drawing>
          <wp:inline>
            <wp:extent cx="5334000" cy="1640094"/>
            <wp:effectExtent b="0" l="0" r="0" t="0"/>
            <wp:docPr descr="Per-query inference time and peak memory by method (in-house panel)." title="" id="2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peed_memory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Per-query inference time and peak memory by method (in-house panel).</w:t>
      </w:r>
    </w:p>
    <w:p>
      <w:pPr>
        <w:pStyle w:val="BodyText"/>
      </w:pPr>
      <w:r>
        <w:t xml:space="preserve">The accuracy tie hides a two-order-of-magnitude spread in cost. Mean per query across</w:t>
      </w:r>
      <w:r>
        <w:t xml:space="preserve"> </w:t>
      </w:r>
      <w:r>
        <w:t xml:space="preserve">datasets: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fit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 (s)</w:t>
            </w:r>
          </w:p>
        </w:tc>
        <w:tc>
          <w:tcPr/>
          <w:p>
            <w:pPr>
              <w:pStyle w:val="Compac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24.9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1480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1546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t xml:space="preserve">2145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27.0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0.63</w:t>
            </w:r>
          </w:p>
        </w:tc>
        <w:tc>
          <w:tcPr/>
          <w:p>
            <w:pPr>
              <w:pStyle w:val="Compact"/>
            </w:pPr>
            <w:r>
              <w:t xml:space="preserve">1661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t xml:space="preserve">8550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47.7</w:t>
            </w:r>
          </w:p>
        </w:tc>
        <w:tc>
          <w:tcPr/>
          <w:p>
            <w:pPr>
              <w:pStyle w:val="Compact"/>
            </w:pPr>
            <w:r>
              <w:t xml:space="preserve">18.7</w:t>
            </w:r>
          </w:p>
        </w:tc>
        <w:tc>
          <w:tcPr/>
          <w:p>
            <w:pPr>
              <w:pStyle w:val="Compact"/>
            </w:pPr>
            <w:r>
              <w:t xml:space="preserve">1783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42.4</w:t>
            </w:r>
          </w:p>
        </w:tc>
        <w:tc>
          <w:tcPr/>
          <w:p>
            <w:pPr>
              <w:pStyle w:val="Compact"/>
            </w:pPr>
            <w:r>
              <w:t xml:space="preserve">3621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ACTINN</w:t>
            </w:r>
          </w:p>
        </w:tc>
        <w:tc>
          <w:tcPr/>
          <w:p>
            <w:pPr>
              <w:pStyle w:val="Compact"/>
            </w:pPr>
            <w:r>
              <w:t xml:space="preserve">0.1*</w:t>
            </w:r>
          </w:p>
        </w:tc>
        <w:tc>
          <w:tcPr/>
          <w:p>
            <w:pPr>
              <w:pStyle w:val="Compact"/>
            </w:pPr>
            <w:r>
              <w:t xml:space="preserve">54.5</w:t>
            </w:r>
          </w:p>
        </w:tc>
        <w:tc>
          <w:tcPr/>
          <w:p>
            <w:pPr>
              <w:pStyle w:val="Compact"/>
            </w:pPr>
            <w:r>
              <w:t xml:space="preserve">7708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0.0*</w:t>
            </w:r>
          </w:p>
        </w:tc>
        <w:tc>
          <w:tcPr/>
          <w:p>
            <w:pPr>
              <w:pStyle w:val="Compact"/>
            </w:pPr>
            <w:r>
              <w:t xml:space="preserve">73.1</w:t>
            </w:r>
          </w:p>
        </w:tc>
        <w:tc>
          <w:tcPr/>
          <w:p>
            <w:pPr>
              <w:pStyle w:val="Compact"/>
            </w:pPr>
            <w:r>
              <w:t xml:space="preserve">2118</w:t>
            </w:r>
          </w:p>
        </w:tc>
      </w:tr>
    </w:tbl>
    <w:p>
      <w:pPr>
        <w:pStyle w:val="BodyText"/>
      </w:pPr>
      <w:r>
        <w:t xml:space="preserve">(*original ACTINN and scANVI do most work in a single train+predict pass, attributed to</w:t>
      </w:r>
      <w:r>
        <w:t xml:space="preserve"> </w:t>
      </w:r>
      <w:r>
        <w:t xml:space="preserve">predict.) The four fast methods — SVM, kNN, actinn-jax, CellTypist — predict in well under</w:t>
      </w:r>
      <w:r>
        <w:t xml:space="preserve"> </w:t>
      </w:r>
      <w:r>
        <w:t xml:space="preserve">a second; the deep/correlation/foundation tiers are 25–200× slower. actinn-jax predicts in</w:t>
      </w:r>
      <w:r>
        <w:t xml:space="preserve"> </w:t>
      </w:r>
      <w:r>
        <w:rPr>
          <w:b/>
          <w:bCs/>
        </w:rPr>
        <w:t xml:space="preserve">0.37 s vs. scANVI’s 73 s at statistically tied accuracy</w:t>
      </w:r>
      <w:r>
        <w:t xml:space="preserve"> </w:t>
      </w:r>
      <w:r>
        <w:t xml:space="preserve">(~195×), and is far lighter</w:t>
      </w:r>
      <w:r>
        <w:t xml:space="preserve"> </w:t>
      </w:r>
      <w:r>
        <w:t xml:space="preserve">than the memory-heavy tiers (original ACTINN 7.7 GB, scmap 8.5 GB). Of the methods that</w:t>
      </w:r>
      <w:r>
        <w:t xml:space="preserve"> </w:t>
      </w:r>
      <w:r>
        <w:t xml:space="preserve">match its accuracy, none matches its speed; of the methods that match its speed (SVM, kNN),</w:t>
      </w:r>
      <w:r>
        <w:t xml:space="preserve"> </w:t>
      </w:r>
      <w:r>
        <w:t xml:space="preserve">none matches its accuracy — i.e. actinn-jax is Pareto-non-dominated.</w:t>
      </w:r>
    </w:p>
    <w:bookmarkEnd w:id="22"/>
    <w:bookmarkStart w:id="26" w:name="the-accuracy-speed-frontier"/>
    <w:p>
      <w:pPr>
        <w:pStyle w:val="Heading2"/>
      </w:pPr>
      <w:r>
        <w:t xml:space="preserve">The accuracy × speed frontier</w:t>
      </w:r>
    </w:p>
    <w:p>
      <w:pPr>
        <w:pStyle w:val="CaptionedFigure"/>
      </w:pPr>
      <w:r>
        <w:drawing>
          <wp:inline>
            <wp:extent cx="5334000" cy="3671222"/>
            <wp:effectExtent b="0" l="0" r="0" t="0"/>
            <wp:docPr descr="Accuracy versus total wall time (liver_intra); actinn-jax sits on the fast frontier." title="" id="24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areto_liver_intra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1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Accuracy versus total wall time (liver_intra); actinn-jax sits on the fast frontier.</w:t>
      </w:r>
    </w:p>
    <w:p>
      <w:pPr>
        <w:pStyle w:val="BodyText"/>
      </w:pPr>
      <w:r>
        <w:t xml:space="preserve">Plotting accuracy against total wall time makes the frontier explicit: actinn-jax, SVM,</w:t>
      </w:r>
      <w:r>
        <w:t xml:space="preserve"> </w:t>
      </w:r>
      <w:r>
        <w:t xml:space="preserve">kNN, and CellTypist form the efficient (fast) frontier, and among those actinn-jax has the</w:t>
      </w:r>
      <w:r>
        <w:t xml:space="preserve"> </w:t>
      </w:r>
      <w:r>
        <w:t xml:space="preserve">highest accuracy on the richer datasets. The deep methods buy ~0.4 accuracy points on</w:t>
      </w:r>
      <w:r>
        <w:t xml:space="preserve"> </w:t>
      </w:r>
      <w:r>
        <w:t xml:space="preserve">average (up to ~2 points on the 86-type blood+gut set, zero-to-negative on the liver and</w:t>
      </w:r>
      <w:r>
        <w:t xml:space="preserve"> </w:t>
      </w:r>
      <w:r>
        <w:t xml:space="preserve">cross-dataset sets) at 50–200× the inference cost — the trade the frontier is meant to</w:t>
      </w:r>
      <w:r>
        <w:t xml:space="preserve"> </w:t>
      </w:r>
      <w:r>
        <w:t xml:space="preserve">expose.</w:t>
      </w:r>
    </w:p>
    <w:bookmarkEnd w:id="26"/>
    <w:bookmarkStart w:id="30" w:name="scaling"/>
    <w:p>
      <w:pPr>
        <w:pStyle w:val="Heading2"/>
      </w:pPr>
      <w:r>
        <w:t xml:space="preserve">Scaling</w:t>
      </w:r>
    </w:p>
    <w:p>
      <w:pPr>
        <w:pStyle w:val="CaptionedFigure"/>
      </w:pPr>
      <w:r>
        <w:drawing>
          <wp:inline>
            <wp:extent cx="5334000" cy="1970216"/>
            <wp:effectExtent b="0" l="0" r="0" t="0"/>
            <wp:docPr descr="Fit and predict time versus reference size and cardinality; predict time stays flat and sub-second." title="" id="2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cal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0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 and predict time versus reference size and cardinality; predict time stays flat and sub-second.</w:t>
      </w:r>
    </w:p>
    <w:p>
      <w:pPr>
        <w:pStyle w:val="BodyText"/>
      </w:pPr>
      <w:r>
        <w:t xml:space="preserve">Training time grows with reference size and with #cell types for all trained methods —</w:t>
      </w:r>
      <w:r>
        <w:t xml:space="preserve"> </w:t>
      </w:r>
      <w:r>
        <w:t xml:space="preserve">actinn-jax’s fit goes 13 s → 141 s → 254 s as the reference grows 965 → 14.8k → 24k</w:t>
      </w:r>
      <w:r>
        <w:t xml:space="preserve"> </w:t>
      </w:r>
      <w:r>
        <w:t xml:space="preserve">cells, comparable to CellTypist (4 s → 75 s → 246 s) and somewhat above SVM (9 s → 55 s →</w:t>
      </w:r>
      <w:r>
        <w:t xml:space="preserve"> </w:t>
      </w:r>
      <w:r>
        <w:t xml:space="preserve">80 s); kNN is lazy (fit is trivial but it pays at predict and is the least accurate). The</w:t>
      </w:r>
      <w:r>
        <w:t xml:space="preserve"> </w:t>
      </w:r>
      <w:r>
        <w:t xml:space="preserve">decisive result is the other axis:</w:t>
      </w:r>
      <w:r>
        <w:t xml:space="preserve"> </w:t>
      </w:r>
      <w:r>
        <w:rPr>
          <w:b/>
          <w:bCs/>
        </w:rPr>
        <w:t xml:space="preserve">actinn-jax’s predict time stays flat and sub-second</w:t>
      </w:r>
      <w:r>
        <w:rPr>
          <w:b/>
          <w:bCs/>
        </w:rPr>
        <w:t xml:space="preserve"> </w:t>
      </w:r>
      <w:r>
        <w:rPr>
          <w:b/>
          <w:bCs/>
        </w:rPr>
        <w:t xml:space="preserve">across the entire range — ~0.3–1.4 s whether the reference has 1k or 24k cells, or 5 or 86</w:t>
      </w:r>
      <w:r>
        <w:rPr>
          <w:b/>
          <w:bCs/>
        </w:rPr>
        <w:t xml:space="preserve"> </w:t>
      </w:r>
      <w:r>
        <w:rPr>
          <w:b/>
          <w:bCs/>
        </w:rPr>
        <w:t xml:space="preserve">types.</w:t>
      </w:r>
      <w:r>
        <w:t xml:space="preserve"> </w:t>
      </w:r>
      <w:r>
        <w:t xml:space="preserve">Inference cost does not grow with reference size or cardinality, and with the</w:t>
      </w:r>
      <w:r>
        <w:t xml:space="preserve"> </w:t>
      </w:r>
      <w:r>
        <w:t xml:space="preserve">train-once/map-many cache the fit cost is paid once and the flat predict cost is all that</w:t>
      </w:r>
      <w:r>
        <w:t xml:space="preserve"> </w:t>
      </w:r>
      <w:r>
        <w:t xml:space="preserve">recurs — the regime that matters when a reference is reused across many queries. (The</w:t>
      </w:r>
      <w:r>
        <w:t xml:space="preserve"> </w:t>
      </w:r>
      <w:r>
        <w:t xml:space="preserve">scaling script’s memory column is process-cumulative and not a clean per-size measurement;</w:t>
      </w:r>
      <w:r>
        <w:t xml:space="preserve"> </w:t>
      </w:r>
      <w:r>
        <w:t xml:space="preserve">per-method peak memory is reported from the isolated-subprocess matrix in §3.2.)</w:t>
      </w:r>
    </w:p>
    <w:bookmarkEnd w:id="30"/>
    <w:bookmarkStart w:id="31" w:name="actinn-jax-vs.-the-original-actinn"/>
    <w:p>
      <w:pPr>
        <w:pStyle w:val="Heading2"/>
      </w:pPr>
      <w:r>
        <w:t xml:space="preserve">actinn-jax vs. the original ACTINN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actinn-orig</w:t>
      </w:r>
      <w:r>
        <w:t xml:space="preserve"> </w:t>
      </w:r>
      <w:r>
        <w:t xml:space="preserve">row isolates the value of the reimplementation itself: same method, same</w:t>
      </w:r>
      <w:r>
        <w:t xml:space="preserve"> </w:t>
      </w:r>
      <w:r>
        <w:t xml:space="preserve">data, TensorFlow-2.15 vs. JAX. Mean across the six datasets: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predict (s)</w:t>
            </w:r>
          </w:p>
        </w:tc>
        <w:tc>
          <w:tcPr/>
          <w:p>
            <w:pPr>
              <w:pStyle w:val="Compac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ACTINN (TF)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t xml:space="preserve">54.5</w:t>
            </w:r>
          </w:p>
        </w:tc>
        <w:tc>
          <w:tcPr/>
          <w:p>
            <w:pPr>
              <w:pStyle w:val="Compact"/>
            </w:pPr>
            <w:r>
              <w:t xml:space="preserve">7708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0.752</w:t>
            </w:r>
          </w:p>
        </w:tc>
        <w:tc>
          <w:tcPr/>
          <w:p>
            <w:pPr>
              <w:pStyle w:val="Compact"/>
            </w:pPr>
            <w:r>
              <w:t xml:space="preserve">0.683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2145</w:t>
            </w:r>
          </w:p>
        </w:tc>
      </w:tr>
    </w:tbl>
    <w:p>
      <w:pPr>
        <w:pStyle w:val="BodyText"/>
      </w:pPr>
      <w:r>
        <w:t xml:space="preserve">Equal accuracy (0.752 vs. 0.754, within repeat noise),</w:t>
      </w:r>
      <w:r>
        <w:t xml:space="preserve"> </w:t>
      </w:r>
      <w:r>
        <w:rPr>
          <w:b/>
          <w:bCs/>
        </w:rPr>
        <w:t xml:space="preserve">~145× faster inference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3.6× less memory</w:t>
      </w:r>
      <w:r>
        <w:t xml:space="preserve"> </w:t>
      </w:r>
      <w:r>
        <w:t xml:space="preserve">— the reimplementation is a strict engineering win at no accuracy</w:t>
      </w:r>
      <w:r>
        <w:t xml:space="preserve"> </w:t>
      </w:r>
      <w:r>
        <w:t xml:space="preserve">cost.</w:t>
      </w:r>
    </w:p>
    <w:bookmarkEnd w:id="31"/>
    <w:bookmarkStart w:id="32" w:name="the-largerefined-annotation-workflow"/>
    <w:p>
      <w:pPr>
        <w:pStyle w:val="Heading2"/>
      </w:pPr>
      <w:r>
        <w:t xml:space="preserve">The large→refined annotation workflow</w:t>
      </w:r>
    </w:p>
    <w:p>
      <w:pPr>
        <w:pStyle w:val="FirstParagraph"/>
      </w:pPr>
      <w:r>
        <w:t xml:space="preserve">The most useful thing actinn-jax ships is not a single classifier but a</w:t>
      </w:r>
      <w:r>
        <w:t xml:space="preserve"> </w:t>
      </w:r>
      <w:r>
        <w:rPr>
          <w:b/>
          <w:bCs/>
        </w:rPr>
        <w:t xml:space="preserve">two-tier</w:t>
      </w:r>
      <w:r>
        <w:rPr>
          <w:b/>
          <w:bCs/>
        </w:rP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that matches how annotation is actually done: get a broad call fast, then sharpen</w:t>
      </w:r>
      <w:r>
        <w:t xml:space="preserve"> </w:t>
      </w:r>
      <w:r>
        <w:t xml:space="preserve">it where it matters. Because every stage is a cached</w:t>
      </w:r>
      <w:r>
        <w:t xml:space="preserve"> </w:t>
      </w:r>
      <w:r>
        <w:rPr>
          <w:rStyle w:val="VerbatimChar"/>
        </w:rPr>
        <w:t xml:space="preserve">ReferenceModel</w:t>
      </w:r>
      <w:r>
        <w:t xml:space="preserve"> </w:t>
      </w:r>
      <w:r>
        <w:t xml:space="preserve">with sub-second,</w:t>
      </w:r>
      <w:r>
        <w:t xml:space="preserve"> </w:t>
      </w:r>
      <w:r>
        <w:t xml:space="preserve">memory-bounded inference (§3.2, §3.4), the whole workflow runs on a laptop.</w:t>
      </w:r>
    </w:p>
    <w:p>
      <w:pPr>
        <w:pStyle w:val="BodyText"/>
      </w:pPr>
      <w:r>
        <w:rPr>
          <w:b/>
          <w:bCs/>
        </w:rPr>
        <w:t xml:space="preserve">Tier 1 — broad, census-scale.</w:t>
      </w:r>
      <w:r>
        <w:t xml:space="preserve"> </w:t>
      </w:r>
      <w:r>
        <w:t xml:space="preserve">A shipped ~800-type human reference built from the</w:t>
      </w:r>
      <w:r>
        <w:t xml:space="preserve"> </w:t>
      </w:r>
      <w:r>
        <w:t xml:space="preserve">CELLxGENE census gives any query a first-pass annotation across the whole body, with a</w:t>
      </w:r>
      <w:r>
        <w:t xml:space="preserve"> </w:t>
      </w:r>
      <w:r>
        <w:rPr>
          <w:b/>
          <w:bCs/>
        </w:rPr>
        <w:t xml:space="preserve">calibrated abstain threshold</w:t>
      </w:r>
      <w:r>
        <w:t xml:space="preserve"> </w:t>
      </w:r>
      <w:r>
        <w:t xml:space="preserve">so out-of-reference cells are flagged rather than</w:t>
      </w:r>
      <w:r>
        <w:t xml:space="preserve"> </w:t>
      </w:r>
      <w:r>
        <w:t xml:space="preserve">force-labeled (see the smooth abstain curve of §3.7). This is the</w:t>
      </w:r>
      <w:r>
        <w:t xml:space="preserve"> </w:t>
      </w:r>
      <w:r>
        <w:t xml:space="preserve">“what am I looking at”</w:t>
      </w:r>
      <w:r>
        <w:t xml:space="preserve"> </w:t>
      </w:r>
      <w:r>
        <w:t xml:space="preserve">pass — broad coverage, deliberately not fine-grained.</w:t>
      </w:r>
    </w:p>
    <w:p>
      <w:pPr>
        <w:pStyle w:val="BodyText"/>
      </w:pPr>
      <w:r>
        <w:rPr>
          <w:b/>
          <w:bCs/>
        </w:rPr>
        <w:t xml:space="preserve">Tier 2 — refined, tissue-focused.</w:t>
      </w:r>
      <w:r>
        <w:t xml:space="preserve"> </w:t>
      </w:r>
      <w:r>
        <w:t xml:space="preserve">For the tissue the broad pass identifies, a small</w:t>
      </w:r>
      <w:r>
        <w:t xml:space="preserve"> </w:t>
      </w:r>
      <w:r>
        <w:t xml:space="preserve">focused reference re-annotates at full resolution. The gain is large and it is the crux of</w:t>
      </w:r>
      <w:r>
        <w:t xml:space="preserve"> </w:t>
      </w:r>
      <w:r>
        <w:t xml:space="preserve">the workflow: on held-out</w:t>
      </w:r>
      <w:r>
        <w:t xml:space="preserve"> </w:t>
      </w:r>
      <w:r>
        <w:rPr>
          <w:b/>
          <w:bCs/>
        </w:rPr>
        <w:t xml:space="preserve">cross-study</w:t>
      </w:r>
      <w:r>
        <w:t xml:space="preserve"> </w:t>
      </w:r>
      <w:r>
        <w:t xml:space="preserve">liver cells, the broad census model scores</w:t>
      </w:r>
      <w:r>
        <w:t xml:space="preserve"> </w:t>
      </w:r>
      <w:r>
        <w:t xml:space="preserve">exact-CL</w:t>
      </w:r>
      <w:r>
        <w:t xml:space="preserve"> </w:t>
      </w:r>
      <w:r>
        <w:rPr>
          <w:b/>
          <w:bCs/>
        </w:rPr>
        <w:t xml:space="preserve">0.23</w:t>
      </w:r>
      <w:r>
        <w:t xml:space="preserve"> </w:t>
      </w:r>
      <w:r>
        <w:t xml:space="preserve">/ ontology</w:t>
      </w:r>
      <w:r>
        <w:t xml:space="preserve"> </w:t>
      </w:r>
      <w:r>
        <w:rPr>
          <w:b/>
          <w:bCs/>
        </w:rPr>
        <w:t xml:space="preserve">0.58</w:t>
      </w:r>
      <w:r>
        <w:t xml:space="preserve">, while a focused</w:t>
      </w:r>
      <w:r>
        <w:t xml:space="preserve"> </w:t>
      </w:r>
      <w:r>
        <w:rPr>
          <w:b/>
          <w:bCs/>
        </w:rPr>
        <w:t xml:space="preserve">48-type HLiCA liver</w:t>
      </w:r>
      <w:r>
        <w:t xml:space="preserve"> </w:t>
      </w:r>
      <w:r>
        <w:t xml:space="preserve">reference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 cells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  <w:bCs/>
        </w:rPr>
        <w:t xml:space="preserve">0.72 / 0.86</w:t>
      </w:r>
      <w:r>
        <w:t xml:space="preserve">. Refinement is where fine-grained accuracy comes</w:t>
      </w:r>
      <w:r>
        <w:t xml:space="preserve"> </w:t>
      </w:r>
      <w:r>
        <w:t xml:space="preserve">from; the broad model’s job is to route to it, not to be right about subtypes itself.</w:t>
      </w:r>
    </w:p>
    <w:p>
      <w:pPr>
        <w:pStyle w:val="BodyText"/>
      </w:pPr>
      <w:r>
        <w:rPr>
          <w:b/>
          <w:bCs/>
        </w:rPr>
        <w:t xml:space="preserve">Supporting mechanisms.</w:t>
      </w:r>
      <w:r>
        <w:t xml:space="preserve"> </w:t>
      </w:r>
      <w:r>
        <w:t xml:space="preserve">(i) A</w:t>
      </w:r>
      <w:r>
        <w:t xml:space="preserve"> </w:t>
      </w:r>
      <w:r>
        <w:rPr>
          <w:b/>
          <w:bCs/>
        </w:rPr>
        <w:t xml:space="preserve">foundation-model-guided coarse→fine hierarchy</w:t>
      </w:r>
      <w:r>
        <w:t xml:space="preserve">: a foundation model discovers</w:t>
      </w:r>
      <w:r>
        <w:t xml:space="preserve"> </w:t>
      </w:r>
      <w:r>
        <w:t xml:space="preserve">a coarse→fine structure</w:t>
      </w:r>
      <w:r>
        <w:t xml:space="preserve"> </w:t>
      </w:r>
      <w:r>
        <w:rPr>
          <w:i/>
          <w:iCs/>
        </w:rPr>
        <w:t xml:space="preserve">offline</w:t>
      </w:r>
      <w:r>
        <w:t xml:space="preserve">, the fast CPU model uses it at inference — beats a flat</w:t>
      </w:r>
      <w:r>
        <w:t xml:space="preserve"> </w:t>
      </w:r>
      <w:r>
        <w:t xml:space="preserve">classifier on 3/4 datasets, matches an expert hierarchy, beats a random-grouping control,</w:t>
      </w:r>
      <w:r>
        <w:t xml:space="preserve"> </w:t>
      </w:r>
      <w:r>
        <w:t xml:space="preserve">and never depends on the foundation model at prediction time. (ii)</w:t>
      </w:r>
      <w:r>
        <w:t xml:space="preserve"> </w:t>
      </w:r>
      <w:r>
        <w:rPr>
          <w:b/>
          <w:bCs/>
        </w:rPr>
        <w:t xml:space="preserve">Within-cell-type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: the same machinery resolves hepatocyte zonation (portal→central) at ~0.99</w:t>
      </w:r>
      <w:r>
        <w:t xml:space="preserve"> </w:t>
      </w:r>
      <w:r>
        <w:t xml:space="preserve">within-one-zone, generalizing across donors and datasets — a</w:t>
      </w:r>
      <w:r>
        <w:t xml:space="preserve"> </w:t>
      </w:r>
      <w:r>
        <w:t xml:space="preserve">third tier below the cell-type label. Together these make actinn-jax a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(broad →</w:t>
      </w:r>
      <w:r>
        <w:t xml:space="preserve"> </w:t>
      </w:r>
      <w:r>
        <w:t xml:space="preserve">tissue → subtype/state), not just a classifier, at classical-method speed throughout.</w:t>
      </w:r>
    </w:p>
    <w:bookmarkEnd w:id="32"/>
    <w:bookmarkStart w:id="33" w:name="rejection-abstain"/>
    <w:p>
      <w:pPr>
        <w:pStyle w:val="Heading2"/>
      </w:pPr>
      <w:r>
        <w:t xml:space="preserve">Rejection / abstain</w:t>
      </w:r>
    </w:p>
    <w:p>
      <w:pPr>
        <w:pStyle w:val="FirstParagraph"/>
      </w:pPr>
      <w:r>
        <w:t xml:space="preserve">Holding out 9 of 36 cell types entirely from the HLiCA liver reference (so 1,350 query</w:t>
      </w:r>
      <w:r>
        <w:t xml:space="preserve"> </w:t>
      </w:r>
      <w:r>
        <w:t xml:space="preserve">cells are genuinely out-of-distribution), and sweeping a confidence threshold: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actinn-jax: acc(kept) / coverage / OOD-flagged</w:t>
            </w:r>
          </w:p>
        </w:tc>
        <w:tc>
          <w:tcPr/>
          <w:p>
            <w:pPr>
              <w:pStyle w:val="Compact"/>
            </w:pPr>
            <w:r>
              <w:t xml:space="preserve">CellTypist: acc(kept) / coverage / OOD-flagged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0.885 / 1.00 / 0.00</w:t>
            </w:r>
          </w:p>
        </w:tc>
        <w:tc>
          <w:tcPr/>
          <w:p>
            <w:pPr>
              <w:pStyle w:val="Compact"/>
            </w:pPr>
            <w:r>
              <w:t xml:space="preserve">0.873 / 1.00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0.919 / 0.93 / 0.30</w:t>
            </w:r>
          </w:p>
        </w:tc>
        <w:tc>
          <w:tcPr/>
          <w:p>
            <w:pPr>
              <w:pStyle w:val="Compact"/>
            </w:pPr>
            <w:r>
              <w:t xml:space="preserve">0.936 / 0.68 / 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0.946 / 0.84 / 0.52</w:t>
            </w:r>
          </w:p>
        </w:tc>
        <w:tc>
          <w:tcPr/>
          <w:p>
            <w:pPr>
              <w:pStyle w:val="Compact"/>
            </w:pPr>
            <w:r>
              <w:t xml:space="preserve">0.936 / 0.68 / 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0.969 / 0.66 / 0.73</w:t>
            </w:r>
          </w:p>
        </w:tc>
        <w:tc>
          <w:tcPr/>
          <w:p>
            <w:pPr>
              <w:pStyle w:val="Compact"/>
            </w:pPr>
            <w:r>
              <w:t xml:space="preserve">0.937 / 0.68 / 0.68</w:t>
            </w:r>
          </w:p>
        </w:tc>
      </w:tr>
    </w:tbl>
    <w:p>
      <w:pPr>
        <w:pStyle w:val="BodyText"/>
      </w:pPr>
      <w:r>
        <w:t xml:space="preserve">actinn-jax’s probability gives a</w:t>
      </w:r>
      <w:r>
        <w:t xml:space="preserve"> </w:t>
      </w:r>
      <w:r>
        <w:rPr>
          <w:b/>
          <w:bCs/>
        </w:rPr>
        <w:t xml:space="preserve">smooth, tunable</w:t>
      </w:r>
      <w:r>
        <w:t xml:space="preserve"> </w:t>
      </w:r>
      <w:r>
        <w:t xml:space="preserve">abstain curve — accuracy on kept cells</w:t>
      </w:r>
      <w:r>
        <w:t xml:space="preserve"> </w:t>
      </w:r>
      <w:r>
        <w:t xml:space="preserve">rises 0.885→0.969 as coverage falls 1.00→0.66 and OOD-flagging climbs 0.00→0.73 — so a user</w:t>
      </w:r>
      <w:r>
        <w:t xml:space="preserve"> </w:t>
      </w:r>
      <w:r>
        <w:t xml:space="preserve">can dial the precision/coverage/novel-cell-detection trade-off. CellTypist’s probabilities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(near 0 or 1): the threshold jumps to 68% OOD-flagged at 0.5 and then does</w:t>
      </w:r>
      <w:r>
        <w:t xml:space="preserve"> </w:t>
      </w:r>
      <w:r>
        <w:t xml:space="preserve">not move across 0.5–0.9, giving essentially one operating point rather than a tunable curve.</w:t>
      </w:r>
      <w:r>
        <w:t xml:space="preserve"> </w:t>
      </w:r>
      <w:r>
        <w:t xml:space="preserve">scmap-cluster offers a single native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decision (no sweep). The abstain knob is a</w:t>
      </w:r>
      <w:r>
        <w:t xml:space="preserve"> </w:t>
      </w:r>
      <w:r>
        <w:t xml:space="preserve">concrete, practical advantage of actinn-jax’s calibrated output.</w:t>
      </w:r>
    </w:p>
    <w:bookmarkEnd w:id="33"/>
    <w:bookmarkStart w:id="34" w:name="foundation-model-zero-shot-scprint"/>
    <w:p>
      <w:pPr>
        <w:pStyle w:val="Heading2"/>
      </w:pPr>
      <w:r>
        <w:t xml:space="preserve">Foundation-model zero-shot (scPRINT)</w:t>
      </w:r>
    </w:p>
    <w:p>
      <w:pPr>
        <w:pStyle w:val="FirstParagraph"/>
      </w:pPr>
      <w:r>
        <w:t xml:space="preserve">scPRINT is run separately as a zero-shot predictor (no training on the reference), as a</w:t>
      </w:r>
      <w:r>
        <w:t xml:space="preserve"> </w:t>
      </w:r>
      <w:r>
        <w:t xml:space="preserve">reference point for the</w:t>
      </w:r>
      <w:r>
        <w:t xml:space="preserve"> </w:t>
      </w:r>
      <w:r>
        <w:t xml:space="preserve">“just use a foundation model”</w:t>
      </w:r>
      <w:r>
        <w:t xml:space="preserve"> </w:t>
      </w:r>
      <w:r>
        <w:t xml:space="preserve">alternative. On the lung datasets it</w:t>
      </w:r>
      <w:r>
        <w:t xml:space="preserve"> </w:t>
      </w:r>
      <w:r>
        <w:t xml:space="preserve">scored</w:t>
      </w:r>
      <w:r>
        <w:t xml:space="preserve"> </w:t>
      </w:r>
      <w:r>
        <w:rPr>
          <w:b/>
          <w:bCs/>
        </w:rPr>
        <w:t xml:space="preserve">exact accuracy 0.027 / ontology concordance 0.206 in 321 s per query</w:t>
      </w:r>
      <w:r>
        <w:t xml:space="preserve"> </w:t>
      </w:r>
      <w:r>
        <w:t xml:space="preserve">— vs.</w:t>
      </w:r>
      <w:r>
        <w:t xml:space="preserve"> </w:t>
      </w:r>
      <w:r>
        <w:t xml:space="preserve">actinn-jax’s 0.89 in 0.2 s — so as a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predictor it is both slow (~1000× actinn-jax)</w:t>
      </w:r>
      <w:r>
        <w:t xml:space="preserve"> </w:t>
      </w:r>
      <w:r>
        <w:t xml:space="preserve">and weak. Its pretrained classifier head also carries a</w:t>
      </w:r>
      <w:r>
        <w:t xml:space="preserve"> </w:t>
      </w:r>
      <w:r>
        <w:rPr>
          <w:b/>
          <w:bCs/>
        </w:rPr>
        <w:t xml:space="preserve">fixed label vocabulary</w:t>
      </w:r>
      <w:r>
        <w:t xml:space="preserve"> </w:t>
      </w:r>
      <w:r>
        <w:t xml:space="preserve">and</w:t>
      </w:r>
      <w:r>
        <w:t xml:space="preserve"> </w:t>
      </w:r>
      <w:r>
        <w:t xml:space="preserve">requires CL ids, so it cannot emit labels outside that set; this is an inherent property of</w:t>
      </w:r>
      <w:r>
        <w:t xml:space="preserve"> </w:t>
      </w:r>
      <w:r>
        <w:t xml:space="preserve">a zero-shot label head, not a defect, but it means the foundation model’s raw predictions</w:t>
      </w:r>
      <w:r>
        <w:t xml:space="preserve"> </w:t>
      </w:r>
      <w:r>
        <w:t xml:space="preserve">are not a drop-in annotator. This is exactly why our two-stage workflow uses scPRINT’s</w:t>
      </w:r>
      <w:r>
        <w:t xml:space="preserve"> </w:t>
      </w:r>
      <w:r>
        <w:rPr>
          <w:b/>
          <w:bCs/>
        </w:rPr>
        <w:t xml:space="preserve">embeddings</w:t>
      </w:r>
      <w:r>
        <w:t xml:space="preserve"> </w:t>
      </w:r>
      <w:r>
        <w:t xml:space="preserve">— its learned structure — to</w:t>
      </w:r>
      <w:r>
        <w:t xml:space="preserve"> </w:t>
      </w:r>
      <w:r>
        <w:t xml:space="preserve">shape a small trained model, never its zero-shot labels: the foundation model is valuable,</w:t>
      </w:r>
      <w:r>
        <w:t xml:space="preserve"> </w:t>
      </w:r>
      <w:r>
        <w:t xml:space="preserve">its raw label predictions are not.</w:t>
      </w:r>
    </w:p>
    <w:bookmarkEnd w:id="34"/>
    <w:bookmarkStart w:id="42" w:name="X073cf3caac1f6b108657735a42ae0c9978dc036"/>
    <w:p>
      <w:pPr>
        <w:pStyle w:val="Heading2"/>
      </w:pPr>
      <w:r>
        <w:t xml:space="preserve">External validation: Open Problems</w:t>
      </w:r>
      <w:r>
        <w:t xml:space="preserve"> </w:t>
      </w:r>
      <w:r>
        <w:rPr>
          <w:rStyle w:val="VerbatimChar"/>
        </w:rPr>
        <w:t xml:space="preserve">label_projection</w:t>
      </w:r>
    </w:p>
    <w:p>
      <w:pPr>
        <w:pStyle w:val="FirstParagraph"/>
      </w:pPr>
      <w:r>
        <w:t xml:space="preserve">Our in-house benchmark is neutral but self-run. For an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check, we ran</w:t>
      </w:r>
      <w:r>
        <w:t xml:space="preserve"> </w:t>
      </w:r>
      <w:r>
        <w:t xml:space="preserve">actinn-jax through the community-standard</w:t>
      </w:r>
      <w:r>
        <w:t xml:space="preserve"> </w:t>
      </w:r>
      <w:hyperlink r:id="rId35">
        <w:r>
          <w:rPr>
            <w:rStyle w:val="Hyperlink"/>
          </w:rPr>
          <w:t xml:space="preserve">Open Problems</w:t>
        </w:r>
      </w:hyperlink>
      <w:r>
        <w:t xml:space="preserve"> </w:t>
      </w:r>
      <w:r>
        <w:t xml:space="preserve">label-projection task — their 6 datasets, splits, and metrics — and slotted it into their</w:t>
      </w:r>
      <w:r>
        <w:t xml:space="preserve"> </w:t>
      </w:r>
      <w:r>
        <w:t xml:space="preserve">published v2.0.0 leaderboard.</w:t>
      </w:r>
    </w:p>
    <w:p>
      <w:pPr>
        <w:pStyle w:val="BodyText"/>
      </w:pPr>
      <w:r>
        <w:rPr>
          <w:b/>
          <w:bCs/>
        </w:rPr>
        <w:t xml:space="preserve">Placement.</w:t>
      </w:r>
      <w:r>
        <w:t xml:space="preserve"> </w:t>
      </w:r>
      <w:r>
        <w:t xml:space="preserve">On a benchmark we did not design and cannot tune,</w:t>
      </w:r>
      <w:r>
        <w:t xml:space="preserve"> </w:t>
      </w:r>
      <w:r>
        <w:rPr>
          <w:b/>
          <w:bCs/>
        </w:rPr>
        <w:t xml:space="preserve">actinn-jax places 3rd of</w:t>
      </w:r>
      <w:r>
        <w:rPr>
          <w:b/>
          <w:bCs/>
        </w:rPr>
        <w:t xml:space="preserve"> </w:t>
      </w:r>
      <w:r>
        <w:rPr>
          <w:b/>
          <w:bCs/>
        </w:rPr>
        <w:t xml:space="preserve">17 on mean accuracy (0.837), 1st among all methods that complete every dataset</w:t>
      </w:r>
      <w:r>
        <w:t xml:space="preserve">, beats its</w:t>
      </w:r>
      <w:r>
        <w:t xml:space="preserve"> </w:t>
      </w:r>
      <w:r>
        <w:t xml:space="preserve">PCA-space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sibling, and posts the best accuracy of any completing method on the hardest</w:t>
      </w:r>
      <w:r>
        <w:t xml:space="preserve"> </w:t>
      </w:r>
      <w:r>
        <w:t xml:space="preserve">dataset (tabula_sapiens, 160 types: 0.394 vs mlp 0.342). It is upper-mid on macro-F1 and</w:t>
      </w:r>
      <w:r>
        <w:t xml:space="preserve"> </w:t>
      </w:r>
      <w:r>
        <w:rPr>
          <w:b/>
          <w:bCs/>
        </w:rPr>
        <w:t xml:space="preserve">not the top method overall</w:t>
      </w:r>
      <w:r>
        <w:t xml:space="preserve"> </w:t>
      </w:r>
      <w:r>
        <w:t xml:space="preserve">— scANVI+scArches surgery and xgboost score higher on the</w:t>
      </w:r>
      <w:r>
        <w:t xml:space="preserve"> </w:t>
      </w:r>
      <w:r>
        <w:t xml:space="preserve">datasets they finish, though both</w:t>
      </w:r>
      <w:r>
        <w:t xml:space="preserve"> </w:t>
      </w:r>
      <w:r>
        <w:rPr>
          <w:b/>
          <w:bCs/>
        </w:rPr>
        <w:t xml:space="preserve">fail to complete tabula_sapiens</w:t>
      </w:r>
      <w:r>
        <w:t xml:space="preserve">, which is why they</w:t>
      </w:r>
      <w:r>
        <w:t xml:space="preserve"> </w:t>
      </w:r>
      <w:r>
        <w:t xml:space="preserve">rank above actinn-jax only on a mean over the 5 easier datasets. The foundation models again</w:t>
      </w:r>
      <w:r>
        <w:t xml:space="preserve"> </w:t>
      </w:r>
      <w:r>
        <w:t xml:space="preserve">land at the bottom (scgpt_zeroshot 0.639, uce 0.131 ≈ the random-labels control),</w:t>
      </w:r>
      <w:r>
        <w:t xml:space="preserve"> </w:t>
      </w:r>
      <w:r>
        <w:t xml:space="preserve">reproducing §3.8 externally.</w:t>
      </w:r>
    </w:p>
    <w:p>
      <w:pPr>
        <w:pStyle w:val="BodyText"/>
      </w:pPr>
      <w:r>
        <w:rPr>
          <w:b/>
          <w:bCs/>
        </w:rPr>
        <w:t xml:space="preserve">Controlled same-hardware speed &amp; memory.</w:t>
      </w:r>
      <w:r>
        <w:t xml:space="preserve"> </w:t>
      </w:r>
      <w:r>
        <w:t xml:space="preserve">Leaderboard runtimes mix hardware, so we re-ran</w:t>
      </w:r>
      <w:r>
        <w:t xml:space="preserve"> </w:t>
      </w:r>
      <w:r>
        <w:t xml:space="preserve">actinn-jax and the CPU tier through OP’s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Nextflow pipeline on a</w:t>
      </w:r>
      <w:r>
        <w:t xml:space="preserve"> </w:t>
      </w:r>
      <w:r>
        <w:rPr>
          <w:b/>
          <w:bCs/>
        </w:rPr>
        <w:t xml:space="preserve">single AWS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r7i.8xlarge</w:t>
      </w:r>
      <w:r>
        <w:t xml:space="preserve"> </w:t>
      </w:r>
      <w:r>
        <w:t xml:space="preserve">— identical hardware, harness, storage, and trace instrumentation for every</w:t>
      </w:r>
      <w:r>
        <w:t xml:space="preserve"> </w:t>
      </w:r>
      <w:r>
        <w:t xml:space="preserve">method. This is the paper’s cleanest cross-method cost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 (same box)</w:t>
            </w:r>
          </w:p>
        </w:tc>
        <w:tc>
          <w:tcPr/>
          <w:p>
            <w:pPr>
              <w:pStyle w:val="Compact"/>
            </w:pPr>
            <w:r>
              <w:t xml:space="preserve">mean acc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runtime/dataset</w:t>
            </w:r>
          </w:p>
        </w:tc>
        <w:tc>
          <w:tcPr/>
          <w:p>
            <w:pPr>
              <w:pStyle w:val="Compact"/>
            </w:pPr>
            <w:r>
              <w:t xml:space="preserve">peak RSS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0.655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165 s</w:t>
            </w:r>
          </w:p>
        </w:tc>
        <w:tc>
          <w:tcPr/>
          <w:p>
            <w:pPr>
              <w:pStyle w:val="Compact"/>
            </w:pPr>
            <w:r>
              <w:t xml:space="preserve">21.0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0.838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327 s</w:t>
            </w:r>
          </w:p>
        </w:tc>
        <w:tc>
          <w:tcPr/>
          <w:p>
            <w:pPr>
              <w:pStyle w:val="Compact"/>
            </w:pPr>
            <w:r>
              <w:t xml:space="preserve">19.9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logistic_regression</w:t>
            </w:r>
          </w:p>
        </w:tc>
        <w:tc>
          <w:tcPr/>
          <w:p>
            <w:pPr>
              <w:pStyle w:val="Compact"/>
            </w:pPr>
            <w:r>
              <w:t xml:space="preserve">0.813</w:t>
            </w:r>
          </w:p>
        </w:tc>
        <w:tc>
          <w:tcPr/>
          <w:p>
            <w:pPr>
              <w:pStyle w:val="Compact"/>
            </w:pPr>
            <w:r>
              <w:t xml:space="preserve">0.689</w:t>
            </w:r>
          </w:p>
        </w:tc>
        <w:tc>
          <w:tcPr/>
          <w:p>
            <w:pPr>
              <w:pStyle w:val="Compact"/>
            </w:pPr>
            <w:r>
              <w:t xml:space="preserve">29 s</w:t>
            </w:r>
          </w:p>
        </w:tc>
        <w:tc>
          <w:tcPr/>
          <w:p>
            <w:pPr>
              <w:pStyle w:val="Compact"/>
            </w:pPr>
            <w:r>
              <w:t xml:space="preserve">20.0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0.793</w:t>
            </w:r>
          </w:p>
        </w:tc>
        <w:tc>
          <w:tcPr/>
          <w:p>
            <w:pPr>
              <w:pStyle w:val="Compact"/>
            </w:pPr>
            <w:r>
              <w:t xml:space="preserve">0.648</w:t>
            </w:r>
          </w:p>
        </w:tc>
        <w:tc>
          <w:tcPr/>
          <w:p>
            <w:pPr>
              <w:pStyle w:val="Compact"/>
            </w:pPr>
            <w:r>
              <w:t xml:space="preserve">11 s</w:t>
            </w:r>
          </w:p>
        </w:tc>
        <w:tc>
          <w:tcPr/>
          <w:p>
            <w:pPr>
              <w:pStyle w:val="Compact"/>
            </w:pPr>
            <w:r>
              <w:t xml:space="preserve">19.5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0.795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905 s</w:t>
            </w:r>
          </w:p>
        </w:tc>
        <w:tc>
          <w:tcPr/>
          <w:p>
            <w:pPr>
              <w:pStyle w:val="Compact"/>
            </w:pPr>
            <w:r>
              <w:t xml:space="preserve">80.7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cellmapper_linear</w:t>
            </w:r>
          </w:p>
        </w:tc>
        <w:tc>
          <w:tcPr/>
          <w:p>
            <w:pPr>
              <w:pStyle w:val="Compact"/>
            </w:pPr>
            <w:r>
              <w:t xml:space="preserve">0.776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  <w:r>
              <w:t xml:space="preserve">58 s</w:t>
            </w:r>
          </w:p>
        </w:tc>
        <w:tc>
          <w:tcPr/>
          <w:p>
            <w:pPr>
              <w:pStyle w:val="Compact"/>
            </w:pPr>
            <w:r>
              <w:t xml:space="preserve">31.5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naive_bayes</w:t>
            </w:r>
          </w:p>
        </w:tc>
        <w:tc>
          <w:tcPr/>
          <w:p>
            <w:pPr>
              <w:pStyle w:val="Compact"/>
            </w:pPr>
            <w:r>
              <w:t xml:space="preserve">0.738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31 s</w:t>
            </w:r>
          </w:p>
        </w:tc>
        <w:tc>
          <w:tcPr/>
          <w:p>
            <w:pPr>
              <w:pStyle w:val="Compact"/>
            </w:pPr>
            <w:r>
              <w:t xml:space="preserve">19.5 GB</w:t>
            </w:r>
          </w:p>
        </w:tc>
      </w:tr>
    </w:tbl>
    <w:p>
      <w:pPr>
        <w:pStyle w:val="BodyText"/>
      </w:pPr>
      <w:r>
        <w:t xml:space="preserve">actinn-jax</w:t>
      </w:r>
      <w:r>
        <w:t xml:space="preserve"> </w:t>
      </w:r>
      <w:r>
        <w:rPr>
          <w:b/>
          <w:bCs/>
        </w:rPr>
        <w:t xml:space="preserve">ties 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mlp</w:t>
      </w:r>
      <w:r>
        <w:rPr>
          <w:b/>
          <w:bCs/>
        </w:rPr>
        <w:t xml:space="preserve"> </w:t>
      </w:r>
      <w:r>
        <w:rPr>
          <w:b/>
          <w:bCs/>
        </w:rPr>
        <w:t xml:space="preserve">sibling on accuracy at ~2× the speed</w:t>
      </w:r>
      <w:r>
        <w:t xml:space="preserve"> </w:t>
      </w:r>
      <w:r>
        <w:t xml:space="preserve">(165 vs 327 s) and</w:t>
      </w:r>
      <w:r>
        <w:t xml:space="preserve"> </w:t>
      </w:r>
      <w:r>
        <w:rPr>
          <w:b/>
          <w:bCs/>
        </w:rPr>
        <w:t xml:space="preserve">beats xgboost’s accuracy at ~5.5× less runtime and ~4× less memory</w:t>
      </w:r>
      <w:r>
        <w:t xml:space="preserve"> </w:t>
      </w:r>
      <w:r>
        <w:t xml:space="preserve">(165 s / 21 GB vs</w:t>
      </w:r>
      <w:r>
        <w:t xml:space="preserve"> </w:t>
      </w:r>
      <w:r>
        <w:t xml:space="preserve">905 s / 81 GB). The faster methods (knn, logistic) are less accurate; the more accurate</w:t>
      </w:r>
      <w:r>
        <w:t xml:space="preserve"> </w:t>
      </w:r>
      <w:r>
        <w:t xml:space="preserve">heavyweight (xgboost) is far slower and heavier — the same Pareto-non-domination as the</w:t>
      </w:r>
      <w:r>
        <w:t xml:space="preserve"> </w:t>
      </w:r>
      <w:r>
        <w:t xml:space="preserve">in-house benchmark, now on controlled hardware. (An earlier cross-hardware draft overstated</w:t>
      </w:r>
      <w:r>
        <w:t xml:space="preserve"> </w:t>
      </w:r>
      <w:r>
        <w:t xml:space="preserve">the mlp speed gap as</w:t>
      </w:r>
      <w:r>
        <w:t xml:space="preserve"> </w:t>
      </w:r>
      <w:r>
        <w:t xml:space="preserve">“8×”</w:t>
      </w:r>
      <w:r>
        <w:t xml:space="preserve">; the honest same-box figure is ~2×.)</w:t>
      </w:r>
    </w:p>
    <w:p>
      <w:pPr>
        <w:pStyle w:val="BodyText"/>
      </w:pPr>
      <w:r>
        <w:rPr>
          <w:b/>
          <w:bCs/>
        </w:rPr>
        <w:t xml:space="preserve">Two cheap ablations, and their honest limits.</w:t>
      </w:r>
      <w:r>
        <w:t xml:space="preserve"> </w:t>
      </w:r>
      <w:r>
        <w:t xml:space="preserve">(i)</w:t>
      </w:r>
      <w:r>
        <w:t xml:space="preserve"> </w:t>
      </w:r>
      <w:r>
        <w:rPr>
          <w:i/>
          <w:iCs/>
        </w:rPr>
        <w:t xml:space="preserve">Input standardization</w:t>
      </w:r>
      <w:r>
        <w:t xml:space="preserve"> </w:t>
      </w:r>
      <w:r>
        <w:t xml:space="preserve">— z-scoring</w:t>
      </w:r>
      <w:r>
        <w:t xml:space="preserve"> </w:t>
      </w:r>
      <w:r>
        <w:t xml:space="preserve">genes to the reference’s frozen mean/std, a CPU-only domain-alignment inspired by scArches</w:t>
      </w:r>
      <w:r>
        <w:t xml:space="preserve"> </w:t>
      </w:r>
      <w:r>
        <w:t xml:space="preserve">reference surgery — lifts mean accuracy +0.2 and macro-F1 +1.2 pt (largest on batch-shifted</w:t>
      </w:r>
      <w:r>
        <w:t xml:space="preserve"> </w:t>
      </w:r>
      <w:r>
        <w:t xml:space="preserve">datasets: gtex macro-F1 +7.9). It is shipped</w:t>
      </w:r>
      <w:r>
        <w:t xml:space="preserve"> </w:t>
      </w:r>
      <w:r>
        <w:rPr>
          <w:b/>
          <w:bCs/>
        </w:rPr>
        <w:t xml:space="preserve">opt-in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standardize=True</w:t>
      </w:r>
      <w:r>
        <w:t xml:space="preserve">) because it</w:t>
      </w:r>
      <w:r>
        <w:t xml:space="preserve"> </w:t>
      </w:r>
      <w:r>
        <w:t xml:space="preserve">shifts the softmax calibration that the two-stage abstain thresholds are tuned against.</w:t>
      </w:r>
      <w:r>
        <w:t xml:space="preserve"> </w:t>
      </w:r>
      <w:r>
        <w:t xml:space="preserve">(ii)</w:t>
      </w:r>
      <w:r>
        <w:t xml:space="preserve"> </w:t>
      </w:r>
      <w:r>
        <w:rPr>
          <w:i/>
          <w:iCs/>
        </w:rPr>
        <w:t xml:space="preserve">Gene budget</w:t>
      </w:r>
      <w:r>
        <w:t xml:space="preserve"> </w:t>
      </w:r>
      <w:r>
        <w:t xml:space="preserve">— OP feeds every method 1000 HVGs, which most starves a gene-space MLP.</w:t>
      </w:r>
      <w:r>
        <w:t xml:space="preserve"> </w:t>
      </w:r>
      <w:r>
        <w:t xml:space="preserve">Widening to ~5000 HVGs lifts accuracy on 4 of 6 datasets (immune/gtex +3 pt) and there</w:t>
      </w:r>
      <w:r>
        <w:t xml:space="preserve"> </w:t>
      </w:r>
      <w:r>
        <w:rPr>
          <w:b/>
          <w:bCs/>
        </w:rPr>
        <w:t xml:space="preserve">matches scANVI+scArches’s full-config leaderboard accuracy</w:t>
      </w:r>
      <w:r>
        <w:t xml:space="preserve"> </w:t>
      </w:r>
      <w:r>
        <w:t xml:space="preserve">(immune 0.891 ≈ 0.892) on CPU</w:t>
      </w:r>
      <w:r>
        <w:t xml:space="preserve"> </w:t>
      </w:r>
      <w:r>
        <w:t xml:space="preserve">in minutes — the gap to the top method was largely a gene-budget artifact, not the VAE. But</w:t>
      </w:r>
      <w:r>
        <w:t xml:space="preserve"> </w:t>
      </w:r>
      <w:r>
        <w:t xml:space="preserve">more genes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universal win: it</w:t>
      </w:r>
      <w:r>
        <w:t xml:space="preserve"> </w:t>
      </w:r>
      <w:r>
        <w:rPr>
          <w:i/>
          <w:iCs/>
        </w:rPr>
        <w:t xml:space="preserve">regresses</w:t>
      </w:r>
      <w:r>
        <w:t xml:space="preserve"> </w:t>
      </w:r>
      <w:r>
        <w:t xml:space="preserve">tabula_sapiens by ~10 pt (its</w:t>
      </w:r>
      <w:r>
        <w:t xml:space="preserve"> </w:t>
      </w:r>
      <w:r>
        <w:t xml:space="preserve">284-cell test batch across 160 fine types overfits reference-specific genes) and saturates</w:t>
      </w:r>
      <w:r>
        <w:t xml:space="preserve"> </w:t>
      </w:r>
      <w:r>
        <w:t xml:space="preserve">hypomap. Crucially, this is</w:t>
      </w:r>
      <w:r>
        <w:t xml:space="preserve"> </w:t>
      </w:r>
      <w:r>
        <w:rPr>
          <w:b/>
          <w:bCs/>
        </w:rPr>
        <w:t xml:space="preserve">selectable without test labels</w:t>
      </w:r>
      <w:r>
        <w:t xml:space="preserve">: held-out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cross-validation rises for the</w:t>
      </w:r>
      <w:r>
        <w:t xml:space="preserve"> </w:t>
      </w:r>
      <w:r>
        <w:t xml:space="preserve">datasets that benefit and is the one signal that</w:t>
      </w:r>
      <w:r>
        <w:t xml:space="preserve"> </w:t>
      </w:r>
      <w:r>
        <w:rPr>
          <w:i/>
          <w:iCs/>
        </w:rPr>
        <w:t xml:space="preserve">drops</w:t>
      </w:r>
      <w:r>
        <w:t xml:space="preserve"> </w:t>
      </w:r>
      <w:r>
        <w:t xml:space="preserve">for tabula_sapiens, and a trivial</w:t>
      </w:r>
      <w:r>
        <w:t xml:space="preserve"> </w:t>
      </w:r>
      <w:r>
        <w:t xml:space="preserve">query-cells-per-class check independently flags it —</w:t>
      </w:r>
      <w:r>
        <w:t xml:space="preserve"> </w:t>
      </w:r>
      <w:r>
        <w:t xml:space="preserve">so the budget can be set deterministically per dataset. (iii)</w:t>
      </w:r>
      <w:r>
        <w:t xml:space="preserve"> </w:t>
      </w:r>
      <w:r>
        <w:rPr>
          <w:i/>
          <w:iCs/>
        </w:rPr>
        <w:t xml:space="preserve">Negative control</w:t>
      </w:r>
      <w:r>
        <w:t xml:space="preserve"> </w:t>
      </w:r>
      <w:r>
        <w:t xml:space="preserve">— a</w:t>
      </w:r>
      <w:r>
        <w:t xml:space="preserve"> </w:t>
      </w:r>
      <w:r>
        <w:t xml:space="preserve">CPU-only, UCE-style protein-embedding featurization (expression-weighted mean of ESM2 gene</w:t>
      </w:r>
      <w:r>
        <w:t xml:space="preserve"> </w:t>
      </w:r>
      <w:r>
        <w:t xml:space="preserve">embeddings)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help and hurts the hardest case: the pooling discards the per-gene</w:t>
      </w:r>
      <w:r>
        <w:t xml:space="preserve"> </w:t>
      </w:r>
      <w:r>
        <w:t xml:space="preserve">detail that separates fine types, so the value of a foundation model like UCE stays locked</w:t>
      </w:r>
      <w:r>
        <w:t xml:space="preserve"> </w:t>
      </w:r>
      <w:r>
        <w:t xml:space="preserve">in its GPU transformer, not a portable averaging trick.</w:t>
      </w:r>
    </w:p>
    <w:p>
      <w:pPr>
        <w:pStyle w:val="CaptionedFigure"/>
      </w:pPr>
      <w:r>
        <w:drawing>
          <wp:inline>
            <wp:extent cx="5334000" cy="2139510"/>
            <wp:effectExtent b="0" l="0" r="0" t="0"/>
            <wp:docPr descr="actinn-jax accuracy and macro-F1 versus input gene budget across all six Open Problems datasets. More genes help most datasets but regress the fine-grained, domain-shifted tabula_sapiens." title="" id="3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curv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9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actinn-jax accuracy and macro-F1 versus input gene budget across all six Open Problems datasets. More genes help most datasets but regress the fine-grained, domain-shifted tabula_sapiens.</w:t>
      </w:r>
    </w:p>
    <w:p>
      <w:pPr>
        <w:pStyle w:val="CaptionedFigure"/>
      </w:pPr>
      <w:r>
        <w:drawing>
          <wp:inline>
            <wp:extent cx="5334000" cy="2293972"/>
            <wp:effectExtent b="0" l="0" r="0" t="0"/>
            <wp:docPr descr="Label-free signals for setting the gene budget without test labels. Held-out reference cross-validation and query-cells-per-class both single out tabula_sapiens (where more genes hurt)." title="" id="4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signal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Label-free signals for setting the gene budget without test labels. Held-out reference cross-validation and query-cells-per-class both single out tabula_sapiens (where more genes hurt).</w:t>
      </w:r>
    </w:p>
    <w:bookmarkEnd w:id="42"/>
    <w:bookmarkEnd w:id="43"/>
    <w:bookmarkStart w:id="44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actinn-jax is not the accuracy champion, and we do not claim it is.</w:t>
      </w:r>
      <w:r>
        <w:t xml:space="preserve"> </w:t>
      </w:r>
      <w:r>
        <w:t xml:space="preserve">Deep probabilistic</w:t>
      </w:r>
      <w:r>
        <w:t xml:space="preserve"> </w:t>
      </w:r>
      <w:r>
        <w:t xml:space="preserve">methods and boosted trees edge it by 1–2 points where they run, both in our panel (§3.1) and</w:t>
      </w:r>
      <w:r>
        <w:t xml:space="preserve"> </w:t>
      </w:r>
      <w:r>
        <w:t xml:space="preserve">on Open Problems (§3.9); a benchmark that hid this would be wrong. What the evidence supports</w:t>
      </w:r>
      <w:r>
        <w:t xml:space="preserve"> </w:t>
      </w:r>
      <w:r>
        <w:t xml:space="preserve">is narrower and, we argue, more useful: across two independent benchmarks and a controlled</w:t>
      </w:r>
      <w:r>
        <w:t xml:space="preserve"> </w:t>
      </w:r>
      <w:r>
        <w:t xml:space="preserve">same-hardware rerun,</w:t>
      </w:r>
      <w:r>
        <w:t xml:space="preserve"> </w:t>
      </w:r>
      <w:r>
        <w:rPr>
          <w:b/>
          <w:bCs/>
        </w:rPr>
        <w:t xml:space="preserve">no method dominates actinn-jax on both accuracy and cost</w:t>
      </w:r>
      <w:r>
        <w:t xml:space="preserve">, and its</w:t>
      </w:r>
      <w:r>
        <w:t xml:space="preserve"> </w:t>
      </w:r>
      <w:r>
        <w:t xml:space="preserve">differentiators are the ones that decide what a working scientist runs on a laptop.</w:t>
      </w:r>
    </w:p>
    <w:p>
      <w:pPr>
        <w:pStyle w:val="BodyText"/>
      </w:pPr>
      <w:r>
        <w:rPr>
          <w:i/>
          <w:iCs/>
        </w:rPr>
        <w:t xml:space="preserve">Speed and footprint.</w:t>
      </w:r>
      <w:r>
        <w:t xml:space="preserve"> </w:t>
      </w:r>
      <w:r>
        <w:t xml:space="preserve">Inference is</w:t>
      </w:r>
      <w:r>
        <w:t xml:space="preserve"> </w:t>
      </w:r>
      <w:r>
        <w:rPr>
          <w:b/>
          <w:bCs/>
        </w:rPr>
        <w:t xml:space="preserve">sub-second and flat</w:t>
      </w:r>
      <w:r>
        <w:t xml:space="preserve"> </w:t>
      </w:r>
      <w:r>
        <w:t xml:space="preserve">— independent of reference size</w:t>
      </w:r>
      <w:r>
        <w:t xml:space="preserve"> </w:t>
      </w:r>
      <w:r>
        <w:t xml:space="preserve">and cardinality (§3.4) — and peak memory sits in the lightest cluster (~2 GB in-house;</w:t>
      </w:r>
      <w:r>
        <w:t xml:space="preserve"> </w:t>
      </w:r>
      <w:r>
        <w:t xml:space="preserve">~21 GB through OP’s heavier all-layer harness, still less than half of xgboost’s 81 GB on the</w:t>
      </w:r>
      <w:r>
        <w:t xml:space="preserve"> </w:t>
      </w:r>
      <w:r>
        <w:t xml:space="preserve">same box). Against methods of equal accuracy it is 2–200× faster; against methods of equal</w:t>
      </w:r>
      <w:r>
        <w:t xml:space="preserve"> </w:t>
      </w:r>
      <w:r>
        <w:t xml:space="preserve">speed it is more accurate. With the train-once/map-many cache, the flat predict cost is all</w:t>
      </w:r>
      <w:r>
        <w:t xml:space="preserve"> </w:t>
      </w:r>
      <w:r>
        <w:t xml:space="preserve">that recurs when a reference is reused.</w:t>
      </w:r>
    </w:p>
    <w:p>
      <w:pPr>
        <w:pStyle w:val="BodyText"/>
      </w:pPr>
      <w:r>
        <w:rPr>
          <w:i/>
          <w:iCs/>
        </w:rPr>
        <w:t xml:space="preserve">The workflow is the product.</w:t>
      </w:r>
      <w:r>
        <w:t xml:space="preserve"> </w:t>
      </w:r>
      <w:r>
        <w:t xml:space="preserve">The largest practical gains come not from the flat classifier</w:t>
      </w:r>
      <w:r>
        <w:t xml:space="preserve"> </w:t>
      </w:r>
      <w:r>
        <w:t xml:space="preserve">but from the</w:t>
      </w:r>
      <w:r>
        <w:t xml:space="preserve"> </w:t>
      </w:r>
      <w:r>
        <w:rPr>
          <w:b/>
          <w:bCs/>
        </w:rPr>
        <w:t xml:space="preserve">large→refined</w:t>
      </w:r>
      <w:r>
        <w:t xml:space="preserve"> </w:t>
      </w:r>
      <w:r>
        <w:t xml:space="preserve">pipeline (§3.6): a census-scale broad model with a calibrated</w:t>
      </w:r>
      <w:r>
        <w:t xml:space="preserve"> </w:t>
      </w:r>
      <w:r>
        <w:t xml:space="preserve">abstain routes a query to a small focused reference that re-annotates at full resolution</w:t>
      </w:r>
      <w:r>
        <w:t xml:space="preserve"> </w:t>
      </w:r>
      <w:r>
        <w:t xml:space="preserve">(cross-study liver 0.23/0.58 → 0.72/0.86), with zonation as a further tier. Every stage keeps</w:t>
      </w:r>
      <w:r>
        <w:t xml:space="preserve"> </w:t>
      </w:r>
      <w:r>
        <w:t xml:space="preserve">classical-method speed, so the whole thing runs without a GPU.</w:t>
      </w:r>
    </w:p>
    <w:p>
      <w:pPr>
        <w:pStyle w:val="BodyText"/>
      </w:pPr>
      <w:r>
        <w:rPr>
          <w:i/>
          <w:iCs/>
        </w:rPr>
        <w:t xml:space="preserve">Where it loses, and why.</w:t>
      </w:r>
      <w:r>
        <w:t xml:space="preserve"> </w:t>
      </w:r>
      <w:r>
        <w:t xml:space="preserve">actinn-jax trails on small references and very-few-cells-per-type</w:t>
      </w:r>
      <w:r>
        <w:t xml:space="preserve"> </w:t>
      </w:r>
      <w:r>
        <w:t xml:space="preserve">sets (§3.1, §5), and — a finding from the OP analysis — it is sensitive to input budget under</w:t>
      </w:r>
      <w:r>
        <w:t xml:space="preserve"> </w:t>
      </w:r>
      <w:r>
        <w:t xml:space="preserve">domain shift: more genes help most datasets but overfit a tiny, fine-grained, shifted query</w:t>
      </w:r>
      <w:r>
        <w:t xml:space="preserve"> </w:t>
      </w:r>
      <w:r>
        <w:t xml:space="preserve">(tabula_sapiens). Encouragingly, the two cheapest levers are principled and label-free: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 </w:t>
      </w:r>
      <w:r>
        <w:t xml:space="preserve">(a scArches-style domain alignment) and a</w:t>
      </w:r>
      <w:r>
        <w:t xml:space="preserve"> </w:t>
      </w:r>
      <w:r>
        <w:rPr>
          <w:b/>
          <w:bCs/>
        </w:rPr>
        <w:t xml:space="preserve">reference-CV-guided gene</w:t>
      </w:r>
      <w:r>
        <w:rPr>
          <w:b/>
          <w:bCs/>
        </w:rPr>
        <w:t xml:space="preserve"> </w:t>
      </w:r>
      <w:r>
        <w:rPr>
          <w:b/>
          <w:bCs/>
        </w:rPr>
        <w:t xml:space="preserve">budget</w:t>
      </w:r>
      <w:r>
        <w:t xml:space="preserve"> </w:t>
      </w:r>
      <w:r>
        <w:t xml:space="preserve">both improve the model without peeking at test labels, and at a fair gene budget</w:t>
      </w:r>
      <w:r>
        <w:t xml:space="preserve"> </w:t>
      </w:r>
      <w:r>
        <w:t xml:space="preserve">the gene-space MLP</w:t>
      </w:r>
      <w:r>
        <w:t xml:space="preserve"> </w:t>
      </w:r>
      <w:r>
        <w:rPr>
          <w:i/>
          <w:iCs/>
        </w:rPr>
        <w:t xml:space="preserve">matches the leaderboard’s top method</w:t>
      </w:r>
      <w:r>
        <w:t xml:space="preserve"> </w:t>
      </w:r>
      <w:r>
        <w:t xml:space="preserve">on the datasets both complete —</w:t>
      </w:r>
      <w:r>
        <w:t xml:space="preserve"> </w:t>
      </w:r>
      <w:r>
        <w:t xml:space="preserve">i.e. much of the apparent gap to heavier methods is representation budget, not model class.</w:t>
      </w:r>
    </w:p>
    <w:p>
      <w:pPr>
        <w:pStyle w:val="BodyText"/>
      </w:pPr>
      <w:r>
        <w:rPr>
          <w:i/>
          <w:iCs/>
        </w:rPr>
        <w:t xml:space="preserve">Foundation models.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zero-shot labels</w:t>
      </w:r>
      <w:r>
        <w:t xml:space="preserve"> </w:t>
      </w:r>
      <w:r>
        <w:t xml:space="preserve">are the weakest option in both benchmarks</w:t>
      </w:r>
      <w:r>
        <w:t xml:space="preserve"> </w:t>
      </w:r>
      <w:r>
        <w:t xml:space="preserve">(scPRINT, scGPT, UCE ≈ random); their</w:t>
      </w:r>
      <w:r>
        <w:t xml:space="preserve"> </w:t>
      </w:r>
      <w:r>
        <w:rPr>
          <w:b/>
          <w:bCs/>
        </w:rPr>
        <w:t xml:space="preserve">embeddings/structure</w:t>
      </w:r>
      <w:r>
        <w:t xml:space="preserve"> </w:t>
      </w:r>
      <w:r>
        <w:t xml:space="preserve">are where the value lies, and</w:t>
      </w:r>
      <w:r>
        <w:t xml:space="preserve"> </w:t>
      </w:r>
      <w:r>
        <w:t xml:space="preserve">our two-stage hierarchy uses exactly that. A cheap CPU shortcut to a foundation-model</w:t>
      </w:r>
      <w:r>
        <w:t xml:space="preserve"> </w:t>
      </w:r>
      <w:r>
        <w:t xml:space="preserve">representation (protein-embedding pooling)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transfer (§3.9), underscoring that the</w:t>
      </w:r>
      <w:r>
        <w:t xml:space="preserve"> </w:t>
      </w:r>
      <w:r>
        <w:t xml:space="preserve">value is in the trained transformer, not a portable trick.</w:t>
      </w:r>
    </w:p>
    <w:p>
      <w:pPr>
        <w:pStyle w:val="BodyText"/>
      </w:pPr>
      <w:r>
        <w:rPr>
          <w:i/>
          <w:iCs/>
        </w:rPr>
        <w:t xml:space="preserve">Concurrent evidence that expressivity saturates.</w:t>
      </w:r>
      <w:r>
        <w:t xml:space="preserve"> </w:t>
      </w:r>
      <w:r>
        <w:t xml:space="preserve">Two independent lines support this</w:t>
      </w:r>
      <w:r>
        <w:t xml:space="preserve"> </w:t>
      </w:r>
      <w:r>
        <w:t xml:space="preserve">reading. First, a head-to-head against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— a prototype-based, self-explaining</w:t>
      </w:r>
      <w:r>
        <w:t xml:space="preserve"> </w:t>
      </w:r>
      <w:r>
        <w:t xml:space="preserve">VAE with built-in uncertainty and gene-level attribution, i.e. a strictly richer model than</w:t>
      </w:r>
      <w:r>
        <w:t xml:space="preserve"> </w:t>
      </w:r>
      <w:r>
        <w:t xml:space="preserve">ours — is close and splits both ways: mean accuracy 0.867 (actinn-jax) vs 0.837 across four</w:t>
      </w:r>
      <w:r>
        <w:t xml:space="preserve"> </w:t>
      </w:r>
      <w:r>
        <w:t xml:space="preserve">of our datasets, ProtoCloud ahead on the finest-grained set, actinn-jax training ~8.5× faster</w:t>
      </w:r>
      <w:r>
        <w:t xml:space="preserve"> </w:t>
      </w:r>
      <w:r>
        <w:t xml:space="preserve">on CPU (</w:t>
      </w:r>
      <w:r>
        <w:rPr>
          <w:rStyle w:val="VerbatimChar"/>
        </w:rPr>
        <w:t xml:space="preserve">PROTOCLOUD.md</w:t>
      </w:r>
      <w:r>
        <w:t xml:space="preserve">). Second, and more broadly, Souza &amp; Mehta report that</w:t>
      </w:r>
      <w:r>
        <w:t xml:space="preserve"> </w:t>
      </w:r>
      <w:r>
        <w:rPr>
          <w:b/>
          <w:bCs/>
        </w:rPr>
        <w:t xml:space="preserve">parameter-free linear representations</w:t>
      </w:r>
      <w:r>
        <w:t xml:space="preserve"> </w:t>
      </w:r>
      <w:r>
        <w:t xml:space="preserve">match or exceed single-cell foundation models across</w:t>
      </w:r>
      <w:r>
        <w:t xml:space="preserve"> </w:t>
      </w:r>
      <w:r>
        <w:t xml:space="preserve">cross-species transfer, human cell-type classification and disease-state prediction — on</w:t>
      </w:r>
      <w:r>
        <w:t xml:space="preserve"> </w:t>
      </w:r>
      <w:r>
        <w:t xml:space="preserve">Tabula Sapiens 2.0 their normalize→ANOVA→PCA→logistic-regression pipeline reaches mean</w:t>
      </w:r>
      <w:r>
        <w:t xml:space="preserve"> </w:t>
      </w:r>
      <w:r>
        <w:t xml:space="preserve">macro-F1 0.899 against 0.907–0.910 for TranscriptFormer variants — and they offer a geometric</w:t>
      </w:r>
      <w:r>
        <w:t xml:space="preserve"> </w:t>
      </w:r>
      <w:r>
        <w:t xml:space="preserve">explanation: the biologically realized cell manifold is well approximated by a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subspace</w:t>
      </w:r>
      <w:r>
        <w:t xml:space="preserve">, so once noise is suppressed performance</w:t>
      </w:r>
      <w:r>
        <w:t xml:space="preserve"> </w:t>
      </w:r>
      <w:r>
        <w:rPr>
          <w:i/>
          <w:iCs/>
        </w:rPr>
        <w:t xml:space="preserve">saturates</w:t>
      </w:r>
      <w:r>
        <w:t xml:space="preserve"> </w:t>
      </w:r>
      <w:r>
        <w:t xml:space="preserve">and extra expressivity buys</w:t>
      </w:r>
      <w:r>
        <w:t xml:space="preserve"> </w:t>
      </w:r>
      <w:r>
        <w:t xml:space="preserve">little. That is a principled account of why a four-layer MLP over normalized gene space stays</w:t>
      </w:r>
      <w:r>
        <w:t xml:space="preserve"> </w:t>
      </w:r>
      <w:r>
        <w:t xml:space="preserve">competitive, and it matches our own finding that the residual gap to heavier methods was mostly</w:t>
      </w:r>
      <w:r>
        <w:t xml:space="preserve"> </w:t>
      </w:r>
      <w:r>
        <w:rPr>
          <w:b/>
          <w:bCs/>
        </w:rPr>
        <w:t xml:space="preserve">representation budget, not model class</w:t>
      </w:r>
      <w:r>
        <w:t xml:space="preserve"> </w:t>
      </w:r>
      <w:r>
        <w:t xml:space="preserve">(§3.9). Their further result that simple methods do</w:t>
      </w:r>
      <w:r>
        <w:t xml:space="preserve"> </w:t>
      </w:r>
      <w:r>
        <w:rPr>
          <w:i/>
          <w:iCs/>
        </w:rPr>
        <w:t xml:space="preserve">best</w:t>
      </w:r>
      <w:r>
        <w:t xml:space="preserve"> </w:t>
      </w:r>
      <w:r>
        <w:t xml:space="preserve">out-of-distribution — novel cell types and unseen organisms — also rhymes with the</w:t>
      </w:r>
      <w:r>
        <w:t xml:space="preserve"> </w:t>
      </w:r>
      <w:r>
        <w:t xml:space="preserve">rejection behavior we depend on (§3.7).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one-off annotation</w:t>
      </w:r>
      <w:r>
        <w:t xml:space="preserve"> </w:t>
      </w:r>
      <w:r>
        <w:t xml:space="preserve">on laptop-sized data, reach for the</w:t>
      </w:r>
      <w:r>
        <w:t xml:space="preserve"> </w:t>
      </w:r>
      <w:r>
        <w:rPr>
          <w:b/>
          <w:bCs/>
        </w:rPr>
        <w:t xml:space="preserve">tuned linear pipeline</w:t>
      </w:r>
      <w:r>
        <w:t xml:space="preserve"> </w:t>
      </w:r>
      <w:r>
        <w:t xml:space="preserve">(normalize → ANOVA → PCA → logistic regression): it is the most</w:t>
      </w:r>
      <w:r>
        <w:t xml:space="preserve"> </w:t>
      </w:r>
      <w:r>
        <w:t xml:space="preserve">accurate-per-second method here and beats actinn-jax outright on accuracy and fit time. If</w:t>
      </w:r>
      <w:r>
        <w:t xml:space="preserve"> </w:t>
      </w:r>
      <w:r>
        <w:t xml:space="preserve">you have a</w:t>
      </w:r>
      <w:r>
        <w:t xml:space="preserve"> </w:t>
      </w:r>
      <w:r>
        <w:rPr>
          <w:b/>
          <w:bCs/>
        </w:rPr>
        <w:t xml:space="preserve">real atlas and time to train</w:t>
      </w:r>
      <w:r>
        <w:t xml:space="preserve">,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is the most accurate method we</w:t>
      </w:r>
      <w:r>
        <w:t xml:space="preserve"> </w:t>
      </w:r>
      <w:r>
        <w:t xml:space="preserve">benchmarked (0.976 at 49k cells), and its GPU target makes its 19×-CPU fit cost far less</w:t>
      </w:r>
      <w:r>
        <w:t xml:space="preserve"> </w:t>
      </w:r>
      <w:r>
        <w:t xml:space="preserve">punishing in practice.</w:t>
      </w:r>
      <w:r>
        <w:t xml:space="preserve"> </w:t>
      </w:r>
      <w:r>
        <w:rPr>
          <w:b/>
          <w:bCs/>
        </w:rPr>
        <w:t xml:space="preserve">scTOP</w:t>
      </w:r>
      <w:r>
        <w:t xml:space="preserve"> </w:t>
      </w:r>
      <w:r>
        <w:t xml:space="preserve">is the right tool only for small, low-cardinality problems,</w:t>
      </w:r>
      <w:r>
        <w:t xml:space="preserve"> </w:t>
      </w:r>
      <w:r>
        <w:t xml:space="preserve">where it is dramatically the cheapest (1–2 s) and competitive.</w:t>
      </w:r>
      <w:r>
        <w:t xml:space="preserve"> </w:t>
      </w:r>
      <w:r>
        <w:rPr>
          <w:b/>
          <w:bCs/>
        </w:rPr>
        <w:t xml:space="preserve">actinn-jax</w:t>
      </w:r>
      <w:r>
        <w:t xml:space="preserve"> </w:t>
      </w:r>
      <w:r>
        <w:t xml:space="preserve">is the choice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memory is the binding constraint</w:t>
      </w:r>
      <w:r>
        <w:t xml:space="preserve"> </w:t>
      </w:r>
      <w:r>
        <w:t xml:space="preserve">(2.1× lighter than the linear pipeline at scale,</w:t>
      </w:r>
      <w:r>
        <w:t xml:space="preserve"> </w:t>
      </w:r>
      <w:r>
        <w:t xml:space="preserve">with memory-bounded chunked inference), when the reference is</w:t>
      </w:r>
      <w:r>
        <w:t xml:space="preserve"> </w:t>
      </w:r>
      <w:r>
        <w:rPr>
          <w:b/>
          <w:bCs/>
        </w:rPr>
        <w:t xml:space="preserve">reused</w:t>
      </w:r>
      <w:r>
        <w:t xml:space="preserve"> </w:t>
      </w:r>
      <w:r>
        <w:t xml:space="preserve">across many queries</w:t>
      </w:r>
      <w:r>
        <w:t xml:space="preserve"> </w:t>
      </w:r>
      <w:r>
        <w:t xml:space="preserve">(the cached model amortizes; the linear pipeline refits scaler/PCA/classifier each time), or</w:t>
      </w:r>
      <w:r>
        <w:t xml:space="preserve"> </w:t>
      </w:r>
      <w:r>
        <w:t xml:space="preserve">when you want the</w:t>
      </w:r>
      <w: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— broad→refined hand-off, tissue-aware refinement, calibrated</w:t>
      </w:r>
      <w:r>
        <w:t xml:space="preserve"> </w:t>
      </w:r>
      <w:r>
        <w:t xml:space="preserve">abstain, novel-cell-type screening. Of these, the</w:t>
      </w:r>
      <w:r>
        <w:t xml:space="preserve"> </w:t>
      </w:r>
      <w:r>
        <w:rPr>
          <w:b/>
          <w:bCs/>
        </w:rPr>
        <w:t xml:space="preserve">ready-to-run broad reference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sub-second frozen-model refinement</w:t>
      </w:r>
      <w:r>
        <w:t xml:space="preserve"> </w:t>
      </w:r>
      <w:r>
        <w:t xml:space="preserve">have no counterpart in the baselines; ProtoCloud does</w:t>
      </w:r>
      <w:r>
        <w:t xml:space="preserve"> </w:t>
      </w:r>
      <w:r>
        <w:t xml:space="preserve">provide uncertainty, gene attribution, and a refinement path (by fine-tuning a pretrained</w:t>
      </w:r>
      <w:r>
        <w:t xml:space="preserve"> </w:t>
      </w:r>
      <w:r>
        <w:t xml:space="preserve">model — stronger than masking, but a training run), so we do not claim workflow exclusivity.</w:t>
      </w:r>
    </w:p>
    <w:bookmarkEnd w:id="44"/>
    <w:bookmarkStart w:id="45" w:name="limitations"/>
    <w:p>
      <w:pPr>
        <w:pStyle w:val="Heading1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Single hardware family for the in-house panel (Apple Silicon); no discrete-GPU numbers</w:t>
      </w:r>
      <w:r>
        <w:t xml:space="preserve"> </w:t>
      </w:r>
      <w:r>
        <w:t xml:space="preserve">there (deep/foundation tiers would be faster on CUDA — out of scope for the</w:t>
      </w:r>
      <w:r>
        <w:t xml:space="preserve"> </w:t>
      </w:r>
      <w:r>
        <w:t xml:space="preserve">“runs-on-a-laptop”</w:t>
      </w:r>
      <w:r>
        <w:t xml:space="preserve"> </w:t>
      </w:r>
      <w:r>
        <w:t xml:space="preserve">question). The §3.9 controlled run covers the</w:t>
      </w:r>
      <w:r>
        <w:t xml:space="preserve"> </w:t>
      </w:r>
      <w:r>
        <w:rPr>
          <w:b/>
          <w:bCs/>
        </w:rPr>
        <w:t xml:space="preserve">CPU tier</w:t>
      </w:r>
      <w:r>
        <w:t xml:space="preserve"> </w:t>
      </w:r>
      <w:r>
        <w:t xml:space="preserve">on one cloud</w:t>
      </w:r>
      <w:r>
        <w:t xml:space="preserve"> </w:t>
      </w:r>
      <w:r>
        <w:t xml:space="preserve">box; the GPU/R methods there are reported from OP’s own cloud-CI trace (indicative). A</w:t>
      </w:r>
      <w:r>
        <w:t xml:space="preserve"> </w:t>
      </w:r>
      <w:r>
        <w:t xml:space="preserve">same-hardware GPU-tier run to fold those into a single controlled table is the natural</w:t>
      </w:r>
      <w:r>
        <w:t xml:space="preserve"> </w:t>
      </w:r>
      <w:r>
        <w:t xml:space="preserve">extension.</w:t>
      </w:r>
    </w:p>
    <w:p>
      <w:pPr>
        <w:pStyle w:val="Compact"/>
        <w:numPr>
          <w:ilvl w:val="0"/>
          <w:numId w:val="1001"/>
        </w:numPr>
      </w:pPr>
      <w:r>
        <w:t xml:space="preserve">Subsampled references (to keep the matrix tractable); the scaling section characterizes</w:t>
      </w:r>
      <w:r>
        <w:t xml:space="preserve"> </w:t>
      </w:r>
      <w:r>
        <w:t xml:space="preserve">the size dependence directly.</w:t>
      </w:r>
    </w:p>
    <w:p>
      <w:pPr>
        <w:pStyle w:val="Compact"/>
        <w:numPr>
          <w:ilvl w:val="0"/>
          <w:numId w:val="1001"/>
        </w:numPr>
      </w:pPr>
      <w:r>
        <w:t xml:space="preserve">Human only; six datasets per benchmark; GPU foundation models beyond scPRINT/UCE (scGPT,</w:t>
      </w:r>
      <w:r>
        <w:t xml:space="preserve"> </w:t>
      </w:r>
      <w:r>
        <w:t xml:space="preserve">Geneformer, popV) not run locally.</w:t>
      </w:r>
    </w:p>
    <w:p>
      <w:pPr>
        <w:pStyle w:val="Compact"/>
        <w:numPr>
          <w:ilvl w:val="0"/>
          <w:numId w:val="1001"/>
        </w:numPr>
      </w:pPr>
      <w:r>
        <w:t xml:space="preserve">actinn-jax needs more cells/type than linear methods to reach parity (§3.1); on very small</w:t>
      </w:r>
      <w:r>
        <w:t xml:space="preserve"> </w:t>
      </w:r>
      <w:r>
        <w:t xml:space="preserve">references it trails.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gene budget is dataset-dependent, not a free parameter.</w:t>
      </w:r>
      <w:r>
        <w:t xml:space="preserve"> </w:t>
      </w:r>
      <w:r>
        <w:t xml:space="preserve">More genes help most</w:t>
      </w:r>
      <w:r>
        <w:t xml:space="preserve"> </w:t>
      </w:r>
      <w:r>
        <w:t xml:space="preserve">references but</w:t>
      </w:r>
      <w:r>
        <w:t xml:space="preserve"> </w:t>
      </w:r>
      <w:r>
        <w:rPr>
          <w:i/>
          <w:iCs/>
        </w:rPr>
        <w:t xml:space="preserve">overfit</w:t>
      </w:r>
      <w:r>
        <w:t xml:space="preserve"> </w:t>
      </w:r>
      <w:r>
        <w:t xml:space="preserve">a tiny, fine-grained, domain-shifted query (tabula_sapiens −10 pt);</w:t>
      </w:r>
      <w:r>
        <w:t xml:space="preserve"> </w:t>
      </w:r>
      <w:r>
        <w:t xml:space="preserve">our reference-CV + cells-per-class selection rule is validated on 6 datasets with a single</w:t>
      </w:r>
      <w:r>
        <w:t xml:space="preserve"> </w:t>
      </w:r>
      <w:r>
        <w:t xml:space="preserve">clean failure case, so it is directional evidence, not a tuned threshold.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Standardization is shipped opt-in</w:t>
      </w:r>
      <w:r>
        <w:t xml:space="preserve">, not default, because it shifts probability</w:t>
      </w:r>
      <w:r>
        <w:t xml:space="preserve"> </w:t>
      </w:r>
      <w:r>
        <w:t xml:space="preserve">calibration that the two-stage abstain thresholds are tuned against; combining the two</w:t>
      </w:r>
      <w:r>
        <w:t xml:space="preserve"> </w:t>
      </w:r>
      <w:r>
        <w:t xml:space="preserve">cleanly would require re-tuning those thresholds.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tuned linear baseline is more accurate than actinn-jax (measured, all four</w:t>
      </w:r>
      <w:r>
        <w:rPr>
          <w:b/>
          <w:bCs/>
        </w:rPr>
        <w:t xml:space="preserve"> </w:t>
      </w:r>
      <w:r>
        <w:rPr>
          <w:b/>
          <w:bCs/>
        </w:rPr>
        <w:t xml:space="preserve">datasets).</w:t>
      </w:r>
      <w:r>
        <w:t xml:space="preserve"> </w:t>
      </w:r>
      <w:r>
        <w:t xml:space="preserve">Our classical tier (SVM, kNN, CellTypist) is untuned. Adding Souza &amp; Mehta’s</w:t>
      </w:r>
      <w:r>
        <w:t xml:space="preserve"> </w:t>
      </w:r>
      <w:r>
        <w:t xml:space="preserve">pipeline (normalize → ANOVA → standardize → PCA(220) → logistic regression) and</w:t>
      </w:r>
      <w:r>
        <w:t xml:space="preserve"> </w:t>
      </w:r>
      <w:r>
        <w:rPr>
          <w:b/>
          <w:bCs/>
        </w:rPr>
        <w:t xml:space="preserve">scTOP</w:t>
      </w:r>
      <w:r>
        <w:t xml:space="preserve"> </w:t>
      </w:r>
      <w:r>
        <w:t xml:space="preserve">(</w:t>
      </w:r>
      <w:r>
        <w:rPr>
          <w:rStyle w:val="VerbatimChar"/>
        </w:rPr>
        <w:t xml:space="preserve">SIMPLE_BASELINES.md</w:t>
      </w:r>
      <w:r>
        <w:t xml:space="preserve">) shows the linear pipeline</w:t>
      </w:r>
      <w:r>
        <w:t xml:space="preserve"> </w:t>
      </w:r>
      <w:r>
        <w:rPr>
          <w:b/>
          <w:bCs/>
        </w:rPr>
        <w:t xml:space="preserve">beats</w:t>
      </w:r>
      <w:r>
        <w:rPr>
          <w:b/>
          <w:bCs/>
        </w:rPr>
        <w:t xml:space="preserve"> </w:t>
      </w:r>
      <w:r>
        <w:rPr>
          <w:b/>
          <w:bCs/>
        </w:rPr>
        <w:t xml:space="preserve">actinn-jax on mean accuracy (0.880 vs 0.867) and macro-F1 (0.860 vs 0.839) while fitting</w:t>
      </w:r>
      <w:r>
        <w:rPr>
          <w:b/>
          <w:bCs/>
        </w:rPr>
        <w:t xml:space="preserve"> </w:t>
      </w:r>
      <w:r>
        <w:rPr>
          <w:b/>
          <w:bCs/>
        </w:rPr>
        <w:t xml:space="preserve">3.7× faster</w:t>
      </w:r>
      <w:r>
        <w:t xml:space="preserve"> </w:t>
      </w:r>
      <w:r>
        <w:t xml:space="preserve">— a tie on pbmc3k, slight edges on lung and liver, and</w:t>
      </w:r>
      <w:r>
        <w:t xml:space="preserve"> </w:t>
      </w:r>
      <w:r>
        <w:rPr>
          <w:b/>
          <w:bCs/>
        </w:rPr>
        <w:t xml:space="preserve">+4.2 pt on the</w:t>
      </w:r>
      <w:r>
        <w:rPr>
          <w:b/>
          <w:bCs/>
        </w:rPr>
        <w:t xml:space="preserve"> </w:t>
      </w:r>
      <w:r>
        <w:rPr>
          <w:b/>
          <w:bCs/>
        </w:rPr>
        <w:t xml:space="preserve">86-type blood+gut set</w:t>
      </w:r>
      <w:r>
        <w:t xml:space="preserve"> </w:t>
      </w:r>
      <w:r>
        <w:t xml:space="preserve">(0.902 vs 0.860). It also beats ProtoCloud on 3 of 4. The §3.1</w:t>
      </w:r>
      <w:r>
        <w:t xml:space="preserve"> </w:t>
      </w:r>
      <w:r>
        <w:t xml:space="preserve">margins therefore reflect</w:t>
      </w:r>
      <w:r>
        <w:t xml:space="preserve"> </w:t>
      </w:r>
      <w:r>
        <w:rPr>
          <w:i/>
          <w:iCs/>
        </w:rPr>
        <w:t xml:space="preserve">untuned</w:t>
      </w:r>
      <w:r>
        <w:t xml:space="preserve"> </w:t>
      </w:r>
      <w:r>
        <w:t xml:space="preserve">baselines, and</w:t>
      </w:r>
      <w:r>
        <w:t xml:space="preserve"> </w:t>
      </w:r>
      <w:r>
        <w:rPr>
          <w:b/>
          <w:bCs/>
        </w:rPr>
        <w:t xml:space="preserve">actinn-jax’s case rests on cost</w:t>
      </w:r>
      <w:r>
        <w:rPr>
          <w:b/>
          <w:bCs/>
        </w:rPr>
        <w:t xml:space="preserve"> </w:t>
      </w:r>
      <w:r>
        <w:rPr>
          <w:b/>
          <w:bCs/>
        </w:rPr>
        <w:t xml:space="preserve">profile and workflow, not accuracy</w:t>
      </w:r>
      <w:r>
        <w:t xml:space="preserve">: bounded sparse memory (1.7 GB vs 3.6 GB mean, 2.6</w:t>
      </w:r>
      <w:r>
        <w:t xml:space="preserve"> </w:t>
      </w:r>
      <w:r>
        <w:t xml:space="preserve">vs 5.5 GB on blood+gut, and the gap grows because ANOVA/PCA densify cells × genes), the</w:t>
      </w:r>
      <w:r>
        <w:t xml:space="preserve"> </w:t>
      </w:r>
      <w:r>
        <w:t xml:space="preserve">cached reusable reference, and broad→refined / abstain / novel-detection. For one-shot</w:t>
      </w:r>
      <w:r>
        <w:t xml:space="preserve"> </w:t>
      </w:r>
      <w:r>
        <w:t xml:space="preserve">labels on laptop-sized data, the linear pipeline is the better default. scTOP is cheaper</w:t>
      </w:r>
      <w:r>
        <w:t xml:space="preserve"> </w:t>
      </w:r>
      <w:r>
        <w:t xml:space="preserve">still (1.2 s, 1.4 GB) with the best pbmc3k macro-F1 (0.837), but degrades with</w:t>
      </w:r>
      <w:r>
        <w:t xml:space="preserve"> </w:t>
      </w:r>
      <w:r>
        <w:t xml:space="preserve">cardinality (0.910 → 0.828 → 0.795; 0.649 on liver).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 atlas scale the deep model wins, and our memory argument is smaller than claimed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SCALING_MEMORY.md</w:t>
      </w:r>
      <w:r>
        <w:t xml:space="preserve">). Scaling the lung reference 3k → 49k cells: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all four methods complete</w:t>
      </w:r>
      <w:r>
        <w:t xml:space="preserve"> </w:t>
      </w:r>
      <w:r>
        <w:t xml:space="preserve">— we had projected the linear pipeline would need</w:t>
      </w:r>
      <w:r>
        <w:t xml:space="preserve"> </w:t>
      </w:r>
      <w:r>
        <w:t xml:space="preserve">~32 GB and fail; it used</w:t>
      </w:r>
      <w:r>
        <w:t xml:space="preserve"> </w:t>
      </w:r>
      <w:r>
        <w:rPr>
          <w:b/>
          <w:bCs/>
        </w:rPr>
        <w:t xml:space="preserve">13.2 GB</w:t>
      </w:r>
      <w:r>
        <w:t xml:space="preserve">, so that projection is retracted; (ii) the</w:t>
      </w:r>
      <w:r>
        <w:t xml:space="preserve"> </w:t>
      </w:r>
      <w:r>
        <w:t xml:space="preserve">linear/actinn-jax memory ratio is</w:t>
      </w:r>
      <w:r>
        <w:t xml:space="preserve"> </w:t>
      </w:r>
      <w:r>
        <w:rPr>
          <w:b/>
          <w:bCs/>
        </w:rPr>
        <w:t xml:space="preserve">bounded at ~2–3× and does not diverge</w:t>
      </w:r>
      <w:r>
        <w:t xml:space="preserve"> </w:t>
      </w:r>
      <w:r>
        <w:t xml:space="preserve">(2.15× at</w:t>
      </w:r>
      <w:r>
        <w:t xml:space="preserve"> </w:t>
      </w:r>
      <w:r>
        <w:t xml:space="preserve">full scale), so there is no scaling cliff; (iii)</w:t>
      </w:r>
      <w:r>
        <w:t xml:space="preserve"> </w:t>
      </w:r>
      <w:r>
        <w:rPr>
          <w:b/>
          <w:bCs/>
        </w:rPr>
        <w:t xml:space="preserve">ProtoCloud goes from worst (0.722 at</w:t>
      </w:r>
      <w:r>
        <w:rPr>
          <w:b/>
          <w:bCs/>
        </w:rPr>
        <w:t xml:space="preserve"> </w:t>
      </w:r>
      <w:r>
        <w:rPr>
          <w:b/>
          <w:bCs/>
        </w:rPr>
        <w:t xml:space="preserve">3k) to best (0.976 at 49k)</w:t>
      </w:r>
      <w:r>
        <w:t xml:space="preserve">, well clear of actinn-jax (0.936) and the linear pipeline</w:t>
      </w:r>
      <w:r>
        <w:t xml:space="preserve"> </w:t>
      </w:r>
      <w:r>
        <w:t xml:space="preserve">(0.939) — our earlier</w:t>
      </w:r>
      <w:r>
        <w:t xml:space="preserve"> </w:t>
      </w:r>
      <w:r>
        <w:t xml:space="preserve">“accuracy is close”</w:t>
      </w:r>
      <w:r>
        <w:t xml:space="preserve"> </w:t>
      </w:r>
      <w:r>
        <w:t xml:space="preserve">reading was an artifact of subsampling, and a</w:t>
      </w:r>
      <w:r>
        <w:t xml:space="preserve"> </w:t>
      </w:r>
      <w:r>
        <w:t xml:space="preserve">data-hungry VAE pulls ahead once given a real atlas (at 19× CPU fit cost); (iv) scTOP</w:t>
      </w:r>
      <w:r>
        <w:t xml:space="preserve"> </w:t>
      </w:r>
      <w:r>
        <w:t xml:space="preserve">does not benefit from scale at all (0.819 → 0.846) and</w:t>
      </w:r>
      <w:r>
        <w:t xml:space="preserve"> </w:t>
      </w:r>
      <w:r>
        <w:rPr>
          <w:i/>
          <w:iCs/>
        </w:rPr>
        <w:t xml:space="preserve">loses</w:t>
      </w:r>
      <w:r>
        <w:t xml:space="preserve"> </w:t>
      </w:r>
      <w:r>
        <w:t xml:space="preserve">its memory edge (1.22×</w:t>
      </w:r>
      <w:r>
        <w:t xml:space="preserve"> </w:t>
      </w:r>
      <w:r>
        <w:t xml:space="preserve">actinn-jax at 49k).</w:t>
      </w:r>
      <w:r>
        <w:t xml:space="preserve"> </w:t>
      </w:r>
      <w:r>
        <w:rPr>
          <w:b/>
          <w:bCs/>
        </w:rPr>
        <w:t xml:space="preserve">actinn-jax is not the accuracy leader at any scale tested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Annotation only.</w:t>
      </w:r>
      <w:r>
        <w:t xml:space="preserve"> </w:t>
      </w:r>
      <w:r>
        <w:t xml:space="preserve">Cross-species transfer and disease-state prediction — the tasks where</w:t>
      </w:r>
      <w:r>
        <w:t xml:space="preserve"> </w:t>
      </w:r>
      <w:r>
        <w:t xml:space="preserve">Souza &amp; Mehta find the largest foundation-model deficits, and where a fast method would be</w:t>
      </w:r>
      <w:r>
        <w:t xml:space="preserve"> </w:t>
      </w:r>
      <w:r>
        <w:t xml:space="preserve">most attractive — are outside this benchmark’s scope (human, within/cross-dataset</w:t>
      </w:r>
      <w:r>
        <w:t xml:space="preserve"> </w:t>
      </w:r>
      <w:r>
        <w:t xml:space="preserve">annotation).</w:t>
      </w:r>
    </w:p>
    <w:bookmarkEnd w:id="45"/>
    <w:bookmarkStart w:id="47" w:name="data-code-availability"/>
    <w:p>
      <w:pPr>
        <w:pStyle w:val="Heading1"/>
      </w:pPr>
      <w:r>
        <w:t xml:space="preserve">Data &amp; code availability</w:t>
      </w:r>
    </w:p>
    <w:p>
      <w:pPr>
        <w:pStyle w:val="FirstParagraph"/>
      </w:pPr>
      <w:r>
        <w:t xml:space="preserve">All configs (</w:t>
      </w:r>
      <w:r>
        <w:rPr>
          <w:rStyle w:val="VerbatimChar"/>
        </w:rPr>
        <w:t xml:space="preserve">configs/paper*.yaml</w:t>
      </w:r>
      <w:r>
        <w:t xml:space="preserve">), adapters (</w:t>
      </w:r>
      <w:r>
        <w:rPr>
          <w:rStyle w:val="VerbatimChar"/>
        </w:rPr>
        <w:t xml:space="preserve">benchmark/adapters/</w:t>
      </w:r>
      <w:r>
        <w:t xml:space="preserve">), result CSVs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results/paper*/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docs/results_*.csv</w:t>
      </w:r>
      <w:r>
        <w:t xml:space="preserve">), figure scripts, and the actinn-jax package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github.com/iandriver/actinn-jax</w:t>
        </w:r>
      </w:hyperlink>
      <w:r>
        <w:t xml:space="preserve">) are in these</w:t>
      </w:r>
      <w:r>
        <w:t xml:space="preserve"> </w:t>
      </w:r>
      <w:r>
        <w:t xml:space="preserve">two repositories. HLiCA data © Edgar et al. 2026 (CC-BY 4.0), [doi:10.64898/2026.06.30.735539].</w:t>
      </w:r>
    </w:p>
    <w:bookmarkEnd w:id="47"/>
    <w:bookmarkStart w:id="48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Ma F, Pellegrini M. ACTINN: automated identification of cell types in single cell RNA sequencing.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36(2):533-538 (2020).</w:t>
      </w:r>
    </w:p>
    <w:p>
      <w:pPr>
        <w:pStyle w:val="Compact"/>
        <w:numPr>
          <w:ilvl w:val="0"/>
          <w:numId w:val="1003"/>
        </w:numPr>
      </w:pPr>
      <w:r>
        <w:t xml:space="preserve">Abdelaal T, et al. A comparison of automatic cell identification methods for single-cell RNA sequencing data.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20:194 (2019).</w:t>
      </w:r>
    </w:p>
    <w:p>
      <w:pPr>
        <w:pStyle w:val="Compact"/>
        <w:numPr>
          <w:ilvl w:val="0"/>
          <w:numId w:val="1003"/>
        </w:numPr>
      </w:pPr>
      <w:r>
        <w:t xml:space="preserve">Huang Q, et al. Benchmarking single-cell cell-type annotation methods.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 </w:t>
      </w:r>
      <w:r>
        <w:t xml:space="preserve">25(5):bbae392 (2024).</w:t>
      </w:r>
    </w:p>
    <w:p>
      <w:pPr>
        <w:pStyle w:val="Compact"/>
        <w:numPr>
          <w:ilvl w:val="0"/>
          <w:numId w:val="1003"/>
        </w:numPr>
      </w:pPr>
      <w:r>
        <w:t xml:space="preserve">Domínguez Conde C, et al. Cross-tissue immune cell analysis reveals tissue-specific features in humans (CellTypist).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376:eabl5197 (2022).</w:t>
      </w:r>
    </w:p>
    <w:p>
      <w:pPr>
        <w:pStyle w:val="Compact"/>
        <w:numPr>
          <w:ilvl w:val="0"/>
          <w:numId w:val="1003"/>
        </w:numPr>
      </w:pPr>
      <w:r>
        <w:t xml:space="preserve">Aran D, et al. Reference-based analysis of lung single-cell sequencing reveals a transitional profibrotic macrophage (SingleR).</w:t>
      </w:r>
      <w:r>
        <w:t xml:space="preserve"> </w:t>
      </w:r>
      <w:r>
        <w:rPr>
          <w:i/>
          <w:iCs/>
        </w:rPr>
        <w:t xml:space="preserve">Nature Immunology</w:t>
      </w:r>
      <w:r>
        <w:t xml:space="preserve"> </w:t>
      </w:r>
      <w:r>
        <w:t xml:space="preserve">20:163-172 (2019).</w:t>
      </w:r>
    </w:p>
    <w:p>
      <w:pPr>
        <w:pStyle w:val="Compact"/>
        <w:numPr>
          <w:ilvl w:val="0"/>
          <w:numId w:val="1003"/>
        </w:numPr>
      </w:pPr>
      <w:r>
        <w:t xml:space="preserve">Kiselev VY, Yiu A, Hemberg M. scmap: projection of single-cell RNA-seq data across data sets.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15:359-362 (2018).</w:t>
      </w:r>
    </w:p>
    <w:p>
      <w:pPr>
        <w:pStyle w:val="Compact"/>
        <w:numPr>
          <w:ilvl w:val="0"/>
          <w:numId w:val="1003"/>
        </w:numPr>
      </w:pPr>
      <w:r>
        <w:t xml:space="preserve">Xu C, et al. Probabilistic harmonization and annotation of single-cell transcriptomics data with deep generative models (scANVI).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t xml:space="preserve">17:e9620 (2021).</w:t>
      </w:r>
    </w:p>
    <w:p>
      <w:pPr>
        <w:pStyle w:val="Compact"/>
        <w:numPr>
          <w:ilvl w:val="0"/>
          <w:numId w:val="1003"/>
        </w:numPr>
      </w:pPr>
      <w:r>
        <w:t xml:space="preserve">Lotfollahi M, et al. Mapping single-cell data to reference atlases by transfer learning (scArches).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40:121-130 (2022).</w:t>
      </w:r>
    </w:p>
    <w:p>
      <w:pPr>
        <w:pStyle w:val="Compact"/>
        <w:numPr>
          <w:ilvl w:val="0"/>
          <w:numId w:val="1003"/>
        </w:numPr>
      </w:pPr>
      <w:r>
        <w:t xml:space="preserve">Chen T, Guestrin C. XGBoost: a scalable tree boosting system.</w:t>
      </w:r>
      <w:r>
        <w:t xml:space="preserve"> </w:t>
      </w:r>
      <w:r>
        <w:rPr>
          <w:i/>
          <w:iCs/>
        </w:rPr>
        <w:t xml:space="preserve">KDD</w:t>
      </w:r>
      <w:r>
        <w:t xml:space="preserve"> </w:t>
      </w:r>
      <w:r>
        <w:t xml:space="preserve">785-794 (2016).</w:t>
      </w:r>
    </w:p>
    <w:p>
      <w:pPr>
        <w:pStyle w:val="Compact"/>
        <w:numPr>
          <w:ilvl w:val="0"/>
          <w:numId w:val="1003"/>
        </w:numPr>
      </w:pPr>
      <w:r>
        <w:t xml:space="preserve">Rosen Y, et al. Universal cell embeddings: a foundation model for cell biology (UCE).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(2026), doi:10.1038/s41586-026-10689-z.</w:t>
      </w:r>
    </w:p>
    <w:p>
      <w:pPr>
        <w:pStyle w:val="Compact"/>
        <w:numPr>
          <w:ilvl w:val="0"/>
          <w:numId w:val="1003"/>
        </w:numPr>
      </w:pPr>
      <w:r>
        <w:t xml:space="preserve">Lin Z, et al. Evolutionary-scale prediction of atomic-level protein structure with a language model (ESM-2).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379:1123-1130 (2023).</w:t>
      </w:r>
    </w:p>
    <w:p>
      <w:pPr>
        <w:pStyle w:val="Compact"/>
        <w:numPr>
          <w:ilvl w:val="0"/>
          <w:numId w:val="1003"/>
        </w:numPr>
      </w:pPr>
      <w:r>
        <w:t xml:space="preserve">Open Problems for Single-Cell Analysis Consortium. Open Problems: a living benchmark for single-cell analysis. openproblems.bio (2024).</w:t>
      </w:r>
    </w:p>
    <w:p>
      <w:pPr>
        <w:pStyle w:val="Compact"/>
        <w:numPr>
          <w:ilvl w:val="0"/>
          <w:numId w:val="1003"/>
        </w:numPr>
      </w:pPr>
      <w:r>
        <w:t xml:space="preserve">Bradbury J, et al. JAX: composable transformations of Python+NumPy programs (2018). github.com/google/jax.</w:t>
      </w:r>
    </w:p>
    <w:p>
      <w:pPr>
        <w:pStyle w:val="Compact"/>
        <w:numPr>
          <w:ilvl w:val="0"/>
          <w:numId w:val="1003"/>
        </w:numPr>
      </w:pPr>
      <w:r>
        <w:t xml:space="preserve">Edgar R, et al. The Human Liver Cell Atlas (HLiCA). doi:10.64898/2026.06.30.735539.</w:t>
      </w:r>
    </w:p>
    <w:p>
      <w:pPr>
        <w:pStyle w:val="Compact"/>
        <w:numPr>
          <w:ilvl w:val="0"/>
          <w:numId w:val="1003"/>
        </w:numPr>
      </w:pPr>
      <w:r>
        <w:t xml:space="preserve">Souza H, Mehta P. Parameter-free representations outperform single-cell foundation models on downstream benchmarks.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(2026), doi:10.64898/2026.02.11.705358.</w:t>
      </w:r>
    </w:p>
    <w:p>
      <w:pPr>
        <w:pStyle w:val="Compact"/>
        <w:numPr>
          <w:ilvl w:val="0"/>
          <w:numId w:val="1003"/>
        </w:numPr>
      </w:pPr>
      <w:r>
        <w:t xml:space="preserve">Guo K, Ding J. ProtoCloud: a prototypical self-explaining model for single-cell analysis.</w:t>
      </w:r>
      <w:r>
        <w:t xml:space="preserve"> </w:t>
      </w:r>
      <w:r>
        <w:rPr>
          <w:i/>
          <w:iCs/>
        </w:rPr>
        <w:t xml:space="preserve">Cell Genomics</w:t>
      </w:r>
      <w:r>
        <w:t xml:space="preserve"> </w:t>
      </w:r>
      <w:r>
        <w:t xml:space="preserve">6(6):101217 (2026), doi:10.1016/j.xgen.2026.101217.</w:t>
      </w:r>
    </w:p>
    <w:p>
      <w:pPr>
        <w:pStyle w:val="Compact"/>
        <w:numPr>
          <w:ilvl w:val="0"/>
          <w:numId w:val="1003"/>
        </w:numPr>
      </w:pPr>
      <w:r>
        <w:t xml:space="preserve">Yampolskaya M, Souza H, et al. scTOP: cell identity from single-cell data via parameter-free projection. github.com/Emergent-Behaviors-in-Biology/scTOP.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hyperlink" Id="rId46" Target="https://github.com/iandriver/actinn-jax" TargetMode="External" /><Relationship Type="http://schemas.openxmlformats.org/officeDocument/2006/relationships/hyperlink" Id="rId35" Target="https://openproblems.bio/benchmarks/label_proj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github.com/iandriver/actinn-jax" TargetMode="External" /><Relationship Type="http://schemas.openxmlformats.org/officeDocument/2006/relationships/hyperlink" Id="rId35" Target="https://openproblems.bio/benchmarks/label_proj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Annotating single-cell data on a laptop: a 13-method benchmark and practical low-memory workflows, with actinn-jax</dc:title>
  <dc:creator>Ian Driver</dc:creator>
  <cp:keywords/>
  <dcterms:created xsi:type="dcterms:W3CDTF">2026-07-22T20:05:28Z</dcterms:created>
  <dcterms:modified xsi:type="dcterms:W3CDTF">2026-07-22T20:05:28Z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Reference-based cell-type annotation is a routine, high-volume step in single-cell analysis, and most labs run it on a laptop, not a GPU cluster. We present actinn-jax, a from-scratch JAX reimplementation of ACTINN (a 4-layer MLP classifier) with a sparse-aware pipeline and a train-once/map-many cached reference model, and use it as the occasion for a neutral benchmark of thirteen methods spanning every major class — classical (SVM, kNN), regularized-linear (CellTypist), a carefully-tuned linear pipeline, parameter-free projection (scTOP), marker/correlation (SingleR, scmap), the original TensorFlow ACTINN, deep probabilistic (scANVI, scArches), an interpretable prototype VAE (ProtoCloud), and a foundation model (scPRINT) — across six datasets (within-dataset, cross-dataset and cross-study; 8 to 86 cell types) plus a five-point scaling sweep to 49k reference cells, measuring accuracy, macro-F1, ontology-aware concordance, training and inference time, and peak memory on commodity Apple-Silicon hardware. The headline result is not that our method wins. On the original ten-method panel actinn-jax ties the top accuracy cluster (mean 0.831 vs. scANVI 0.835, a five-way cluster within 0.004) while predicting ~195× faster than scANVI, and it places 3rd of 17 on the community Open Problems label_projection benchmark (1st among methods completing every dataset). But adding the strongest simple baselines from the concurrent literature changes the picture. A carefully preprocessed linear pipeline (normalize → ANOVA → PCA → logistic regression) beats actinn-jax on both accuracy and training time (mean 0.880/0.860 vs. 0.867/0.839 across four datasets, fitting 3.7× faster); and at atlas scale ProtoCloud is the decisive accuracy winner, rising from worst at 3k reference cells (0.722) to best at 49k (0.976 vs. 0.936 for actinn-jax and 0.939 for the linear pipeline). actinn-jax is not the accuracy leader at any scale we tested, and our earlier margins over the “classical tier” reflected untuned baselines. Several methods now annotate quickly, accurately, and with a usable handle on unknown cells — the tuned linear pipeline, ProtoCloud, scANVI and actinn-jax all clear that bar in different regimes — so the useful contribution is not another accuracy ranking but a clear account of which tool fits which job, and what the practical workflows look like. We therefore report the benchmark as a decision aid (accuracy-per-second, accuracy-per-byte, and behaviour from 3k to 49k reference cells) and then demonstrate end-to-end workflows built on actinn-jax where its cost profile is the binding constraint: annotating an unknown human dataset from a shipped census-scale reference (~800 cell types, calibrated abstain) with no training; tissue-aware refinement that halves spurious cross-tissue labels on a liver query; a broad→refined hand-off to a small focused reference (held-out cross-study liver 0.23/0.58 → 0.72/0.86, exact-CL/ontology); within-cell-type resolution (hepatocyte zonation); and a cluster-level novel-cell-type screen validated by recovering a withheld pulmonary ionocyte population and its marker ASCL3. actinn-jax is the lightest accurate method in the panel (2.1× lower peak memory than the linear pipeline at 49k cells, 6.1 vs. 13.2 GB, with sub-second memory-bounded inference), which is what makes these workflows practical on a laptop. We are explicit about what is not unique: ProtoCloud also provides uncertainty, gene attribution and a (stronger, retraining-based) refinement path; what actinn-jax adds is a ready-to-run broad reference, sub-second frozen-model refinement, and a one-call novelty screen. We also retract two of our own earlier claims: a projected memory blow-up for the linear pipeline at atlas scale did not occur (13.2 GB, not ~32 GB), and the memory gap is bounded at ~2–3× rather than widening with data.</vt:lpwstr>
  </property>
  <property fmtid="{D5CDD505-2E9C-101B-9397-08002B2CF9AE}" pid="3" name="date">
    <vt:lpwstr/>
  </property>
</Properties>
</file>