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Accuracy is not the binding constraint in single-cell annotation: a benchmark of cost, scaling and workflow</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spanning classical, regularized-linear, parameter-free, correlation, deep-probabilistic, prototype-VAE and foundation-model families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w:t>
      </w:r>
      <w:r>
        <w:t xml:space="preserve"> </w:t>
      </w:r>
      <w:r>
        <w:rPr>
          <w:b/>
          <w:bCs/>
        </w:rPr>
        <w:t xml:space="preserve">Pan-human Azimuth</w:t>
      </w:r>
      <w:r>
        <w:t xml:space="preserve">, a concurrent purpose-built pan-human annotator, can be distilled into such a reference from raw counts alone — no GPU, no labeled input — matching the teacher’s concordance at 6–9× its throughput. We release the reimplementation (actinn-jax),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is somebody else’s benchmark.</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toolchains.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 confidence threshold trades coverage against</w:t>
      </w:r>
      <w:r>
        <w:t xml:space="preserve"> </w:t>
      </w:r>
      <w:r>
        <w:t xml:space="preserve">accuracy smoothly: accuracy on kept cells rises 0.885 → 0.969 as coverage falls 1.00 → 0.66</w:t>
      </w:r>
      <w:r>
        <w:t xml:space="preserve"> </w:t>
      </w:r>
      <w:r>
        <w:t xml:space="preserve">and out-of-distribution flagging climbs 0.00 → 0.73. CellTypist’s probabilities are saturated, so it</w:t>
      </w:r>
      <w:r>
        <w:t xml:space="preserve"> </w:t>
      </w:r>
      <w:r>
        <w:t xml:space="preserve">offers essentially one operating point instead of a curve.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Accuracy is not the binding constraint in single-cell annotation: a benchmark of cost, scaling and workflow</dc:title>
  <dc:creator>Ian Driver</dc:creator>
  <cp:keywords/>
  <dcterms:created xsi:type="dcterms:W3CDTF">2026-08-10T18:08:37Z</dcterms:created>
  <dcterms:modified xsi:type="dcterms:W3CDTF">2026-08-10T18:08:37Z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spanning classical, regularized-linear, parameter-free, correlation, deep-probabilistic, prototype-VAE and foundation-model families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the accuracy ordering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enables multi-stage annotation on a laptop — a shipped ~800-type reference with calibrated abstention, hand-off to a user’s own focused reference (cross-study liver 0.23/0.58 → 0.72/0.86, exact/ontology), resolution below the cell-type label, and cluster-level novelty screening. We further show that Pan-human Azimuth, a concurrent purpose-built pan-human annotator, can be distilled into such a reference from raw counts alone — no GPU, no labeled input — matching the teacher’s concordance at 6–9× its throughput. We release the reimplementation (actinn-jax), the harness, and the pre-trained references.</vt:lpwstr>
  </property>
  <property fmtid="{D5CDD505-2E9C-101B-9397-08002B2CF9AE}" pid="3" name="date">
    <vt:lpwstr/>
  </property>
</Properties>
</file>