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S1–S13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run.</w:t>
      </w:r>
    </w:p>
    <w:p>
      <w:pPr>
        <w:pStyle w:val="BodyText"/>
      </w:pPr>
      <w:r>
        <w:drawing>
          <wp:inline>
            <wp:extent cx="5334000" cy="3543185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cells; every query in the main accuracy panel is smaller than the leftmost point here.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scANVI and scArches, whose repeats differ by up to 0.056 and 0.020.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bookmarkStart w:id="53" w:name="gene-budget-on-the-open-problems-panel"/>
    <w:p>
      <w:pPr>
        <w:pStyle w:val="Heading1"/>
      </w:pPr>
      <w:r>
        <w:t xml:space="preserve">Gene budget on the Open Problems panel</w:t>
      </w:r>
    </w:p>
    <w:p>
      <w:pPr>
        <w:pStyle w:val="FirstParagraph"/>
      </w:pPr>
      <w:r>
        <w:drawing>
          <wp:inline>
            <wp:extent cx="5334000" cy="2139510"/>
            <wp:effectExtent b="0" l="0" r="0" t="0"/>
            <wp:docPr descr="gene budget curve" title="" id="4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S12.</w:t>
      </w:r>
      <w:r>
        <w:t xml:space="preserve"> </w:t>
      </w:r>
      <w:r>
        <w:t xml:space="preserve">actinn-jax accuracy and macro-F1 against input gene budget across all six Open Problems</w:t>
      </w:r>
      <w:r>
        <w:t xml:space="preserve"> </w:t>
      </w:r>
      <w:r>
        <w:t xml:space="preserve">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5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S13.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2026-08-18T18:32:49Z</dcterms:created>
  <dcterms:modified xsi:type="dcterms:W3CDTF">2026-08-18T18:32:49Z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