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55.png" ContentType="image/png"/>
  <Override PartName="/word/media/rId65.png" ContentType="image/png"/>
  <Override PartName="/word/media/rId48.png" ContentType="image/png"/>
  <Override PartName="/word/media/rId58.png" ContentType="image/png"/>
  <Override PartName="/word/media/rId52.png" ContentType="image/png"/>
  <Override PartName="/word/media/rId62.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profile annotates a whole 525,000-cell atlas in 58 s at 15 GB, on a query axis where the tuned linear pipeline does not finish.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A third sweep runs the other way,</w:t>
      </w:r>
      <w:r>
        <w:t xml:space="preserve"> </w:t>
      </w:r>
      <w:r>
        <w:t xml:space="preserve">holding the reference fixed and growing the</w:t>
      </w:r>
      <w:r>
        <w:t xml:space="preserve"> </w:t>
      </w:r>
      <w:r>
        <w:rPr>
          <w:i/>
          <w:iCs/>
        </w:rPr>
        <w:t xml:space="preserve">query</w:t>
      </w:r>
      <w:r>
        <w:t xml:space="preserve"> </w:t>
      </w:r>
      <w:r>
        <w:t xml:space="preserve">to a whole 525k-cell atlas (§3.3,</w:t>
      </w:r>
      <w:r>
        <w:t xml:space="preserve"> </w:t>
      </w:r>
      <w:r>
        <w:t xml:space="preserve">Figure 4), which is the axis a reused reference is actually pointed along.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3"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61"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p>
      <w:pPr>
        <w:pStyle w:val="BodyText"/>
      </w:pPr>
      <w:r>
        <w:rPr>
          <w:b/>
          <w:bCs/>
        </w:rPr>
        <w:t xml:space="preserve">Annotating an atlas costs less than building one.</w:t>
      </w:r>
      <w:r>
        <w:t xml:space="preserve"> </w:t>
      </w:r>
      <w:r>
        <w:t xml:space="preserve">The sweeps above grow the reference</w:t>
      </w:r>
      <w:r>
        <w:t xml:space="preserve"> </w:t>
      </w:r>
      <w:r>
        <w:t xml:space="preserve">and hold the query fixed. The reverse case is the one a user meets most often – a reference</w:t>
      </w:r>
      <w:r>
        <w:t xml:space="preserve"> </w:t>
      </w:r>
      <w:r>
        <w:t xml:space="preserve">built once, then pointed at everything – and it is where a flat inference profile should</w:t>
      </w:r>
      <w:r>
        <w:t xml:space="preserve"> </w:t>
      </w:r>
      <w:r>
        <w:t xml:space="preserve">pay. Holding the reference at 17,753 cells drawn from seven HLiCA studies and growing the</w:t>
      </w:r>
      <w:r>
        <w:t xml:space="preserve"> </w:t>
      </w:r>
      <w:r>
        <w:t xml:space="preserve">query from 50k cells to the entire 524,699-cell atlas, actinn-jax annotates the whole atlas</w:t>
      </w:r>
      <w:r>
        <w:t xml:space="preserve"> </w:t>
      </w:r>
      <w:r>
        <w:t xml:space="preserve">in</w:t>
      </w:r>
      <w:r>
        <w:t xml:space="preserve"> </w:t>
      </w:r>
      <w:r>
        <w:rPr>
          <w:b/>
          <w:bCs/>
        </w:rPr>
        <w:t xml:space="preserve">57.9 s</w:t>
      </w:r>
      <w:r>
        <w:t xml:space="preserve"> </w:t>
      </w:r>
      <w:r>
        <w:t xml:space="preserve">at</w:t>
      </w:r>
      <w:r>
        <w:t xml:space="preserve"> </w:t>
      </w:r>
      <w:r>
        <w:rPr>
          <w:b/>
          <w:bCs/>
        </w:rPr>
        <w:t xml:space="preserve">15.0 GB</w:t>
      </w:r>
      <w:r>
        <w:t xml:space="preserve">, a throughput of 6,100–9,100 cells/s that does not fall as the</w:t>
      </w:r>
      <w:r>
        <w:t xml:space="preserve"> </w:t>
      </w:r>
      <w:r>
        <w:t xml:space="preserve">query grows (Figure 4A, B). Accuracy on the withheld eighth study is 0.720 and does not move</w:t>
      </w:r>
      <w:r>
        <w:t xml:space="preserve"> </w:t>
      </w:r>
      <w:r>
        <w:t xml:space="preserve">across the range, as it should not: the subsets are nested. Peak memory is dominated by</w:t>
      </w:r>
      <w:r>
        <w:t xml:space="preserve"> </w:t>
      </w:r>
      <w:r>
        <w:t xml:space="preserve">holding the query in memory rather than by the model – at the largest size, prediction added</w:t>
      </w:r>
      <w:r>
        <w:t xml:space="preserve"> </w:t>
      </w:r>
      <w:r>
        <w:t xml:space="preserve">nothing measurable to the resident query – so a caller streaming from disk would pay less.</w:t>
      </w:r>
    </w:p>
    <w:p>
      <w:pPr>
        <w:pStyle w:val="BodyText"/>
      </w:pPr>
      <w:r>
        <w:t xml:space="preserve">The tuned linear pipeline behaves differently on this axis. Its throughput</w:t>
      </w:r>
      <w:r>
        <w:t xml:space="preserve"> </w:t>
      </w:r>
      <w:r>
        <w:rPr>
          <w:i/>
          <w:iCs/>
        </w:rPr>
        <w:t xml:space="preserve">falls</w:t>
      </w:r>
      <w:r>
        <w:t xml:space="preserve"> </w:t>
      </w:r>
      <w:r>
        <w:t xml:space="preserve">with query</w:t>
      </w:r>
      <w:r>
        <w:t xml:space="preserve"> </w:t>
      </w:r>
      <w:r>
        <w:t xml:space="preserve">size, 3,107 → 2,451 → 1,679 cells/s, so its per-cell cost grows with the job, and its memory</w:t>
      </w:r>
      <w:r>
        <w:t xml:space="preserve"> </w:t>
      </w:r>
      <w:r>
        <w:t xml:space="preserve">reaches 24.7 GB at 250k cells against actinn-jax’s 9.9 GB. At the full atlas it did not</w:t>
      </w:r>
      <w:r>
        <w:t xml:space="preserve"> </w:t>
      </w:r>
      <w:r>
        <w:t xml:space="preserve">finish: after 76 minutes it held 15.3 GB resident with roughly 14 GB paged out and was still</w:t>
      </w:r>
      <w:r>
        <w:t xml:space="preserve"> </w:t>
      </w:r>
      <w:r>
        <w:t xml:space="preserve">running, so it was stopped (Figure 4C). The ~2× memory band reported above is a</w:t>
      </w:r>
      <w:r>
        <w:t xml:space="preserve"> </w:t>
      </w:r>
      <w:r>
        <w:rPr>
          <w:i/>
          <w:iCs/>
        </w:rPr>
        <w:t xml:space="preserve">reference</w:t>
      </w:r>
      <w:r>
        <w:t xml:space="preserve">-axis result and does not describe this axis.</w:t>
      </w:r>
    </w:p>
    <w:p>
      <w:pPr>
        <w:pStyle w:val="BodyText"/>
      </w:pPr>
      <w:r>
        <w:drawing>
          <wp:inline>
            <wp:extent cx="5334000" cy="1706398"/>
            <wp:effectExtent b="0" l="0" r="0" t="0"/>
            <wp:docPr descr="annotating an atlas: cost against query size" title="" id="59" name="Picture"/>
            <a:graphic>
              <a:graphicData uri="http://schemas.openxmlformats.org/drawingml/2006/picture">
                <pic:pic>
                  <pic:nvPicPr>
                    <pic:cNvPr descr="/Users/iandriver/Downloads/actinn-jax-benchmark/docs/figures/fig_query_scaling.png" id="60" name="Picture"/>
                    <pic:cNvPicPr>
                      <a:picLocks noChangeArrowheads="1" noChangeAspect="1"/>
                    </pic:cNvPicPr>
                  </pic:nvPicPr>
                  <pic:blipFill>
                    <a:blip r:embed="rId58"/>
                    <a:stretch>
                      <a:fillRect/>
                    </a:stretch>
                  </pic:blipFill>
                  <pic:spPr bwMode="auto">
                    <a:xfrm>
                      <a:off x="0" y="0"/>
                      <a:ext cx="5334000" cy="1706398"/>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Cost against query size with the reference fixed at 17,753 cells.</w:t>
      </w:r>
      <w:r>
        <w:t xml:space="preserve"> </w:t>
      </w:r>
      <w:r>
        <w:rPr>
          <w:i/>
          <w:iCs/>
        </w:rPr>
        <w:t xml:space="preserve">A:</w:t>
      </w:r>
      <w:r>
        <w:t xml:space="preserve"> </w:t>
      </w:r>
      <w:r>
        <w:t xml:space="preserve">wall-clock</w:t>
      </w:r>
      <w:r>
        <w:t xml:space="preserve"> </w:t>
      </w:r>
      <w:r>
        <w:t xml:space="preserve">to annotate the query.</w:t>
      </w:r>
      <w:r>
        <w:t xml:space="preserve"> </w:t>
      </w:r>
      <w:r>
        <w:rPr>
          <w:i/>
          <w:iCs/>
        </w:rPr>
        <w:t xml:space="preserve">B:</w:t>
      </w:r>
      <w:r>
        <w:t xml:space="preserve"> </w:t>
      </w:r>
      <w:r>
        <w:t xml:space="preserve">throughput, which holds for actinn-jax and falls for the linear</w:t>
      </w:r>
      <w:r>
        <w:t xml:space="preserve"> </w:t>
      </w:r>
      <w:r>
        <w:t xml:space="preserve">pipeline.</w:t>
      </w:r>
      <w:r>
        <w:t xml:space="preserve"> </w:t>
      </w:r>
      <w:r>
        <w:rPr>
          <w:i/>
          <w:iCs/>
        </w:rPr>
        <w:t xml:space="preserve">C:</w:t>
      </w:r>
      <w:r>
        <w:t xml:space="preserve"> </w:t>
      </w:r>
      <w:r>
        <w:t xml:space="preserve">peak memory; the open marker is the linear pipeline’s unfinished 524,699-cell</w:t>
      </w:r>
      <w:r>
        <w:t xml:space="preserve"> </w:t>
      </w:r>
      <w:r>
        <w:t xml:space="preserve">run, drawn at the memory still resident when it was stopped and deliberately not joined to</w:t>
      </w:r>
      <w:r>
        <w:t xml:space="preserve"> </w:t>
      </w:r>
      <w:r>
        <w:t xml:space="preserve">its curve, since the rest of its working set had been evicted to swap. Wall-clock is a single</w:t>
      </w:r>
      <w:r>
        <w:t xml:space="preserve"> </w:t>
      </w:r>
      <w:r>
        <w:t xml:space="preserve">run on a laptop and carries scheduling noise, which is why</w:t>
      </w:r>
      <w:r>
        <w:t xml:space="preserve"> </w:t>
      </w:r>
      <w:r>
        <w:rPr>
          <w:i/>
          <w:iCs/>
        </w:rPr>
        <w:t xml:space="preserve">B</w:t>
      </w:r>
      <w:r>
        <w:t xml:space="preserve"> </w:t>
      </w:r>
      <w:r>
        <w:t xml:space="preserve">is not monotone for either</w:t>
      </w:r>
      <w:r>
        <w:t xml:space="preserve"> </w:t>
      </w:r>
      <w:r>
        <w:t xml:space="preserve">method.</w:t>
      </w:r>
    </w:p>
    <w:bookmarkEnd w:id="61"/>
    <w:bookmarkStart w:id="68"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_ondata.png" id="64" name="Picture"/>
                    <pic:cNvPicPr>
                      <a:picLocks noChangeArrowheads="1" noChangeAspect="1"/>
                    </pic:cNvPicPr>
                  </pic:nvPicPr>
                  <pic:blipFill>
                    <a:blip r:embed="rId6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6A).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6" name="Picture"/>
            <a:graphic>
              <a:graphicData uri="http://schemas.openxmlformats.org/drawingml/2006/picture">
                <pic:pic>
                  <pic:nvPicPr>
                    <pic:cNvPr descr="/Users/iandriver/Downloads/actinn-jax-benchmark/docs/figures/fig_ontology_hierarchy.png" id="67" name="Picture"/>
                    <pic:cNvPicPr>
                      <a:picLocks noChangeArrowheads="1" noChangeAspect="1"/>
                    </pic:cNvPicPr>
                  </pic:nvPicPr>
                  <pic:blipFill>
                    <a:blip r:embed="rId65"/>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6B).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6C).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8"/>
    <w:bookmarkStart w:id="7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p≥0.5: acc / cov / OOD</w:t>
            </w:r>
          </w:p>
        </w:tc>
        <w:tc>
          <w:tcPr/>
          <w:p>
            <w:pPr>
              <w:pStyle w:val="Compact"/>
            </w:pPr>
            <w:r>
              <w:t xml:space="preserve">p≥0.7</w:t>
            </w:r>
          </w:p>
        </w:tc>
        <w:tc>
          <w:tcPr/>
          <w:p>
            <w:pPr>
              <w:pStyle w:val="Compact"/>
            </w:pPr>
            <w:r>
              <w:t xml:space="preserve">p≥0.9</w:t>
            </w:r>
          </w:p>
        </w:tc>
      </w:tr>
      <w:tr>
        <w:tc>
          <w:tcPr/>
          <w:p>
            <w:pPr>
              <w:pStyle w:val="Compact"/>
            </w:pPr>
            <w:r>
              <w:rPr>
                <w:b/>
                <w:bCs/>
              </w:rPr>
              <w:t xml:space="preserve">actinn-jax</w:t>
            </w:r>
          </w:p>
        </w:tc>
        <w:tc>
          <w:tcPr/>
          <w:p>
            <w:pPr>
              <w:pStyle w:val="Compact"/>
            </w:pPr>
            <w:r>
              <w:t xml:space="preserve">0.919 / 0.93 / 0.30</w:t>
            </w:r>
          </w:p>
        </w:tc>
        <w:tc>
          <w:tcPr/>
          <w:p>
            <w:pPr>
              <w:pStyle w:val="Compact"/>
            </w:pPr>
            <w:r>
              <w:t xml:space="preserve">0.946 / 0.84 / 0.52</w:t>
            </w:r>
          </w:p>
        </w:tc>
        <w:tc>
          <w:tcPr/>
          <w:p>
            <w:pPr>
              <w:pStyle w:val="Compact"/>
            </w:pPr>
            <w:r>
              <w:t xml:space="preserve">0.969 / 0.66 / 0.73</w:t>
            </w:r>
          </w:p>
        </w:tc>
      </w:tr>
      <w:tr>
        <w:tc>
          <w:tcPr/>
          <w:p>
            <w:pPr>
              <w:pStyle w:val="Compact"/>
            </w:pPr>
            <w:r>
              <w:t xml:space="preserve">scArches</w:t>
            </w:r>
          </w:p>
        </w:tc>
        <w:tc>
          <w:tcPr/>
          <w:p>
            <w:pPr>
              <w:pStyle w:val="Compact"/>
            </w:pPr>
            <w:r>
              <w:t xml:space="preserve">0.902 / 0.94 / 0.20</w:t>
            </w:r>
          </w:p>
        </w:tc>
        <w:tc>
          <w:tcPr/>
          <w:p>
            <w:pPr>
              <w:pStyle w:val="Compact"/>
            </w:pPr>
            <w:r>
              <w:t xml:space="preserve">0.941 / 0.82 / 0.44</w:t>
            </w:r>
          </w:p>
        </w:tc>
        <w:tc>
          <w:tcPr/>
          <w:p>
            <w:pPr>
              <w:pStyle w:val="Compact"/>
            </w:pPr>
            <w:r>
              <w:t xml:space="preserve">0.983 / 0.61 / 0.71</w:t>
            </w:r>
          </w:p>
        </w:tc>
      </w:tr>
      <w:tr>
        <w:tc>
          <w:tcPr/>
          <w:p>
            <w:pPr>
              <w:pStyle w:val="Compact"/>
            </w:pPr>
            <w:r>
              <w:t xml:space="preserve">scANVI</w:t>
            </w:r>
          </w:p>
        </w:tc>
        <w:tc>
          <w:tcPr/>
          <w:p>
            <w:pPr>
              <w:pStyle w:val="Compact"/>
            </w:pPr>
            <w:r>
              <w:t xml:space="preserve">0.893 / 0.96 / 0.13</w:t>
            </w:r>
          </w:p>
        </w:tc>
        <w:tc>
          <w:tcPr/>
          <w:p>
            <w:pPr>
              <w:pStyle w:val="Compact"/>
            </w:pPr>
            <w:r>
              <w:t xml:space="preserve">0.929 / 0.88 / 0.34</w:t>
            </w:r>
          </w:p>
        </w:tc>
        <w:tc>
          <w:tcPr/>
          <w:p>
            <w:pPr>
              <w:pStyle w:val="Compact"/>
            </w:pPr>
            <w:r>
              <w:t xml:space="preserve">0.965 / 0.74 / 0.60</w:t>
            </w:r>
          </w:p>
        </w:tc>
      </w:tr>
      <w:tr>
        <w:tc>
          <w:tcPr/>
          <w:p>
            <w:pPr>
              <w:pStyle w:val="Compact"/>
            </w:pPr>
            <w:r>
              <w:t xml:space="preserve">linear-anova-pca</w:t>
            </w:r>
          </w:p>
        </w:tc>
        <w:tc>
          <w:tcPr/>
          <w:p>
            <w:pPr>
              <w:pStyle w:val="Compact"/>
            </w:pPr>
            <w:r>
              <w:t xml:space="preserve">0.894 / 0.99 / 0.07</w:t>
            </w:r>
          </w:p>
        </w:tc>
        <w:tc>
          <w:tcPr/>
          <w:p>
            <w:pPr>
              <w:pStyle w:val="Compact"/>
            </w:pPr>
            <w:r>
              <w:t xml:space="preserve">0.916 / 0.93 / 0.25</w:t>
            </w:r>
          </w:p>
        </w:tc>
        <w:tc>
          <w:tcPr/>
          <w:p>
            <w:pPr>
              <w:pStyle w:val="Compact"/>
            </w:pPr>
            <w:r>
              <w:t xml:space="preserve">0.941 / 0.85 / 0.46</w:t>
            </w:r>
          </w:p>
        </w:tc>
      </w:tr>
      <w:tr>
        <w:tc>
          <w:tcPr/>
          <w:p>
            <w:pPr>
              <w:pStyle w:val="Compact"/>
            </w:pPr>
            <w:r>
              <w:t xml:space="preserve">kNN</w:t>
            </w:r>
          </w:p>
        </w:tc>
        <w:tc>
          <w:tcPr/>
          <w:p>
            <w:pPr>
              <w:pStyle w:val="Compact"/>
            </w:pPr>
            <w:r>
              <w:t xml:space="preserve">0.830 / 0.86 / 0.28</w:t>
            </w:r>
          </w:p>
        </w:tc>
        <w:tc>
          <w:tcPr/>
          <w:p>
            <w:pPr>
              <w:pStyle w:val="Compact"/>
            </w:pPr>
            <w:r>
              <w:t xml:space="preserve">0.921 / 0.61 / 0.63</w:t>
            </w:r>
          </w:p>
        </w:tc>
        <w:tc>
          <w:tcPr/>
          <w:p>
            <w:pPr>
              <w:pStyle w:val="Compact"/>
            </w:pPr>
            <w:r>
              <w:t xml:space="preserve">0.988 / 0.36 / 0.83</w:t>
            </w:r>
          </w:p>
        </w:tc>
      </w:tr>
      <w:tr>
        <w:tc>
          <w:tcPr/>
          <w:p>
            <w:pPr>
              <w:pStyle w:val="Compact"/>
            </w:pPr>
            <w:r>
              <w:t xml:space="preserve">CellTypist</w:t>
            </w:r>
          </w:p>
        </w:tc>
        <w:tc>
          <w:tcPr/>
          <w:p>
            <w:pPr>
              <w:pStyle w:val="Compact"/>
            </w:pPr>
            <w:r>
              <w:t xml:space="preserve">0.936 / 0.68 / 0.68</w:t>
            </w:r>
          </w:p>
        </w:tc>
        <w:tc>
          <w:tcPr/>
          <w:p>
            <w:pPr>
              <w:pStyle w:val="Compact"/>
            </w:pPr>
            <w:r>
              <w:t xml:space="preserve">0.936 / 0.68 / 0.68</w:t>
            </w:r>
          </w:p>
        </w:tc>
        <w:tc>
          <w:tcPr/>
          <w:p>
            <w:pPr>
              <w:pStyle w:val="Compact"/>
            </w:pPr>
            <w:r>
              <w:t xml:space="preserve">0.937 / 0.68 / 0.68</w:t>
            </w:r>
          </w:p>
        </w:tc>
      </w:tr>
      <w:tr>
        <w:tc>
          <w:tcPr/>
          <w:p>
            <w:pPr>
              <w:pStyle w:val="Compact"/>
            </w:pPr>
            <w:r>
              <w:t xml:space="preserve">ProtoCloud</w:t>
            </w:r>
          </w:p>
        </w:tc>
        <w:tc>
          <w:tcPr/>
          <w:p>
            <w:pPr>
              <w:pStyle w:val="Compact"/>
            </w:pPr>
            <w:r>
              <w:t xml:space="preserve">0.719 / 1.00 / 0.00</w:t>
            </w:r>
          </w:p>
        </w:tc>
        <w:tc>
          <w:tcPr/>
          <w:p>
            <w:pPr>
              <w:pStyle w:val="Compact"/>
            </w:pPr>
            <w:r>
              <w:t xml:space="preserve">0.719 / 0.97 / 0.02</w:t>
            </w:r>
          </w:p>
        </w:tc>
        <w:tc>
          <w:tcPr/>
          <w:p>
            <w:pPr>
              <w:pStyle w:val="Compact"/>
            </w:pPr>
            <w:r>
              <w:t xml:space="preserve">0.750 / 0.61 / 0.47</w:t>
            </w:r>
          </w:p>
        </w:tc>
      </w:tr>
      <w:tr>
        <w:tc>
          <w:tcPr/>
          <w:p>
            <w:pPr>
              <w:pStyle w:val="Compact"/>
            </w:pPr>
            <w:r>
              <w:t xml:space="preserve">scTOP</w:t>
            </w:r>
          </w:p>
        </w:tc>
        <w:tc>
          <w:tcPr/>
          <w:p>
            <w:pPr>
              <w:pStyle w:val="Compact"/>
            </w:pPr>
            <w:r>
              <w:t xml:space="preserve">0.971 / 0.06 / 0.98</w:t>
            </w:r>
          </w:p>
        </w:tc>
        <w:tc>
          <w:tcPr/>
          <w:p>
            <w:pPr>
              <w:pStyle w:val="Compact"/>
            </w:pPr>
            <w:r>
              <w:t xml:space="preserve">1.000 / 0.00 / 1.00</w:t>
            </w:r>
          </w:p>
        </w:tc>
        <w:tc>
          <w:tcPr/>
          <w:p>
            <w:pPr>
              <w:pStyle w:val="Compact"/>
            </w:pPr>
            <w:r>
              <w:t xml:space="preserve">1.000 / 0.00 / 1.00</w:t>
            </w:r>
          </w:p>
        </w:tc>
      </w:tr>
    </w:tbl>
    <w:p>
      <w:pPr>
        <w:pStyle w:val="BodyText"/>
      </w:pPr>
      <w:r>
        <w:rPr>
          <w:b/>
          <w:bCs/>
        </w:rPr>
        <w:t xml:space="preserve">Table 8.</w:t>
      </w:r>
      <w:r>
        <w:t xml:space="preserve"> </w:t>
      </w:r>
      <w:r>
        <w:t xml:space="preserve">Confidence-threshold sweep with 9 of 36 cell types held out of the liver</w:t>
      </w:r>
      <w:r>
        <w:t xml:space="preserve"> </w:t>
      </w:r>
      <w:r>
        <w:t xml:space="preserve">reference, so 1,350 query cells are out-of-distribution. Each cell reads accuracy on kept</w:t>
      </w:r>
      <w:r>
        <w:t xml:space="preserve"> </w:t>
      </w:r>
      <w:r>
        <w:t xml:space="preserve">cells / fraction of cells kept / fraction of held-out-type cells flagged. The full five-point</w:t>
      </w:r>
      <w:r>
        <w:t xml:space="preserve"> </w:t>
      </w:r>
      <w:r>
        <w:t xml:space="preserve">sweep is in Figure 7 and in the result tables.</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0.67 s of predict time against scArches’s 21.4 s and scANVI’s 89.2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70" name="Picture"/>
            <a:graphic>
              <a:graphicData uri="http://schemas.openxmlformats.org/drawingml/2006/picture">
                <pic:pic>
                  <pic:nvPicPr>
                    <pic:cNvPr descr="/Users/iandriver/Downloads/actinn-jax-benchmark/docs/figures/fig_abstain.png" id="71" name="Picture"/>
                    <pic:cNvPicPr>
                      <a:picLocks noChangeArrowheads="1" noChangeAspect="1"/>
                    </pic:cNvPicPr>
                  </pic:nvPicPr>
                  <pic:blipFill>
                    <a:blip r:embed="rId69"/>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What abstention buys, and whether it finds the novel cells, for the eight methods</w:t>
      </w:r>
      <w:r>
        <w:t xml:space="preserve"> </w:t>
      </w:r>
      <w:r>
        <w:t xml:space="preserve">that return a per-cell confidence.</w:t>
      </w:r>
      <w:r>
        <w:t xml:space="preserve"> </w:t>
      </w:r>
      <w:r>
        <w:rPr>
          <w:i/>
          <w:iCs/>
        </w:rPr>
        <w:t xml:space="preserve">Left:</w:t>
      </w:r>
      <w:r>
        <w:t xml:space="preserve"> </w:t>
      </w:r>
      <w:r>
        <w:t xml:space="preserve">accuracy on kept cells against the fraction kept.</w:t>
      </w:r>
      <w:r>
        <w:t xml:space="preserve"> </w:t>
      </w:r>
      <w:r>
        <w:rPr>
          <w:i/>
          <w:iCs/>
        </w:rPr>
        <w:t xml:space="preserve">Right:</w:t>
      </w:r>
      <w:r>
        <w:t xml:space="preserve"> </w:t>
      </w:r>
      <w:r>
        <w:t xml:space="preserve">the share of held-out-type cells flagged as the threshold rises. A usable mechanism</w:t>
      </w:r>
      <w:r>
        <w:t xml:space="preserve"> </w:t>
      </w:r>
      <w:r>
        <w:t xml:space="preserve">moves along both axes; CellTypist’s saturated probabilities collapse four thresholds onto one</w:t>
      </w:r>
      <w:r>
        <w:t xml:space="preserve"> </w:t>
      </w:r>
      <w:r>
        <w:t xml:space="preserve">operating point, and scTOP’s projection score discards the query rather than ranking it.</w:t>
      </w:r>
    </w:p>
    <w:bookmarkEnd w:id="72"/>
    <w:bookmarkStart w:id="7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3"/>
    <w:bookmarkStart w:id="82"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5">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8).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9)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7" name="Picture"/>
            <a:graphic>
              <a:graphicData uri="http://schemas.openxmlformats.org/drawingml/2006/picture">
                <pic:pic>
                  <pic:nvPicPr>
                    <pic:cNvPr descr="/Users/iandriver/Downloads/actinn-jax-benchmark/docs/figures/gene_budget_curve.png" id="78" name="Picture"/>
                    <pic:cNvPicPr>
                      <a:picLocks noChangeArrowheads="1" noChangeAspect="1"/>
                    </pic:cNvPicPr>
                  </pic:nvPicPr>
                  <pic:blipFill>
                    <a:blip r:embed="rId76"/>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80" name="Picture"/>
            <a:graphic>
              <a:graphicData uri="http://schemas.openxmlformats.org/drawingml/2006/picture">
                <pic:pic>
                  <pic:nvPicPr>
                    <pic:cNvPr descr="/Users/iandriver/Downloads/actinn-jax-benchmark/docs/figures/gene_budget_signals.png" id="81" name="Picture"/>
                    <pic:cNvPicPr>
                      <a:picLocks noChangeArrowheads="1" noChangeAspect="1"/>
                    </pic:cNvPicPr>
                  </pic:nvPicPr>
                  <pic:blipFill>
                    <a:blip r:embed="rId79"/>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9.</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82"/>
    <w:bookmarkEnd w:id="83"/>
    <w:bookmarkStart w:id="8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4">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5"/>
    <w:bookmarkStart w:id="86"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6"/>
    <w:bookmarkStart w:id="93"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87">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88">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9">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90">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9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92">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93"/>
    <w:bookmarkStart w:id="9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5">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4">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36" Target="https://chanzuckerberg.github.io/cellxgene-census/" TargetMode="External" /><Relationship Type="http://schemas.openxmlformats.org/officeDocument/2006/relationships/hyperlink" Id="rId9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5"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2" Target="https://doi.org/10.5281/zenodo.20401417" TargetMode="External" /><Relationship Type="http://schemas.openxmlformats.org/officeDocument/2006/relationships/hyperlink" Id="rId90" Target="https://doi.org/10.5281/zenodo.21688150" TargetMode="External" /><Relationship Type="http://schemas.openxmlformats.org/officeDocument/2006/relationships/hyperlink" Id="rId89" Target="https://doi.org/10.5281/zenodo.21688151" TargetMode="External" /><Relationship Type="http://schemas.openxmlformats.org/officeDocument/2006/relationships/hyperlink" Id="rId87" Target="https://doi.org/10.5281/zenodo.21911372" TargetMode="External" /><Relationship Type="http://schemas.openxmlformats.org/officeDocument/2006/relationships/hyperlink" Id="rId84"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4"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9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5"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2" Target="https://doi.org/10.5281/zenodo.20401417" TargetMode="External" /><Relationship Type="http://schemas.openxmlformats.org/officeDocument/2006/relationships/hyperlink" Id="rId90" Target="https://doi.org/10.5281/zenodo.21688150" TargetMode="External" /><Relationship Type="http://schemas.openxmlformats.org/officeDocument/2006/relationships/hyperlink" Id="rId89" Target="https://doi.org/10.5281/zenodo.21688151" TargetMode="External" /><Relationship Type="http://schemas.openxmlformats.org/officeDocument/2006/relationships/hyperlink" Id="rId87" Target="https://doi.org/10.5281/zenodo.21911372" TargetMode="External" /><Relationship Type="http://schemas.openxmlformats.org/officeDocument/2006/relationships/hyperlink" Id="rId84"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4"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2026-08-13T20:33:01Z</dcterms:created>
  <dcterms:modified xsi:type="dcterms:W3CDTF">2026-08-13T20:33:01Z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profile annotates a whole 525,000-cell atlas in 58 s at 15 GB, on a query axis where the tuned linear pipeline does not finish.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