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</w:t>
      </w:r>
    </w:p>
    <w:p>
      <w:pPr>
        <w:pStyle w:val="Author"/>
      </w:pPr>
      <w:r>
        <w:t xml:space="preserve">Ian Driver</w:t>
      </w:r>
    </w:p>
    <w:p>
      <w:pPr>
        <w:pStyle w:val="AbstractTitle"/>
      </w:pPr>
      <w:r>
        <w:t xml:space="preserve">Abstract</w:t>
      </w:r>
    </w:p>
    <w:p>
      <w:pPr>
        <w:pStyle w:val="Abstract"/>
      </w:pPr>
    </w:p>
    <w:p>
      <w:pPr>
        <w:pStyle w:val="FirstParagraph"/>
      </w:pPr>
      <w:r>
        <w:rPr>
          <w:i/>
          <w:iCs/>
        </w:rPr>
        <w:t xml:space="preserve">Independent Researcher, Detroit, MI, USA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Correspondence: driver.ian@gmail.com</w:t>
      </w:r>
    </w:p>
    <w:p>
      <w:pPr>
        <w:pStyle w:val="BodyText"/>
      </w:pPr>
      <w:r>
        <w:rPr>
          <w:i/>
          <w:iCs/>
        </w:rPr>
        <w:t xml:space="preserve">Supplement to</w:t>
      </w:r>
      <w:r>
        <w:rPr>
          <w:i/>
          <w:iCs/>
        </w:rPr>
        <w:t xml:space="preserve"> </w:t>
      </w:r>
      <w:r>
        <w:rPr>
          <w:i/>
          <w:iCs/>
        </w:rPr>
        <w:t xml:space="preserve">“A benchmark of cell-type annotation methods for single-cell data”</w:t>
      </w:r>
      <w:r>
        <w:rPr>
          <w:i/>
          <w:iCs/>
        </w:rPr>
        <w:t xml:space="preserve">. Figures and tables referenced from</w:t>
      </w:r>
      <w:r>
        <w:rPr>
          <w:i/>
          <w:iCs/>
        </w:rPr>
        <w:t xml:space="preserve"> </w:t>
      </w:r>
      <w:r>
        <w:rPr>
          <w:i/>
          <w:iCs/>
        </w:rPr>
        <w:t xml:space="preserve">the main text as Supplementary Figure S1–S4 and Supplementary Table S1–S3.</w:t>
      </w:r>
    </w:p>
    <w:bookmarkStart w:id="21" w:name="supplementary-figures"/>
    <w:p>
      <w:pPr>
        <w:pStyle w:val="Heading1"/>
      </w:pPr>
      <w:r>
        <w:t xml:space="preserve">Supplementary figures</w:t>
      </w:r>
    </w:p>
    <w:p>
      <w:pPr>
        <w:pStyle w:val="FirstParagraph"/>
      </w:pPr>
      <w:r>
        <w:drawing>
          <wp:inline>
            <wp:extent cx="5334000" cy="3344986"/>
            <wp:effectExtent b="0" l="0" r="0" t="0"/>
            <wp:docPr descr="confusion matrices" title="" id="10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confusi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Confusion matrices for the broad and focused passes on the withheld</w:t>
      </w:r>
      <w:r>
        <w:t xml:space="preserve"> </w:t>
      </w:r>
      <w:r>
        <w:t xml:space="preserve">cross-study liver query. Each cell is the fraction of a true type receiving that label;</w:t>
      </w:r>
      <w:r>
        <w:t xml:space="preserve"> </w:t>
      </w:r>
      <w:r>
        <w:t xml:space="preserve">outlined cells are off-diagonal calls that are an ancestor or descendant of the truth in the</w:t>
      </w:r>
      <w:r>
        <w:t xml:space="preserve"> </w:t>
      </w:r>
      <w:r>
        <w:t xml:space="preserve">Cell Ontology, i.e. error under exact match and credit under ontology-aware concordance. The</w:t>
      </w:r>
      <w:r>
        <w:t xml:space="preserve"> </w:t>
      </w:r>
      <w:r>
        <w:t xml:space="preserve">scores below each panel are means over the twelve truth types drawn, not over the whole</w:t>
      </w:r>
      <w:r>
        <w:t xml:space="preserve"> </w:t>
      </w:r>
      <w:r>
        <w:t xml:space="preserve">query, so they run lower than the query-wide figures quoted in the main text. The broad pass</w:t>
      </w:r>
      <w:r>
        <w:t xml:space="preserve"> </w:t>
      </w:r>
      <w:r>
        <w:t xml:space="preserve">scores 0.12 exact and recovers +0.22 through the ontology — its mistakes are the right lineage</w:t>
      </w:r>
      <w:r>
        <w:t xml:space="preserve"> </w:t>
      </w:r>
      <w:r>
        <w:t xml:space="preserve">at the wrong depth (hepatocyte → midzonal or centrilobular hepatocyte; NK cell → hepatic pit</w:t>
      </w:r>
      <w:r>
        <w:t xml:space="preserve"> </w:t>
      </w:r>
      <w:r>
        <w:t xml:space="preserve">cell, the Cell Ontology term for a liver NK cell). The focused pass scores 0.63 exact, +0.05:</w:t>
      </w:r>
      <w:r>
        <w:t xml:space="preserve"> </w:t>
      </w:r>
      <w:r>
        <w:t xml:space="preserve">it is already right most of the time, so the ontology has little left to recover.</w:t>
      </w:r>
    </w:p>
    <w:p>
      <w:pPr>
        <w:pStyle w:val="BodyText"/>
      </w:pPr>
      <w:r>
        <w:drawing>
          <wp:inline>
            <wp:extent cx="5334000" cy="3641513"/>
            <wp:effectExtent b="0" l="0" r="0" t="0"/>
            <wp:docPr descr="per-class recall, blood and gut" title="" id="13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blood_gut_intr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1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Per-class recall for eleven methods on the 86-type blood+gut split, ordered by</w:t>
      </w:r>
      <w:r>
        <w:t xml:space="preserve"> </w:t>
      </w:r>
      <w:r>
        <w:t xml:space="preserve">how much the methods disagree (best minus worst recall, right-hand strip). The best and worst</w:t>
      </w:r>
      <w:r>
        <w:t xml:space="preserve"> </w:t>
      </w:r>
      <w:r>
        <w:t xml:space="preserve">method differ by a median of 0.30 recall per class and up to 0.73; mean pairwise Spearman</w:t>
      </w:r>
      <w:r>
        <w:t xml:space="preserve"> </w:t>
      </w:r>
      <w:r>
        <w:t xml:space="preserve">between methods’ per-class recall is 0.58. Class size is not the explanation — the test split</w:t>
      </w:r>
      <w:r>
        <w:t xml:space="preserve"> </w:t>
      </w:r>
      <w:r>
        <w:t xml:space="preserve">is capped per label at 14–30 cells for all 86 classes, and the ten smallest classes score</w:t>
      </w:r>
      <w:r>
        <w:t xml:space="preserve"> </w:t>
      </w:r>
      <w:r>
        <w:t xml:space="preserve">slightly higher than the ten largest (0.865 vs 0.827).</w:t>
      </w:r>
    </w:p>
    <w:p>
      <w:pPr>
        <w:pStyle w:val="BodyText"/>
      </w:pPr>
      <w:r>
        <w:drawing>
          <wp:inline>
            <wp:extent cx="5334000" cy="3680721"/>
            <wp:effectExtent b="0" l="0" r="0" t="0"/>
            <wp:docPr descr="per-class recall, lung" title="" id="16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ung_int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0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S3.</w:t>
      </w:r>
      <w:r>
        <w:t xml:space="preserve"> </w:t>
      </w:r>
      <w:r>
        <w:t xml:space="preserve">Per-class recall on the 46-type lung split, drawn as in Figure S2. Methods</w:t>
      </w:r>
      <w:r>
        <w:t xml:space="preserve"> </w:t>
      </w:r>
      <w:r>
        <w:t xml:space="preserve">agree more here than on blood+gut: mean pairwise Spearman 0.65, median best-minus-worst 0.16.</w:t>
      </w:r>
    </w:p>
    <w:p>
      <w:pPr>
        <w:pStyle w:val="BodyText"/>
      </w:pPr>
      <w:r>
        <w:drawing>
          <wp:inline>
            <wp:extent cx="5334000" cy="3829399"/>
            <wp:effectExtent b="0" l="0" r="0" t="0"/>
            <wp:docPr descr="per-class recall, liver" title="" id="19" name="Picture"/>
            <a:graphic>
              <a:graphicData uri="http://schemas.openxmlformats.org/drawingml/2006/picture">
                <pic:pic>
                  <pic:nvPicPr>
                    <pic:cNvPr descr="/Users/iandriver/Downloads/actinn-jax-benchmark/docs/figures/fig_perclass_liver_intr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9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S4.</w:t>
      </w:r>
      <w:r>
        <w:t xml:space="preserve"> </w:t>
      </w:r>
      <w:r>
        <w:t xml:space="preserve">Per-class recall on the 36-type liver split, drawn as in Figure S2. Mean</w:t>
      </w:r>
      <w:r>
        <w:t xml:space="preserve"> </w:t>
      </w:r>
      <w:r>
        <w:t xml:space="preserve">pairwise Spearman is 0.66, but the median best-minus-worst gap is 0.43 — the widest</w:t>
      </w:r>
      <w:r>
        <w:t xml:space="preserve"> </w:t>
      </w:r>
      <w:r>
        <w:t xml:space="preserve">disagreement of the three splits, and a reminder that a high rank correlation between methods</w:t>
      </w:r>
      <w:r>
        <w:t xml:space="preserve"> </w:t>
      </w:r>
      <w:r>
        <w:t xml:space="preserve">still leaves large per-class differences.</w:t>
      </w:r>
    </w:p>
    <w:bookmarkEnd w:id="21"/>
    <w:bookmarkStart w:id="22" w:name="supplementary-tables"/>
    <w:p>
      <w:pPr>
        <w:pStyle w:val="Heading1"/>
      </w:pPr>
      <w:r>
        <w:t xml:space="preserve">Supplementary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6"/>
        <w:gridCol w:w="1250"/>
        <w:gridCol w:w="1146"/>
        <w:gridCol w:w="2084"/>
        <w:gridCol w:w="1042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t xml:space="preserve">rejection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[Ma &amp; Pellegrini 2020]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JAX MLP</w:t>
            </w:r>
          </w:p>
        </w:tc>
        <w:tc>
          <w:tcPr/>
          <w:p>
            <w:pPr>
              <w:pStyle w:val="Compact"/>
            </w:pPr>
            <w:r>
              <w:t xml:space="preserve">confidence threshold</w:t>
            </w:r>
          </w:p>
        </w:tc>
        <w:tc>
          <w:tcPr/>
          <w:p>
            <w:pPr>
              <w:pStyle w:val="Compact"/>
            </w:pPr>
            <w:r>
              <w:t xml:space="preserve">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linear SVM (SGD)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[Pedregosa 2011]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CellTypist</w:t>
            </w:r>
          </w:p>
        </w:tc>
        <w:tc>
          <w:tcPr/>
          <w:p>
            <w:pPr>
              <w:pStyle w:val="Compact"/>
            </w:pPr>
            <w:r>
              <w:t xml:space="preserve">[Domínguez Conde 2022]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</w:pPr>
            <w:r>
              <w:t xml:space="preserve">prob threshold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linear-anova-pca</w:t>
            </w:r>
          </w:p>
        </w:tc>
        <w:tc>
          <w:tcPr/>
          <w:p>
            <w:pPr>
              <w:pStyle w:val="Compact"/>
            </w:pPr>
            <w:r>
              <w:t xml:space="preserve">[Pedregosa 2011] †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normalize → ANOVA → PCA(220) → logreg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scTOP</w:t>
            </w:r>
          </w:p>
        </w:tc>
        <w:tc>
          <w:tcPr/>
          <w:p>
            <w:pPr>
              <w:pStyle w:val="Compact"/>
            </w:pPr>
            <w:r>
              <w:t xml:space="preserve">[Yampolskaya 2023]</w:t>
            </w:r>
          </w:p>
        </w:tc>
        <w:tc>
          <w:tcPr/>
          <w:p>
            <w:pPr>
              <w:pStyle w:val="Compact"/>
            </w:pPr>
            <w:r>
              <w:t xml:space="preserve">parameter-free</w:t>
            </w:r>
          </w:p>
        </w:tc>
        <w:tc>
          <w:tcPr/>
          <w:p>
            <w:pPr>
              <w:pStyle w:val="Compact"/>
            </w:pPr>
            <w:r>
              <w:t xml:space="preserve">rank z-score class-average projection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SingleR</w:t>
            </w:r>
          </w:p>
        </w:tc>
        <w:tc>
          <w:tcPr/>
          <w:p>
            <w:pPr>
              <w:pStyle w:val="Compact"/>
            </w:pPr>
            <w:r>
              <w:t xml:space="preserve">[Aran 2019]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Spearman + fine-tuning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scmap-cluster</w:t>
            </w:r>
          </w:p>
        </w:tc>
        <w:tc>
          <w:tcPr/>
          <w:p>
            <w:pPr>
              <w:pStyle w:val="Compact"/>
            </w:pPr>
            <w:r>
              <w:t xml:space="preserve">[Kiselev 2018]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  <w:tc>
          <w:tcPr/>
          <w:p>
            <w:pPr>
              <w:pStyle w:val="Compact"/>
            </w:pPr>
            <w:r>
              <w:t xml:space="preserve">centroid cosine</w:t>
            </w:r>
          </w:p>
        </w:tc>
        <w:tc>
          <w:tcPr/>
          <w:p>
            <w:pPr>
              <w:pStyle w:val="Compact"/>
            </w:pPr>
            <w:r>
              <w:t xml:space="preserve">yes (unassigned)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scANVI</w:t>
            </w:r>
          </w:p>
        </w:tc>
        <w:tc>
          <w:tcPr/>
          <w:p>
            <w:pPr>
              <w:pStyle w:val="Compact"/>
            </w:pPr>
            <w:r>
              <w:t xml:space="preserve">[Xu 2021]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scVI semi-supervised VAE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scArches</w:t>
            </w:r>
          </w:p>
        </w:tc>
        <w:tc>
          <w:tcPr/>
          <w:p>
            <w:pPr>
              <w:pStyle w:val="Compact"/>
            </w:pPr>
            <w:r>
              <w:t xml:space="preserve">[Lotfollahi 2022]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scANVI reference surgery</w:t>
            </w:r>
          </w:p>
        </w:tc>
        <w:tc>
          <w:tcPr/>
          <w:p>
            <w:pPr>
              <w:pStyle w:val="Compact"/>
            </w:pPr>
            <w:r>
              <w:t xml:space="preserve">prob</w:t>
            </w:r>
          </w:p>
        </w:tc>
        <w:tc>
          <w:tcPr/>
          <w:p>
            <w:pPr>
              <w:pStyle w:val="Compact"/>
            </w:pPr>
            <w:r>
              <w:t xml:space="preserve">scVI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ProtoCloud</w:t>
            </w:r>
          </w:p>
        </w:tc>
        <w:tc>
          <w:tcPr/>
          <w:p>
            <w:pPr>
              <w:pStyle w:val="Compact"/>
            </w:pPr>
            <w:r>
              <w:t xml:space="preserve">[Guo &amp; Ding 2026]</w:t>
            </w:r>
          </w:p>
        </w:tc>
        <w:tc>
          <w:tcPr/>
          <w:p>
            <w:pPr>
              <w:pStyle w:val="Compact"/>
            </w:pPr>
            <w:r>
              <w:t xml:space="preserve">deep</w:t>
            </w:r>
          </w:p>
        </w:tc>
        <w:tc>
          <w:tcPr/>
          <w:p>
            <w:pPr>
              <w:pStyle w:val="Compact"/>
            </w:pPr>
            <w:r>
              <w:t xml:space="preserve">prototype VAE + LRP attribution</w:t>
            </w:r>
          </w:p>
        </w:tc>
        <w:tc>
          <w:tcPr/>
          <w:p>
            <w:pPr>
              <w:pStyle w:val="Compact"/>
            </w:pPr>
            <w:r>
              <w:t xml:space="preserve">ambiguity flag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scPRINT</w:t>
            </w:r>
          </w:p>
        </w:tc>
        <w:tc>
          <w:tcPr/>
          <w:p>
            <w:pPr>
              <w:pStyle w:val="Compact"/>
            </w:pPr>
            <w:r>
              <w:t xml:space="preserve">[Kalfon 2025]</w:t>
            </w:r>
          </w:p>
        </w:tc>
        <w:tc>
          <w:tcPr/>
          <w:p>
            <w:pPr>
              <w:pStyle w:val="Compact"/>
            </w:pPr>
            <w:r>
              <w:t xml:space="preserve">foundation</w:t>
            </w:r>
          </w:p>
        </w:tc>
        <w:tc>
          <w:tcPr/>
          <w:p>
            <w:pPr>
              <w:pStyle w:val="Compact"/>
            </w:pPr>
            <w:r>
              <w:t xml:space="preserve">pretrained transformer, zero-shot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PyTorch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Pan-human Azimuth</w:t>
            </w:r>
          </w:p>
        </w:tc>
        <w:tc>
          <w:tcPr/>
          <w:p>
            <w:pPr>
              <w:pStyle w:val="Compact"/>
            </w:pPr>
            <w:r>
              <w:t xml:space="preserve">[Sarkar et al. 2026]</w:t>
            </w:r>
          </w:p>
        </w:tc>
        <w:tc>
          <w:tcPr/>
          <w:p>
            <w:pPr>
              <w:pStyle w:val="Compact"/>
            </w:pPr>
            <w:r>
              <w:t xml:space="preserve">pretrained</w:t>
            </w:r>
          </w:p>
        </w:tc>
        <w:tc>
          <w:tcPr/>
          <w:p>
            <w:pPr>
              <w:pStyle w:val="Compact"/>
            </w:pPr>
            <w:r>
              <w:t xml:space="preserve">8-level hierarchical NN, fixed 382-leaf typology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  <w:r>
              <w:t xml:space="preserve"> </w:t>
            </w:r>
            <w:r>
              <w:rPr>
                <w:rStyle w:val="VerbatimChar"/>
              </w:rPr>
              <w:t xml:space="preserve">Unassigned</w:t>
            </w:r>
          </w:p>
        </w:tc>
        <w:tc>
          <w:tcPr/>
          <w:p>
            <w:pPr>
              <w:pStyle w:val="Compact"/>
            </w:pPr>
            <w:r>
              <w:t xml:space="preserve">TensorFlow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S1.</w:t>
      </w:r>
      <w:r>
        <w:t xml:space="preserve"> </w:t>
      </w:r>
      <w:r>
        <w:t xml:space="preserve">The benchmarked methods: model family (</w:t>
      </w:r>
      <w:r>
        <w:rPr>
          <w:i/>
          <w:iCs/>
        </w:rPr>
        <w:t xml:space="preserve">tier</w:t>
      </w:r>
      <w:r>
        <w:t xml:space="preserve">), the engine each one runs, whether</w:t>
      </w:r>
      <w:r>
        <w:t xml:space="preserve"> </w:t>
      </w:r>
      <w:r>
        <w:t xml:space="preserve">it can decline to call a cell (</w:t>
      </w:r>
      <w:r>
        <w:rPr>
          <w:i/>
          <w:iCs/>
        </w:rPr>
        <w:t xml:space="preserve">rejection</w:t>
      </w:r>
      <w:r>
        <w:t xml:space="preserve">), and the runtime stack it was run on. Bold marks</w:t>
      </w:r>
      <w:r>
        <w:t xml:space="preserve"> </w:t>
      </w:r>
      <w:r>
        <w:t xml:space="preserve">the methods added to this panel here.</w:t>
      </w:r>
    </w:p>
    <w:p>
      <w:pPr>
        <w:pStyle w:val="BodyText"/>
      </w:pPr>
      <w:r>
        <w:t xml:space="preserve">†</w:t>
      </w:r>
      <w:r>
        <w:t xml:space="preserve"> </w:t>
      </w:r>
      <w:r>
        <w:rPr>
          <w:rStyle w:val="VerbatimChar"/>
        </w:rPr>
        <w:t xml:space="preserve">linear-anova-pca</w:t>
      </w:r>
      <w:r>
        <w:t xml:space="preserve"> </w:t>
      </w:r>
      <w:r>
        <w:t xml:space="preserve">has no method paper: it is a baseline assembled here from scikit-learn</w:t>
      </w:r>
      <w:r>
        <w:t xml:space="preserve"> </w:t>
      </w:r>
      <w:r>
        <w:t xml:space="preserve">components, tuned deliberately to be the strongest simple competitor we could build.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218"/>
        <w:gridCol w:w="852"/>
        <w:gridCol w:w="1340"/>
        <w:gridCol w:w="731"/>
        <w:gridCol w:w="852"/>
        <w:gridCol w:w="1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tissue</w:t>
            </w:r>
          </w:p>
        </w:tc>
        <w:tc>
          <w:tcPr/>
          <w:p>
            <w:pPr>
              <w:pStyle w:val="Compact"/>
            </w:pPr>
            <w:r>
              <w:t xml:space="preserve">#types</w:t>
            </w:r>
          </w:p>
        </w:tc>
        <w:tc>
          <w:tcPr/>
          <w:p>
            <w:pPr>
              <w:pStyle w:val="Compact"/>
            </w:pPr>
            <w:r>
              <w:t xml:space="preserve">genes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</w:t>
            </w:r>
          </w:p>
        </w:tc>
        <w:tc>
          <w:tcPr/>
          <w:p>
            <w:pPr>
              <w:pStyle w:val="Compact"/>
            </w:pPr>
            <w:r>
              <w:t xml:space="preserve">[Travaglini 2020]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lung (Krasnow)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300 cells/type 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</w:t>
            </w:r>
          </w:p>
        </w:tc>
        <w:tc>
          <w:tcPr/>
          <w:p>
            <w:pPr>
              <w:pStyle w:val="Compact"/>
            </w:pPr>
            <w:r>
              <w:t xml:space="preserve">[Sikkema 2023] → [Travaglini 2020]</w:t>
            </w:r>
          </w:p>
        </w:tc>
        <w:tc>
          <w:tcPr/>
          <w:p>
            <w:pPr>
              <w:pStyle w:val="Compact"/>
            </w:pPr>
            <w:r>
              <w:t xml:space="preserve">cross-dataset</w:t>
            </w:r>
          </w:p>
        </w:tc>
        <w:tc>
          <w:tcPr/>
          <w:p>
            <w:pPr>
              <w:pStyle w:val="Compact"/>
            </w:pPr>
            <w:r>
              <w:t xml:space="preserve">lung (HLCA → Krasnow)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different lab/protocol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150 cells/type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</w:t>
            </w:r>
          </w:p>
        </w:tc>
        <w:tc>
          <w:tcPr/>
          <w:p>
            <w:pPr>
              <w:pStyle w:val="Compact"/>
            </w:pPr>
            <w:r>
              <w:t xml:space="preserve">[Edgar 2026]</w:t>
            </w:r>
          </w:p>
        </w:tc>
        <w:tc>
          <w:tcPr/>
          <w:p>
            <w:pPr>
              <w:pStyle w:val="Compact"/>
            </w:pPr>
            <w:r>
              <w:t xml:space="preserve">cross-</w:t>
            </w:r>
            <w:r>
              <w:rPr>
                <w:b/>
                <w:bCs/>
              </w:rP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liver (HLiCA)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train 6 studies → test withheld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blood_gut_intra</w:t>
            </w:r>
          </w:p>
        </w:tc>
        <w:tc>
          <w:tcPr/>
          <w:p>
            <w:pPr>
              <w:pStyle w:val="Compact"/>
            </w:pPr>
            <w:r>
              <w:t xml:space="preserve">[Alegbe 2026]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blood + gut (IBDverse)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Ensembl</w:t>
            </w:r>
          </w:p>
        </w:tc>
        <w:tc>
          <w:tcPr/>
          <w:p>
            <w:pPr>
              <w:pStyle w:val="Compact"/>
            </w:pPr>
            <w:r>
              <w:t xml:space="preserve">high cardinality; no CL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</w:t>
            </w:r>
          </w:p>
        </w:tc>
        <w:tc>
          <w:tcPr/>
          <w:p>
            <w:pPr>
              <w:pStyle w:val="Compact"/>
            </w:pPr>
            <w:r>
              <w:t xml:space="preserve">[10x Genomics 2016]</w:t>
            </w:r>
          </w:p>
        </w:tc>
        <w:tc>
          <w:tcPr/>
          <w:p>
            <w:pPr>
              <w:pStyle w:val="Compact"/>
            </w:pPr>
            <w:r>
              <w:t xml:space="preserve">within-dataset</w:t>
            </w:r>
          </w:p>
        </w:tc>
        <w:tc>
          <w:tcPr/>
          <w:p>
            <w:pPr>
              <w:pStyle w:val="Compact"/>
            </w:pPr>
            <w:r>
              <w:t xml:space="preserve">PBMC (pbmc3k)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t xml:space="preserve">small-n; scPRINT skips (symbols)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</w:t>
      </w:r>
      <w:r>
        <w:t xml:space="preserve"> </w:t>
      </w:r>
      <w:r>
        <w:t xml:space="preserve">The six benchmark datasets.</w:t>
      </w:r>
      <w:r>
        <w:t xml:space="preserve"> </w:t>
      </w:r>
      <w:r>
        <w:rPr>
          <w:i/>
          <w:iCs/>
        </w:rPr>
        <w:t xml:space="preserve">split</w:t>
      </w:r>
      <w:r>
        <w:t xml:space="preserve"> </w:t>
      </w:r>
      <w:r>
        <w:t xml:space="preserve">separates within-dataset holdouts from</w:t>
      </w:r>
      <w:r>
        <w:t xml:space="preserve"> </w:t>
      </w:r>
      <w:r>
        <w:t xml:space="preserve">cross-dataset and cross-study transfer;</w:t>
      </w:r>
      <w:r>
        <w:t xml:space="preserve"> </w:t>
      </w:r>
      <w:r>
        <w:rPr>
          <w:i/>
          <w:iCs/>
        </w:rPr>
        <w:t xml:space="preserve">genes</w:t>
      </w:r>
      <w:r>
        <w:t xml:space="preserve"> </w:t>
      </w:r>
      <w:r>
        <w:t xml:space="preserve">records whether the matrix is keyed by</w:t>
      </w:r>
      <w:r>
        <w:t xml:space="preserve"> </w:t>
      </w:r>
      <w:r>
        <w:t xml:space="preserve">Ensembl ids or gene symbols.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  <w:tc>
          <w:tcPr/>
          <w:p>
            <w:pPr>
              <w:pStyle w:val="Compact"/>
            </w:pPr>
            <w:r>
              <w:t xml:space="preserve">best method (acc)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lung_intra (46 types)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ProtoCloud 0.932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lung_cross (cross-dataset)†</w:t>
            </w:r>
          </w:p>
        </w:tc>
        <w:tc>
          <w:tcPr/>
          <w:p>
            <w:pPr>
              <w:pStyle w:val="Compact"/>
            </w:pPr>
            <w:r>
              <w:t xml:space="preserve">0.358 exact / 0.752 ontology</w:t>
            </w:r>
          </w:p>
        </w:tc>
        <w:tc>
          <w:tcPr/>
          <w:p>
            <w:pPr>
              <w:pStyle w:val="Compact"/>
            </w:pPr>
            <w:r>
              <w:t xml:space="preserve">ProtoCloud 0.374 /</w:t>
            </w:r>
            <w:r>
              <w:t xml:space="preserve"> </w:t>
            </w:r>
            <w:r>
              <w:rPr>
                <w:b/>
                <w:bCs/>
              </w:rPr>
              <w:t xml:space="preserve">0.791 ontology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liver_intra (36 types)</w:t>
            </w:r>
          </w:p>
        </w:tc>
        <w:tc>
          <w:tcPr/>
          <w:p>
            <w:pPr>
              <w:pStyle w:val="Compact"/>
            </w:pPr>
            <w:r>
              <w:t xml:space="preserve">0.802</w:t>
            </w:r>
          </w:p>
        </w:tc>
        <w:tc>
          <w:tcPr/>
          <w:p>
            <w:pPr>
              <w:pStyle w:val="Compact"/>
            </w:pPr>
            <w:r>
              <w:t xml:space="preserve">linear-anova-pca 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liver_cross (cross-study)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0.686 exact / 0.731 ontology</w:t>
            </w:r>
          </w:p>
        </w:tc>
        <w:tc>
          <w:tcPr/>
          <w:p>
            <w:pPr>
              <w:pStyle w:val="Compact"/>
            </w:pPr>
            <w:r>
              <w:t xml:space="preserve">actinn-jax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blood_gut (86 types)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linear-anova-pca 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pbmc (8 types)</w:t>
            </w:r>
          </w:p>
        </w:tc>
        <w:tc>
          <w:tcPr/>
          <w:p>
            <w:pPr>
              <w:pStyle w:val="Compact"/>
            </w:pPr>
            <w:r>
              <w:t xml:space="preserve">0.913</w:t>
            </w:r>
          </w:p>
        </w:tc>
        <w:tc>
          <w:tcPr/>
          <w:p>
            <w:pPr>
              <w:pStyle w:val="Compact"/>
            </w:pPr>
            <w:r>
              <w:t xml:space="preserve">scArches 0.931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</w:t>
      </w:r>
      <w:r>
        <w:t xml:space="preserve"> </w:t>
      </w:r>
      <w:r>
        <w:t xml:space="preserve">Per-dataset accuracy: actinn-jax against whichever method leads that dataset.</w:t>
      </w:r>
      <w:r>
        <w:t xml:space="preserve"> </w:t>
      </w:r>
      <w:r>
        <w:t xml:space="preserve">† on lung_cross the exact-match score is a vocabulary artifact, so ontology concordance is</w:t>
      </w:r>
      <w:r>
        <w:t xml:space="preserve"> </w:t>
      </w:r>
      <w:r>
        <w:t xml:space="preserve">the meaningful column.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>Ian Driver</dc:creator>
  <cp:keywords/>
  <dcterms:created xsi:type="dcterms:W3CDTF">2026-08-13T20:33:07Z</dcterms:created>
  <dcterms:modified xsi:type="dcterms:W3CDTF">2026-08-13T20:33:07Z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date">
    <vt:lpwstr/>
  </property>
</Properties>
</file>