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Override PartName="/word/media/rId58.png" ContentType="image/png"/>
  <Override PartName="/word/media/rId50.png" ContentType="image/png"/>
  <Override PartName="/word/media/rId62.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p>
    <w:p>
      <w:pPr>
        <w:pStyle w:val="Compact"/>
        <w:numPr>
          <w:ilvl w:val="0"/>
          <w:numId w:val="1002"/>
        </w:numPr>
      </w:pP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p>
    <w:p>
      <w:pPr>
        <w:pStyle w:val="Compact"/>
        <w:numPr>
          <w:ilvl w:val="0"/>
          <w:numId w:val="1002"/>
        </w:numPr>
      </w:pP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p>
    <w:p>
      <w:pPr>
        <w:pStyle w:val="Compact"/>
        <w:numPr>
          <w:ilvl w:val="0"/>
          <w:numId w:val="1002"/>
        </w:numPr>
      </w:pP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7"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292"/>
        <w:gridCol w:w="1042"/>
        <w:gridCol w:w="1042"/>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 (MPS)</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 (MPS)</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protocloud</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scprint (MPS)</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panhuman</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pinned environment it was run in</w:t>
      </w:r>
      <w:r>
        <w:t xml:space="preserve"> </w:t>
      </w:r>
      <w:r>
        <w:t xml:space="preserve">(§2.7).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26">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7"/>
    <w:bookmarkStart w:id="33"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8">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9">
              <w:r>
                <w:rPr>
                  <w:rStyle w:val="Hyperlink"/>
                </w:rPr>
                <w:t xml:space="preserve">Sikkema 2023</w:t>
              </w:r>
            </w:hyperlink>
            <w:r>
              <w:t xml:space="preserve"> </w:t>
            </w:r>
            <w:r>
              <w:t xml:space="preserve">→</w:t>
            </w:r>
            <w:r>
              <w:t xml:space="preserve"> </w:t>
            </w:r>
            <w:hyperlink r:id="rId28">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30">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30">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1">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2">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3"/>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The runner,</w:t>
      </w:r>
      <w:r>
        <w:t xml:space="preserve"> </w:t>
      </w:r>
      <w:r>
        <w:rPr>
          <w:rStyle w:val="VerbatimChar"/>
        </w:rPr>
        <w:t xml:space="preserve">benchmark/runner.py</w:t>
      </w:r>
      <w:r>
        <w:t xml:space="preserve">, executes each method in</w:t>
      </w:r>
      <w:r>
        <w:t xml:space="preserve"> </w:t>
      </w:r>
      <w:r>
        <w:rPr>
          <w:b/>
          <w:bCs/>
        </w:rPr>
        <w:t xml:space="preserve">its own virtual environment</w:t>
      </w:r>
      <w:r>
        <w:rPr>
          <w:b/>
          <w:bCs/>
        </w:rPr>
        <w:t xml:space="preserve"> </w:t>
      </w:r>
      <w:r>
        <w:rPr>
          <w:b/>
          <w:bCs/>
        </w:rPr>
        <w:t xml:space="preserve">under subprocess isolation</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w:t>
      </w:r>
      <w:r>
        <w:t xml:space="preserve">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w:t>
      </w:r>
      <w:r>
        <w:t xml:space="preserve">from a fixed seed and hands the identical pair to every method, so</w:t>
      </w:r>
      <w:r>
        <w:t xml:space="preserve"> </w:t>
      </w:r>
      <w:r>
        <w:t xml:space="preserve">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w:t>
      </w:r>
      <w:r>
        <w:t xml:space="preserve"> </w:t>
      </w:r>
      <w:hyperlink r:id="rId36">
        <w:r>
          <w:rPr>
            <w:rStyle w:val="Hyperlink"/>
          </w:rPr>
          <w:t xml:space="preserve">CZI Census 2025</w:t>
        </w:r>
      </w:hyperlink>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5"/>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5"/>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9" w:name="results"/>
    <w:p>
      <w:pPr>
        <w:pStyle w:val="Heading1"/>
      </w:pPr>
      <w:r>
        <w:t xml:space="preserve">Results</w:t>
      </w:r>
    </w:p>
    <w:bookmarkStart w:id="53" w:name="accuracy-and-cost"/>
    <w:p>
      <w:pPr>
        <w:pStyle w:val="Heading2"/>
      </w:pPr>
      <w:r>
        <w:t xml:space="preserve">Accuracy and cost</w:t>
      </w:r>
    </w:p>
    <w:p>
      <w:pPr>
        <w:pStyle w:val="FirstParagraph"/>
      </w:pPr>
      <w:r>
        <w:drawing>
          <wp:inline>
            <wp:extent cx="5334000" cy="4154905"/>
            <wp:effectExtent b="0" l="0" r="0" t="0"/>
            <wp:docPr descr="accuracy heatmap" title="" id="48" name="Picture"/>
            <a:graphic>
              <a:graphicData uri="http://schemas.openxmlformats.org/drawingml/2006/picture">
                <pic:pic>
                  <pic:nvPicPr>
                    <pic:cNvPr descr="/Users/iandriver/Downloads/actinn-jax-benchmark/docs/figures/fig_accuracy_heatmap.png" id="49" name="Picture"/>
                    <pic:cNvPicPr>
                      <a:picLocks noChangeArrowheads="1" noChangeAspect="1"/>
                    </pic:cNvPicPr>
                  </pic:nvPicPr>
                  <pic:blipFill>
                    <a:blip r:embed="rId47"/>
                    <a:stretch>
                      <a:fillRect/>
                    </a:stretch>
                  </pic:blipFill>
                  <pic:spPr bwMode="auto">
                    <a:xfrm>
                      <a:off x="0" y="0"/>
                      <a:ext cx="5334000" cy="4154905"/>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by method (rows) and dataset (columns) across the in-house panel.</w:t>
      </w:r>
    </w:p>
    <w:p>
      <w:pPr>
        <w:pStyle w:val="BodyText"/>
      </w:pPr>
      <w:r>
        <w:drawing>
          <wp:inline>
            <wp:extent cx="5334000" cy="1639186"/>
            <wp:effectExtent b="0" l="0" r="0" t="0"/>
            <wp:docPr descr="speed and memory" title="" id="51" name="Picture"/>
            <a:graphic>
              <a:graphicData uri="http://schemas.openxmlformats.org/drawingml/2006/picture">
                <pic:pic>
                  <pic:nvPicPr>
                    <pic:cNvPr descr="/Users/iandriver/Downloads/actinn-jax-benchmark/docs/figures/fig_speed_memory.png" id="52" name="Picture"/>
                    <pic:cNvPicPr>
                      <a:picLocks noChangeArrowheads="1" noChangeAspect="1"/>
                    </pic:cNvPicPr>
                  </pic:nvPicPr>
                  <pic:blipFill>
                    <a:blip r:embed="rId50"/>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time, per-query predict time, and peak memory by method, averaged across the</w:t>
      </w:r>
      <w:r>
        <w:t xml:space="preserve"> </w:t>
      </w:r>
      <w:r>
        <w:t xml:space="preserve">in-house panel. The methods sit within a few points of each other on accuracy (Table 3) and</w:t>
      </w:r>
      <w:r>
        <w:t xml:space="preserve"> </w:t>
      </w:r>
      <w:r>
        <w:t xml:space="preserve">orders of magnitude apart on cost.</w:t>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53"/>
    <w:bookmarkStart w:id="57" w:name="the-accuracy-speed-frontier"/>
    <w:p>
      <w:pPr>
        <w:pStyle w:val="Heading2"/>
      </w:pPr>
      <w:r>
        <w:t xml:space="preserve">The accuracy × speed frontier</w:t>
      </w:r>
    </w:p>
    <w:p>
      <w:pPr>
        <w:pStyle w:val="FirstParagraph"/>
      </w:pPr>
      <w:r>
        <w:drawing>
          <wp:inline>
            <wp:extent cx="5334000" cy="3671222"/>
            <wp:effectExtent b="0" l="0" r="0" t="0"/>
            <wp:docPr descr="Pareto" title="" id="55" name="Picture"/>
            <a:graphic>
              <a:graphicData uri="http://schemas.openxmlformats.org/drawingml/2006/picture">
                <pic:pic>
                  <pic:nvPicPr>
                    <pic:cNvPr descr="/Users/iandriver/Downloads/actinn-jax-benchmark/docs/figures/fig_pareto_liver_intra.png" id="56" name="Picture"/>
                    <pic:cNvPicPr>
                      <a:picLocks noChangeArrowheads="1" noChangeAspect="1"/>
                    </pic:cNvPicPr>
                  </pic:nvPicPr>
                  <pic:blipFill>
                    <a:blip r:embed="rId54"/>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4.</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7"/>
    <w:bookmarkStart w:id="61" w:name="scaling"/>
    <w:p>
      <w:pPr>
        <w:pStyle w:val="Heading2"/>
      </w:pPr>
      <w:r>
        <w:t xml:space="preserve">Scaling</w:t>
      </w:r>
    </w:p>
    <w:p>
      <w:pPr>
        <w:pStyle w:val="FirstParagraph"/>
      </w:pPr>
      <w:r>
        <w:drawing>
          <wp:inline>
            <wp:extent cx="5334000" cy="1970216"/>
            <wp:effectExtent b="0" l="0" r="0" t="0"/>
            <wp:docPr descr="scaling" title="" id="59" name="Picture"/>
            <a:graphic>
              <a:graphicData uri="http://schemas.openxmlformats.org/drawingml/2006/picture">
                <pic:pic>
                  <pic:nvPicPr>
                    <pic:cNvPr descr="/Users/iandriver/Downloads/actinn-jax-benchmark/docs/figures/fig_scaling.png" id="60" name="Picture"/>
                    <pic:cNvPicPr>
                      <a:picLocks noChangeArrowheads="1" noChangeAspect="1"/>
                    </pic:cNvPicPr>
                  </pic:nvPicPr>
                  <pic:blipFill>
                    <a:blip r:embed="rId5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61"/>
    <w:bookmarkStart w:id="66"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63" name="Picture"/>
            <a:graphic>
              <a:graphicData uri="http://schemas.openxmlformats.org/drawingml/2006/picture">
                <pic:pic>
                  <pic:nvPicPr>
                    <pic:cNvPr descr="/Users/iandriver/Downloads/actinn-jax-benchmark/docs/figures/fig_workflow_umap.png" id="64" name="Picture"/>
                    <pic:cNvPicPr>
                      <a:picLocks noChangeArrowheads="1" noChangeAspect="1"/>
                    </pic:cNvPicPr>
                  </pic:nvPicPr>
                  <pic:blipFill>
                    <a:blip r:embed="rId62"/>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65">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rPr>
          <w:b/>
          <w:bCs/>
        </w:rPr>
        <w:t xml:space="preserve">Table 7.</w:t>
      </w:r>
      <w:r>
        <w:t xml:space="preserve"> </w:t>
      </w:r>
      <w:r>
        <w:t xml:space="preserve">Coarse-hierarchy ablation. Ontology concordance on the held-out lung atlas for a</w:t>
      </w:r>
      <w:r>
        <w:t xml:space="preserve"> </w:t>
      </w:r>
      <w:r>
        <w:t xml:space="preserve">Cell Ontology lineage hierarchy, a random grouping with the same group sizes, and no hierarchy</w:t>
      </w:r>
      <w:r>
        <w:t xml:space="preserve"> </w:t>
      </w:r>
      <w:r>
        <w:t xml:space="preserve">at all.</w:t>
      </w:r>
    </w:p>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6"/>
    <w:bookmarkStart w:id="67"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7"/>
    <w:bookmarkStart w:id="68"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8"/>
    <w:bookmarkStart w:id="78"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9">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0">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 ordered by accuracy as in Table 3.</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71">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Table 10,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6).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7)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3" name="Picture"/>
            <a:graphic>
              <a:graphicData uri="http://schemas.openxmlformats.org/drawingml/2006/picture">
                <pic:pic>
                  <pic:nvPicPr>
                    <pic:cNvPr descr="/Users/iandriver/Downloads/actinn-jax-benchmark/docs/figures/gene_budget_curve.png" id="74" name="Picture"/>
                    <pic:cNvPicPr>
                      <a:picLocks noChangeArrowheads="1" noChangeAspect="1"/>
                    </pic:cNvPicPr>
                  </pic:nvPicPr>
                  <pic:blipFill>
                    <a:blip r:embed="rId72"/>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6" name="Picture"/>
            <a:graphic>
              <a:graphicData uri="http://schemas.openxmlformats.org/drawingml/2006/picture">
                <pic:pic>
                  <pic:nvPicPr>
                    <pic:cNvPr descr="/Users/iandriver/Downloads/actinn-jax-benchmark/docs/figures/gene_budget_signals.png" id="77" name="Picture"/>
                    <pic:cNvPicPr>
                      <a:picLocks noChangeArrowheads="1" noChangeAspect="1"/>
                    </pic:cNvPicPr>
                  </pic:nvPicPr>
                  <pic:blipFill>
                    <a:blip r:embed="rId75"/>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8"/>
    <w:bookmarkEnd w:id="79"/>
    <w:bookmarkStart w:id="81"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0">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1"/>
    <w:bookmarkStart w:id="82"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2"/>
    <w:bookmarkStart w:id="88"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 </w:t>
      </w:r>
      <w:r>
        <w:t xml:space="preserve">and</w:t>
      </w:r>
      <w:r>
        <w:t xml:space="preserve"> </w:t>
      </w:r>
      <w:r>
        <w:rPr>
          <w:rStyle w:val="VerbatimChar"/>
        </w:rPr>
        <w:t xml:space="preserve">docs/results_*.csv</w:t>
      </w:r>
      <w:r>
        <w:t xml:space="preserve">, which</w:t>
      </w:r>
      <w:r>
        <w:t xml:space="preserve"> </w:t>
      </w:r>
      <w:r>
        <w:t xml:space="preserve">include the unified 11-method matrix), figure scripts, and the actinn-jax package</w:t>
      </w:r>
      <w:r>
        <w:t xml:space="preserve"> </w:t>
      </w:r>
      <w:r>
        <w:t xml:space="preserve">(</w:t>
      </w:r>
      <w:hyperlink r:id="rId83">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documented in the same repository.</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4">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5">
        <w:r>
          <w:rPr>
            <w:rStyle w:val="Hyperlink"/>
          </w:rPr>
          <w:t xml:space="preserve">10.5281/zenodo.21688150</w:t>
        </w:r>
      </w:hyperlink>
      <w:r>
        <w:t xml:space="preserve"> </w:t>
      </w:r>
      <w:r>
        <w:t xml:space="preserve">for the</w:t>
      </w:r>
      <w:r>
        <w:t xml:space="preserve"> </w:t>
      </w:r>
      <w:r>
        <w:t xml:space="preserve">latest version). actinn-jax’s</w:t>
      </w:r>
      <w:r>
        <w:t xml:space="preserve"> </w:t>
      </w:r>
      <w:r>
        <w:rPr>
          <w:rStyle w:val="VerbatimChar"/>
        </w:rPr>
        <w:t xml:space="preserve">bundled_reference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w:t>
      </w:r>
      <w:r>
        <w:t xml:space="preserve"> </w:t>
      </w:r>
      <w:hyperlink r:id="rId30">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6">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7">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88"/>
    <w:bookmarkStart w:id="89"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2">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1">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0">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0">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9">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0">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8">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36" Target="https://chanzuckerberg.github.io/cellxgene-census/" TargetMode="External" /><Relationship Type="http://schemas.openxmlformats.org/officeDocument/2006/relationships/hyperlink" Id="rId86"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8" Target="https://doi.org/10.1038/s41586-020-2922-4" TargetMode="External" /><Relationship Type="http://schemas.openxmlformats.org/officeDocument/2006/relationships/hyperlink" Id="rId31"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9"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0"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7" Target="https://doi.org/10.5281/zenodo.20401417" TargetMode="External" /><Relationship Type="http://schemas.openxmlformats.org/officeDocument/2006/relationships/hyperlink" Id="rId85" Target="https://doi.org/10.5281/zenodo.21688150" TargetMode="External" /><Relationship Type="http://schemas.openxmlformats.org/officeDocument/2006/relationships/hyperlink" Id="rId84" Target="https://doi.org/10.5281/zenodo.21688151" TargetMode="External" /><Relationship Type="http://schemas.openxmlformats.org/officeDocument/2006/relationships/hyperlink" Id="rId80" Target="https://doi.org/10.64898/2026.02.11.705358" TargetMode="External" /><Relationship Type="http://schemas.openxmlformats.org/officeDocument/2006/relationships/hyperlink" Id="rId30"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3" Target="https://github.com/iandriver/actinn-jax" TargetMode="External" /><Relationship Type="http://schemas.openxmlformats.org/officeDocument/2006/relationships/hyperlink" Id="rId26" Target="https://github.com/iandriver/actinn-jax-benchmark/blob/main/benchmark/adapters/panhuman_adapter.py" TargetMode="External" /><Relationship Type="http://schemas.openxmlformats.org/officeDocument/2006/relationships/hyperlink" Id="rId65" Target="https://github.com/iandriver/actinn-jax-benchmark/blob/main/docs/results_hierarchy_ablation.csv" TargetMode="External" /><Relationship Type="http://schemas.openxmlformats.org/officeDocument/2006/relationships/hyperlink" Id="rId71" Target="https://github.com/iandriver/actinn-jax-benchmark/blob/main/docs/results_openproblems_samehw_v2.csv"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9" Target="https://openproblems.bio/benchmarks/label_projection" TargetMode="External" /><Relationship Type="http://schemas.openxmlformats.org/officeDocument/2006/relationships/hyperlink" Id="rId32"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6"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8" Target="https://doi.org/10.1038/s41586-020-2922-4" TargetMode="External" /><Relationship Type="http://schemas.openxmlformats.org/officeDocument/2006/relationships/hyperlink" Id="rId31"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9"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0"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7" Target="https://doi.org/10.5281/zenodo.20401417" TargetMode="External" /><Relationship Type="http://schemas.openxmlformats.org/officeDocument/2006/relationships/hyperlink" Id="rId85" Target="https://doi.org/10.5281/zenodo.21688150" TargetMode="External" /><Relationship Type="http://schemas.openxmlformats.org/officeDocument/2006/relationships/hyperlink" Id="rId84" Target="https://doi.org/10.5281/zenodo.21688151" TargetMode="External" /><Relationship Type="http://schemas.openxmlformats.org/officeDocument/2006/relationships/hyperlink" Id="rId80" Target="https://doi.org/10.64898/2026.02.11.705358" TargetMode="External" /><Relationship Type="http://schemas.openxmlformats.org/officeDocument/2006/relationships/hyperlink" Id="rId30"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3" Target="https://github.com/iandriver/actinn-jax" TargetMode="External" /><Relationship Type="http://schemas.openxmlformats.org/officeDocument/2006/relationships/hyperlink" Id="rId26" Target="https://github.com/iandriver/actinn-jax-benchmark/blob/main/benchmark/adapters/panhuman_adapter.py" TargetMode="External" /><Relationship Type="http://schemas.openxmlformats.org/officeDocument/2006/relationships/hyperlink" Id="rId65" Target="https://github.com/iandriver/actinn-jax-benchmark/blob/main/docs/results_hierarchy_ablation.csv" TargetMode="External" /><Relationship Type="http://schemas.openxmlformats.org/officeDocument/2006/relationships/hyperlink" Id="rId71" Target="https://github.com/iandriver/actinn-jax-benchmark/blob/main/docs/results_openproblems_samehw_v2.csv"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9" Target="https://openproblems.bio/benchmarks/label_projection" TargetMode="External" /><Relationship Type="http://schemas.openxmlformats.org/officeDocument/2006/relationships/hyperlink" Id="rId32"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2026-08-04T18:32:48Z</dcterms:created>
  <dcterms:modified xsi:type="dcterms:W3CDTF">2026-08-04T18:32:48Z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