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p≥0.5: acc / cov / OOD</w:t>
            </w:r>
          </w:p>
        </w:tc>
        <w:tc>
          <w:tcPr/>
          <w:p>
            <w:pPr>
              <w:pStyle w:val="Compact"/>
            </w:pPr>
            <w:r>
              <w:t xml:space="preserve">p≥0.7</w:t>
            </w:r>
          </w:p>
        </w:tc>
        <w:tc>
          <w:tcPr/>
          <w:p>
            <w:pPr>
              <w:pStyle w:val="Compact"/>
            </w:pPr>
            <w:r>
              <w:t xml:space="preserve">p≥0.9</w:t>
            </w:r>
          </w:p>
        </w:tc>
      </w:tr>
      <w:tr>
        <w:tc>
          <w:tcPr/>
          <w:p>
            <w:pPr>
              <w:pStyle w:val="Compact"/>
            </w:pPr>
            <w:r>
              <w:rPr>
                <w:b/>
                <w:bCs/>
              </w:rPr>
              <w:t xml:space="preserve">actinn-jax</w:t>
            </w:r>
          </w:p>
        </w:tc>
        <w:tc>
          <w:tcPr/>
          <w:p>
            <w:pPr>
              <w:pStyle w:val="Compact"/>
            </w:pPr>
            <w:r>
              <w:t xml:space="preserve">0.919 / 0.93 / 0.30</w:t>
            </w:r>
          </w:p>
        </w:tc>
        <w:tc>
          <w:tcPr/>
          <w:p>
            <w:pPr>
              <w:pStyle w:val="Compact"/>
            </w:pPr>
            <w:r>
              <w:t xml:space="preserve">0.946 / 0.84 / 0.52</w:t>
            </w:r>
          </w:p>
        </w:tc>
        <w:tc>
          <w:tcPr/>
          <w:p>
            <w:pPr>
              <w:pStyle w:val="Compact"/>
            </w:pPr>
            <w:r>
              <w:t xml:space="preserve">0.969 / 0.66 / 0.73</w:t>
            </w:r>
          </w:p>
        </w:tc>
      </w:tr>
      <w:tr>
        <w:tc>
          <w:tcPr/>
          <w:p>
            <w:pPr>
              <w:pStyle w:val="Compact"/>
            </w:pPr>
            <w:r>
              <w:t xml:space="preserve">scArches</w:t>
            </w:r>
          </w:p>
        </w:tc>
        <w:tc>
          <w:tcPr/>
          <w:p>
            <w:pPr>
              <w:pStyle w:val="Compact"/>
            </w:pPr>
            <w:r>
              <w:t xml:space="preserve">0.902 / 0.94 / 0.20</w:t>
            </w:r>
          </w:p>
        </w:tc>
        <w:tc>
          <w:tcPr/>
          <w:p>
            <w:pPr>
              <w:pStyle w:val="Compact"/>
            </w:pPr>
            <w:r>
              <w:t xml:space="preserve">0.941 / 0.82 / 0.44</w:t>
            </w:r>
          </w:p>
        </w:tc>
        <w:tc>
          <w:tcPr/>
          <w:p>
            <w:pPr>
              <w:pStyle w:val="Compact"/>
            </w:pPr>
            <w:r>
              <w:t xml:space="preserve">0.983 / 0.61 / 0.71</w:t>
            </w:r>
          </w:p>
        </w:tc>
      </w:tr>
      <w:tr>
        <w:tc>
          <w:tcPr/>
          <w:p>
            <w:pPr>
              <w:pStyle w:val="Compact"/>
            </w:pPr>
            <w:r>
              <w:t xml:space="preserve">scANVI</w:t>
            </w:r>
          </w:p>
        </w:tc>
        <w:tc>
          <w:tcPr/>
          <w:p>
            <w:pPr>
              <w:pStyle w:val="Compact"/>
            </w:pPr>
            <w:r>
              <w:t xml:space="preserve">0.893 / 0.96 / 0.13</w:t>
            </w:r>
          </w:p>
        </w:tc>
        <w:tc>
          <w:tcPr/>
          <w:p>
            <w:pPr>
              <w:pStyle w:val="Compact"/>
            </w:pPr>
            <w:r>
              <w:t xml:space="preserve">0.929 / 0.88 / 0.34</w:t>
            </w:r>
          </w:p>
        </w:tc>
        <w:tc>
          <w:tcPr/>
          <w:p>
            <w:pPr>
              <w:pStyle w:val="Compact"/>
            </w:pPr>
            <w:r>
              <w:t xml:space="preserve">0.965 / 0.74 / 0.60</w:t>
            </w:r>
          </w:p>
        </w:tc>
      </w:tr>
      <w:tr>
        <w:tc>
          <w:tcPr/>
          <w:p>
            <w:pPr>
              <w:pStyle w:val="Compact"/>
            </w:pPr>
            <w:r>
              <w:t xml:space="preserve">linear-anova-pca</w:t>
            </w:r>
          </w:p>
        </w:tc>
        <w:tc>
          <w:tcPr/>
          <w:p>
            <w:pPr>
              <w:pStyle w:val="Compact"/>
            </w:pPr>
            <w:r>
              <w:t xml:space="preserve">0.894 / 0.99 / 0.07</w:t>
            </w:r>
          </w:p>
        </w:tc>
        <w:tc>
          <w:tcPr/>
          <w:p>
            <w:pPr>
              <w:pStyle w:val="Compact"/>
            </w:pPr>
            <w:r>
              <w:t xml:space="preserve">0.916 / 0.93 / 0.25</w:t>
            </w:r>
          </w:p>
        </w:tc>
        <w:tc>
          <w:tcPr/>
          <w:p>
            <w:pPr>
              <w:pStyle w:val="Compact"/>
            </w:pPr>
            <w:r>
              <w:t xml:space="preserve">0.941 / 0.85 / 0.46</w:t>
            </w:r>
          </w:p>
        </w:tc>
      </w:tr>
      <w:tr>
        <w:tc>
          <w:tcPr/>
          <w:p>
            <w:pPr>
              <w:pStyle w:val="Compact"/>
            </w:pPr>
            <w:r>
              <w:t xml:space="preserve">kNN</w:t>
            </w:r>
          </w:p>
        </w:tc>
        <w:tc>
          <w:tcPr/>
          <w:p>
            <w:pPr>
              <w:pStyle w:val="Compact"/>
            </w:pPr>
            <w:r>
              <w:t xml:space="preserve">0.830 / 0.86 / 0.28</w:t>
            </w:r>
          </w:p>
        </w:tc>
        <w:tc>
          <w:tcPr/>
          <w:p>
            <w:pPr>
              <w:pStyle w:val="Compact"/>
            </w:pPr>
            <w:r>
              <w:t xml:space="preserve">0.921 / 0.61 / 0.63</w:t>
            </w:r>
          </w:p>
        </w:tc>
        <w:tc>
          <w:tcPr/>
          <w:p>
            <w:pPr>
              <w:pStyle w:val="Compact"/>
            </w:pPr>
            <w:r>
              <w:t xml:space="preserve">0.988 / 0.36 / 0.83</w:t>
            </w:r>
          </w:p>
        </w:tc>
      </w:tr>
      <w:tr>
        <w:tc>
          <w:tcPr/>
          <w:p>
            <w:pPr>
              <w:pStyle w:val="Compact"/>
            </w:pPr>
            <w:r>
              <w:t xml:space="preserve">CellTypist</w:t>
            </w:r>
          </w:p>
        </w:tc>
        <w:tc>
          <w:tcPr/>
          <w:p>
            <w:pPr>
              <w:pStyle w:val="Compact"/>
            </w:pPr>
            <w:r>
              <w:t xml:space="preserve">0.936 / 0.68 / 0.68</w:t>
            </w:r>
          </w:p>
        </w:tc>
        <w:tc>
          <w:tcPr/>
          <w:p>
            <w:pPr>
              <w:pStyle w:val="Compact"/>
            </w:pPr>
            <w:r>
              <w:t xml:space="preserve">0.936 / 0.68 / 0.68</w:t>
            </w:r>
          </w:p>
        </w:tc>
        <w:tc>
          <w:tcPr/>
          <w:p>
            <w:pPr>
              <w:pStyle w:val="Compact"/>
            </w:pPr>
            <w:r>
              <w:t xml:space="preserve">0.937 / 0.68 / 0.68</w:t>
            </w:r>
          </w:p>
        </w:tc>
      </w:tr>
      <w:tr>
        <w:tc>
          <w:tcPr/>
          <w:p>
            <w:pPr>
              <w:pStyle w:val="Compact"/>
            </w:pPr>
            <w:r>
              <w:t xml:space="preserve">ProtoCloud</w:t>
            </w:r>
          </w:p>
        </w:tc>
        <w:tc>
          <w:tcPr/>
          <w:p>
            <w:pPr>
              <w:pStyle w:val="Compact"/>
            </w:pPr>
            <w:r>
              <w:t xml:space="preserve">0.719 / 1.00 / 0.00</w:t>
            </w:r>
          </w:p>
        </w:tc>
        <w:tc>
          <w:tcPr/>
          <w:p>
            <w:pPr>
              <w:pStyle w:val="Compact"/>
            </w:pPr>
            <w:r>
              <w:t xml:space="preserve">0.719 / 0.97 / 0.02</w:t>
            </w:r>
          </w:p>
        </w:tc>
        <w:tc>
          <w:tcPr/>
          <w:p>
            <w:pPr>
              <w:pStyle w:val="Compact"/>
            </w:pPr>
            <w:r>
              <w:t xml:space="preserve">0.750 / 0.61 / 0.47</w:t>
            </w:r>
          </w:p>
        </w:tc>
      </w:tr>
      <w:tr>
        <w:tc>
          <w:tcPr/>
          <w:p>
            <w:pPr>
              <w:pStyle w:val="Compact"/>
            </w:pPr>
            <w:r>
              <w:t xml:space="preserve">scTOP</w:t>
            </w:r>
          </w:p>
        </w:tc>
        <w:tc>
          <w:tcPr/>
          <w:p>
            <w:pPr>
              <w:pStyle w:val="Compact"/>
            </w:pPr>
            <w:r>
              <w:t xml:space="preserve">0.971 / 0.06 / 0.98</w:t>
            </w:r>
          </w:p>
        </w:tc>
        <w:tc>
          <w:tcPr/>
          <w:p>
            <w:pPr>
              <w:pStyle w:val="Compact"/>
            </w:pPr>
            <w:r>
              <w:t xml:space="preserve">1.000 / 0.00 / 1.00</w:t>
            </w:r>
          </w:p>
        </w:tc>
        <w:tc>
          <w:tcPr/>
          <w:p>
            <w:pPr>
              <w:pStyle w:val="Compact"/>
            </w:pPr>
            <w:r>
              <w:t xml:space="preserve">1.000 / 0.00 / 1.00</w:t>
            </w:r>
          </w:p>
        </w:tc>
      </w:tr>
    </w:tbl>
    <w:p>
      <w:pPr>
        <w:pStyle w:val="BodyText"/>
      </w:pPr>
      <w:r>
        <w:rPr>
          <w:b/>
          <w:bCs/>
        </w:rPr>
        <w:t xml:space="preserve">Table 8.</w:t>
      </w:r>
      <w:r>
        <w:t xml:space="preserve"> </w:t>
      </w:r>
      <w:r>
        <w:t xml:space="preserve">Confidence-threshold sweep with 9 of 36 cell types held out of the liver</w:t>
      </w:r>
      <w:r>
        <w:t xml:space="preserve"> </w:t>
      </w:r>
      <w:r>
        <w:t xml:space="preserve">reference, so 1,350 query cells are out-of-distribution. Each cell reads accuracy on kept</w:t>
      </w:r>
      <w:r>
        <w:t xml:space="preserve"> </w:t>
      </w:r>
      <w:r>
        <w:t xml:space="preserve">cells / fraction of cells kept / fraction of held-out-type cells flagged. The full five-point</w:t>
      </w:r>
      <w:r>
        <w:t xml:space="preserve"> </w:t>
      </w:r>
      <w:r>
        <w:t xml:space="preserve">sweep is in Figure 6 and in the result tables.</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0.67 s of predict time against scArches’s 21.4 s and scANVI’s 89.2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 for the eight methods</w:t>
      </w:r>
      <w:r>
        <w:t xml:space="preserve"> </w:t>
      </w:r>
      <w:r>
        <w:t xml:space="preserve">that return a per-cell confidence.</w:t>
      </w:r>
      <w:r>
        <w:t xml:space="preserve"> </w:t>
      </w:r>
      <w:r>
        <w:rPr>
          <w:i/>
          <w:iCs/>
        </w:rPr>
        <w:t xml:space="preserve">Left:</w:t>
      </w:r>
      <w:r>
        <w:t xml:space="preserve"> </w:t>
      </w:r>
      <w:r>
        <w:t xml:space="preserve">accuracy on kept cells against the fraction kept.</w:t>
      </w:r>
      <w:r>
        <w:t xml:space="preserve"> </w:t>
      </w:r>
      <w:r>
        <w:rPr>
          <w:i/>
          <w:iCs/>
        </w:rPr>
        <w:t xml:space="preserve">Right:</w:t>
      </w:r>
      <w:r>
        <w:t xml:space="preserve"> </w:t>
      </w:r>
      <w:r>
        <w:t xml:space="preserve">the share of held-out-type cells flagged as the threshold rises. A usable mechanism</w:t>
      </w:r>
      <w:r>
        <w:t xml:space="preserve"> </w:t>
      </w:r>
      <w:r>
        <w:t xml:space="preserve">moves along both axes; CellTypist’s saturated probabilities collapse four thresholds onto one</w:t>
      </w:r>
      <w:r>
        <w:t xml:space="preserve"> </w:t>
      </w:r>
      <w:r>
        <w:t xml:space="preserve">operating point, and scTOP’s projection score discards the query rather than ranking it.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9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84">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8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0"/>
    <w:bookmarkStart w:id="9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2026-08-13T15:28:38Z</dcterms:created>
  <dcterms:modified xsi:type="dcterms:W3CDTF">2026-08-13T15:28:38Z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