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  <Override PartName="/word/media/rId27.png" ContentType="image/png"/>
  <Override PartName="/word/media/rId19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actinn-jax: a fast, low-memory, CPU-first classifier for reference-based single-cell type annotation, with a large-to-refined workflow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Reference-based cell-type annotation is a routine, high-volume step in single-cell analysis, and most labs run it on a laptop, not a GPU cluster. We present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from-scratch JAX reimplementation of ACTINN (a 4-layer MLP classifier) with a sparse-aware pipeline and a train-once/map-many cached reference model, and benchmark it neutrally against</w:t>
      </w:r>
      <w:r>
        <w:t xml:space="preserve"> </w:t>
      </w:r>
      <w:r>
        <w:rPr>
          <w:b/>
          <w:bCs/>
        </w:rPr>
        <w:t xml:space="preserve">nine</w:t>
      </w:r>
      <w:r>
        <w:t xml:space="preserve"> </w:t>
      </w:r>
      <w:r>
        <w:t xml:space="preserve">other methods spanning every major method class — classical (SVM, kNN), regularized-linear (CellTypist), marker/correlation (SingleR, scmap), the original TensorFlow ACTINN, deep probabilistic (scANVI, scArches), and a foundation model (scPRINT) — across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datasets (within-dataset, cross-dataset, and cross-study; 8 to 86 cell types) on commodity Apple-Silicon hardware. We measure accuracy, macro-F1, ontology-aware concordance, training time, inference time, and peak memory.</w:t>
      </w:r>
      <w:r>
        <w:t xml:space="preserve"> </w:t>
      </w:r>
      <w:r>
        <w:rPr>
          <w:b/>
          <w:bCs/>
        </w:rPr>
        <w:t xml:space="preserve">Across the five datasets that share a label vocabulary between reference and query, actinn-jax ties the most accurate methods (mean accuracy 0.831, vs. scANVI 0.835 and scArches 0.833 — a five-way top cluster within 0.004) while predicting ~195× faster than scANVI (0.37 s vs. 73 s per query) and using 3.6× less memory than its own TensorFlow predecessor; no benchmarked method dominates it on both accuracy and speed.</w:t>
      </w:r>
      <w:r>
        <w:t xml:space="preserve"> </w:t>
      </w:r>
      <w:r>
        <w:t xml:space="preserve">(The sixth dataset, cross-dataset lung, is a label-vocabulary mismatch — see §3.1 — where every method scores ~0.35 by exact match but ~0.75 by ontology-aware concordance.) The central finding is that actinn-jax is</w:t>
      </w:r>
      <w:r>
        <w:t xml:space="preserve"> </w:t>
      </w:r>
      <w:r>
        <w:rPr>
          <w:b/>
          <w:bCs/>
        </w:rPr>
        <w:t xml:space="preserve">Pareto-efficient</w:t>
      </w:r>
      <w:r>
        <w:t xml:space="preserve">: it matches the accuracy of the strongest methods while being in the fastest-inference, lightest cluster.</w:t>
      </w:r>
      <w:r>
        <w:t xml:space="preserve"> </w:t>
      </w:r>
      <w:r>
        <w:rPr>
          <w:b/>
          <w:bCs/>
        </w:rPr>
        <w:t xml:space="preserve">We are explicit that it is not the accuracy champion</w:t>
      </w:r>
      <w:r>
        <w:t xml:space="preserve"> </w:t>
      </w:r>
      <w:r>
        <w:t xml:space="preserve">— deep methods and boosted trees edge it by 1–2 points where they run, and a benchmark claiming otherwise would be wrong — but no benchmarked method dominates it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accuracy and cost, and its differentiators are practical: sub-second, memory-bounded inference and a</w:t>
      </w:r>
      <w:r>
        <w:t xml:space="preserve"> </w:t>
      </w:r>
      <w:r>
        <w:rPr>
          <w:b/>
          <w:bCs/>
        </w:rPr>
        <w:t xml:space="preserve">large→refined annotation workflow</w:t>
      </w:r>
      <w:r>
        <w:t xml:space="preserve"> </w:t>
      </w:r>
      <w:r>
        <w:t xml:space="preserve">that a census-scale broad model (~800 human cell types, with a calibrated abstain) hands off to a small focused model for the tissue at hand (e.g. a 48-type HLiCA liver reference that lifts held-out cross-study accuracy from 0.23/0.58 to 0.72/0.86, exact-CL/ontology), plus within-cell-type resolution (hepatocyte zonation).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the community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benchmark reproduces the picture: actinn-jax places 3rd of 17 on accuracy (1st among methods that complete every dataset), and a</w:t>
      </w:r>
      <w:r>
        <w:t xml:space="preserve"> </w:t>
      </w:r>
      <w:r>
        <w:rPr>
          <w:b/>
          <w:bCs/>
        </w:rPr>
        <w:t xml:space="preserve">controlled same-hardware</w:t>
      </w:r>
      <w:r>
        <w:t xml:space="preserve"> </w:t>
      </w:r>
      <w:r>
        <w:t xml:space="preserve">rerun shows it matching its 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 at ~2× the speed and beating xgboost’s accuracy at ~5.5× less runtime and ~4× less memory. We report where it loses (small references, very few cells per type, and fine-grained cross-domain targets) and what closes the remaining gaps cheaply (opt-in standardization; a reference-guided gene budget).</w:t>
      </w:r>
    </w:p>
    <w:p>
      <w:pPr>
        <w:pStyle w:val="FirstParagraph"/>
      </w:pPr>
      <w:r>
        <w:rPr>
          <w:b/>
          <w:bCs/>
        </w:rPr>
        <w:t xml:space="preserve">Ian Driver</w:t>
      </w:r>
      <w:r>
        <w:t xml:space="preserve">¹˒*</w:t>
      </w:r>
    </w:p>
    <w:p>
      <w:pPr>
        <w:pStyle w:val="BodyText"/>
      </w:pPr>
      <w:r>
        <w:rPr>
          <w:i/>
          <w:iCs/>
        </w:rPr>
        <w:t xml:space="preserve">¹ Affiliation to be confirmed.</w:t>
      </w:r>
      <w:r>
        <w:t xml:space="preserve"> </w:t>
      </w:r>
      <w:r>
        <w:t xml:space="preserve">· ** Correspondence: driver.ian@gmail.com*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 (survey),</w:t>
      </w:r>
      <w:r>
        <w:t xml:space="preserve"> </w:t>
      </w:r>
      <w:r>
        <w:t xml:space="preserve">but published comparisons ([Abdelaal 2019], [Huang 2024])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focused, practical question:</w:t>
      </w:r>
      <w:r>
        <w:t xml:space="preserve"> </w:t>
      </w:r>
      <w:r>
        <w:rPr>
          <w:b/>
          <w:bCs/>
        </w:rPr>
        <w:t xml:space="preserve">where does a small, CPU-first classifier land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accuracy × runtime × memory frontier</w:t>
      </w:r>
      <w:r>
        <w:t xml:space="preserve">, against the methods people actually use? We</w:t>
      </w:r>
      <w:r>
        <w:t xml:space="preserve"> </w:t>
      </w:r>
      <w:r>
        <w:t xml:space="preserve">answer it with actinn-jax, and we hold ourselves to a neutral standard — every method runs</w:t>
      </w:r>
      <w:r>
        <w:t xml:space="preserve"> </w:t>
      </w:r>
      <w:r>
        <w:t xml:space="preserve">in its own environment through the same harness, on the same splits, scored by the same</w:t>
      </w:r>
      <w:r>
        <w:t xml:space="preserve"> </w:t>
      </w:r>
      <w:r>
        <w:t xml:space="preserve">metrics, with the honest result reported even where actinn-jax loses.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1. 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  <w:r>
        <w:t xml:space="preserve"> </w:t>
      </w:r>
      <w:r>
        <w:t xml:space="preserve">2. A neutral 10-method × 6-dataset benchmark of accuracy, speed, and memory on Apple</w:t>
      </w:r>
      <w:r>
        <w:t xml:space="preserve"> </w:t>
      </w:r>
      <w:r>
        <w:t xml:space="preserve">Silicon, with scaling curves and a rejection/abstain analysis.</w:t>
      </w:r>
      <w:r>
        <w:t xml:space="preserve"> </w:t>
      </w:r>
      <w:r>
        <w:t xml:space="preserve">3. A</w:t>
      </w:r>
      <w:r>
        <w:t xml:space="preserve"> </w:t>
      </w:r>
      <w:r>
        <w:rPr>
          <w:b/>
          <w:bCs/>
        </w:rPr>
        <w:t xml:space="preserve">large→refined annotation workflow</w:t>
      </w:r>
      <w:r>
        <w:t xml:space="preserve">: a shipped census-wide ~800-type human reference</w:t>
      </w:r>
      <w:r>
        <w:t xml:space="preserve"> </w:t>
      </w:r>
      <w:r>
        <w:t xml:space="preserve">(with a calibrated abstain) provides a broad first pass, then hands off to a small focused</w:t>
      </w:r>
      <w:r>
        <w:t xml:space="preserve"> </w:t>
      </w:r>
      <w:r>
        <w:t xml:space="preserve">reference for the tissue of interest — the refinement recovers large accuracy on</w:t>
      </w:r>
      <w:r>
        <w:t xml:space="preserve"> </w:t>
      </w:r>
      <w:r>
        <w:t xml:space="preserve">cross-study data where the broad model is weak — plus within-cell-type resolution</w:t>
      </w:r>
      <w:r>
        <w:t xml:space="preserve"> </w:t>
      </w:r>
      <w:r>
        <w:t xml:space="preserve">(hepatocyte zonation) and a foundation-model-guided coarse→fine hierarchy.</w:t>
      </w:r>
      <w:r>
        <w:t xml:space="preserve"> </w:t>
      </w:r>
      <w:r>
        <w:t xml:space="preserve">4. 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small set of cheap, honest</w:t>
      </w:r>
      <w:r>
        <w:t xml:space="preserve"> </w:t>
      </w:r>
      <w:r>
        <w:t xml:space="preserve">ablations that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</w:t>
      </w:r>
      <w:r>
        <w:t xml:space="preserve"> </w:t>
      </w:r>
      <w:r>
        <w:t xml:space="preserve">(input standardization; a reference-guided gene budget; a foundation-model negative</w:t>
      </w:r>
      <w:r>
        <w:t xml:space="preserve"> </w:t>
      </w:r>
      <w:r>
        <w:t xml:space="preserve">control).</w:t>
      </w:r>
    </w:p>
    <w:bookmarkEnd w:id="9"/>
    <w:bookmarkStart w:id="14" w:name="methods"/>
    <w:p>
      <w:pPr>
        <w:pStyle w:val="Heading1"/>
      </w:pPr>
      <w:r>
        <w:t xml:space="preserve">Methods</w:t>
      </w:r>
    </w:p>
    <w:bookmarkStart w:id="10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([Ma &amp; Pellegrini 2020]) — a 4-layer fully-connected</w:t>
      </w:r>
      <w:r>
        <w:t xml:space="preserve"> </w:t>
      </w:r>
      <w:r>
        <w:t xml:space="preserve">network (100/50/25 hidden units, ReLU, softmax) trained with Adam — in JAX/optax, replacing</w:t>
      </w:r>
      <w:r>
        <w:t xml:space="preserve"> </w:t>
      </w:r>
      <w:r>
        <w:t xml:space="preserve">the original’s TensorFlow-1.x graph/session code. Key engineering: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Sparse-aware preprocessing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adata.to_df</w:t>
      </w:r>
      <w:r>
        <w:t xml:space="preserve"> </w:t>
      </w:r>
      <w:r>
        <w:t xml:space="preserve">densification; CP10k+log2</w:t>
      </w:r>
      <w:r>
        <w:t xml:space="preserve"> </w:t>
      </w:r>
      <w:r>
        <w:t xml:space="preserve">normalization and the expr/CV gene filter run on sparse matrices; only the selected-gene</w:t>
      </w:r>
      <w:r>
        <w:t xml:space="preserve"> </w:t>
      </w:r>
      <w:r>
        <w:t xml:space="preserve">columns of each minibatch are densified.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Cached reference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ReferenceModel</w:t>
      </w:r>
      <w:r>
        <w:t xml:space="preserve">): train once,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, map many</w:t>
      </w:r>
      <w:r>
        <w:t xml:space="preserve"> </w:t>
      </w:r>
      <w:r>
        <w:t xml:space="preserve">queries — the amortized cost of repeated annotation against a fixed reference drops to</w:t>
      </w:r>
      <w:r>
        <w:t xml:space="preserve"> </w:t>
      </w:r>
      <w:r>
        <w:t xml:space="preserve">the inference cost alone.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queries;</w:t>
      </w:r>
      <w:r>
        <w:t xml:space="preserve"> </w:t>
      </w:r>
      <w:r>
        <w:rPr>
          <w:rStyle w:val="VerbatimChar"/>
          <w:b/>
          <w:bCs/>
        </w:rPr>
        <w:t xml:space="preserve">use_raw='auto'</w:t>
      </w:r>
      <w:r>
        <w:t xml:space="preserve"> </w:t>
      </w:r>
      <w:r>
        <w:t xml:space="preserve">to pick raw counts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(CELLxGENE convention).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reference-fit standardization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): z-score each selected</w:t>
      </w:r>
      <w:r>
        <w:t xml:space="preserve"> </w:t>
      </w:r>
      <w:r>
        <w:t xml:space="preserve">gene by the reference’s frozen mean/std and apply it to the query — a cheap domain</w:t>
      </w:r>
      <w:r>
        <w:t xml:space="preserve"> </w:t>
      </w:r>
      <w:r>
        <w:t xml:space="preserve">alignment (§3.9). Opt-in, with a saved scaler that projects with the model; μ/σ persist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.npz</w:t>
      </w:r>
      <w:r>
        <w:t xml:space="preserve"> </w:t>
      </w:r>
      <w:r>
        <w:t xml:space="preserve">(old models load standardization-off, backward-compatible).</w:t>
      </w:r>
      <w:r>
        <w:t xml:space="preserve"> </w:t>
      </w:r>
      <w:r>
        <w:t xml:space="preserve">Measured against the original TF ACTINN it is</w:t>
      </w:r>
      <w:r>
        <w:t xml:space="preserve"> </w:t>
      </w:r>
      <w:r>
        <w:rPr>
          <w:b/>
          <w:bCs/>
        </w:rPr>
        <w:t xml:space="preserve">~3.3× faster and ~3.5× lighter</w:t>
      </w:r>
      <w:r>
        <w:t xml:space="preserve"> </w:t>
      </w:r>
      <w:r>
        <w:t xml:space="preserve">at equal</w:t>
      </w:r>
      <w:r>
        <w:t xml:space="preserve"> </w:t>
      </w:r>
      <w:r>
        <w:t xml:space="preserve">accuracy; that comparison is included</w:t>
      </w:r>
      <w:r>
        <w:t xml:space="preserve"> </w:t>
      </w:r>
      <w:r>
        <w:t xml:space="preserve">directly in this benchmark as 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method.</w:t>
      </w:r>
    </w:p>
    <w:bookmarkEnd w:id="10"/>
    <w:bookmarkStart w:id="11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abstain (min_prob)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TensorFlow 2.15 MLP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R/.Rlib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.venv-scvi (MPS)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.venv-scprint (MPS)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scPred excluded</w:t>
      </w:r>
      <w:r>
        <w:t xml:space="preserve">: unmaintained; requires harmony’s removed</w:t>
      </w:r>
      <w:r>
        <w:t xml:space="preserve"> </w:t>
      </w:r>
      <w:r>
        <w:rPr>
          <w:rStyle w:val="VerbatimChar"/>
        </w:rPr>
        <w:t xml:space="preserve">HarmonyMatrix</w:t>
      </w:r>
      <w:r>
        <w:t xml:space="preserve"> </w:t>
      </w:r>
      <w:r>
        <w:t xml:space="preserve">API and</w:t>
      </w:r>
      <w:r>
        <w:t xml:space="preserve"> </w:t>
      </w:r>
      <w:r>
        <w:t xml:space="preserve">older harmony versions do not compile on the current toolchain. Documented, not silently</w:t>
      </w:r>
      <w:r>
        <w:t xml:space="preserve"> </w:t>
      </w:r>
      <w:r>
        <w:t xml:space="preserve">dropped.</w:t>
      </w:r>
    </w:p>
    <w:bookmarkEnd w:id="11"/>
    <w:bookmarkStart w:id="1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(HCLA→Krasnow)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blood+gut (Sanger)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an order of magnitude in cell-type count (8→86), and both gene-ID conventions.</w:t>
      </w:r>
    </w:p>
    <w:bookmarkEnd w:id="12"/>
    <w:bookmarkStart w:id="13" w:name="metrics-protocol"/>
    <w:p>
      <w:pPr>
        <w:pStyle w:val="Heading2"/>
      </w:pPr>
      <w:r>
        <w:t xml:space="preserve">Metrics &amp; protocol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(unweighted over classes, so</w:t>
      </w:r>
      <w:r>
        <w:t xml:space="preserve"> </w:t>
      </w:r>
      <w:r>
        <w:t xml:space="preserve">rare types count),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 </w:t>
      </w:r>
      <w:r>
        <w:t xml:space="preserve">(a call is correct if it is the same</w:t>
      </w:r>
      <w:r>
        <w:t xml:space="preserve"> </w:t>
      </w:r>
      <w:r>
        <w:t xml:space="preserve">node, an ancestor, or a descendant of the truth in the Cell Ontology — credits</w:t>
      </w:r>
      <w:r>
        <w:t xml:space="preserve"> </w:t>
      </w:r>
      <w:r>
        <w:t xml:space="preserve">right-lineage-wrong-granularity calls; only where both ref and query carry CL ids),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 time</w:t>
      </w:r>
      <w:r>
        <w:t xml:space="preserve">,</w:t>
      </w:r>
      <w:r>
        <w:t xml:space="preserve"> </w:t>
      </w:r>
      <w:r>
        <w:rPr>
          <w:b/>
          <w:bCs/>
        </w:rPr>
        <w:t xml:space="preserve">peak RSS</w:t>
      </w:r>
      <w:r>
        <w:t xml:space="preserve">. Each method runs in its own venv via</w:t>
      </w:r>
      <w:r>
        <w:t xml:space="preserve"> </w:t>
      </w:r>
      <w:r>
        <w:t xml:space="preserve">subprocess isolation (</w:t>
      </w:r>
      <w:r>
        <w:rPr>
          <w:rStyle w:val="VerbatimChar"/>
        </w:rPr>
        <w:t xml:space="preserve">benchmark/runner.py</w:t>
      </w:r>
      <w:r>
        <w:t xml:space="preserve">); the driver (</w:t>
      </w:r>
      <w:r>
        <w:rPr>
          <w:rStyle w:val="VerbatimChar"/>
        </w:rPr>
        <w:t xml:space="preserve">benchmark/driver.py</w:t>
      </w:r>
      <w:r>
        <w:t xml:space="preserve">) builds</w:t>
      </w:r>
      <w:r>
        <w:t xml:space="preserve"> </w:t>
      </w:r>
      <w:r>
        <w:t xml:space="preserve">identical ref/query splits once per dataset and scores every method against them.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 </w:t>
      </w:r>
      <w:r>
        <w:t xml:space="preserve">(scPRINT: 1, near-deterministic and embed-dominated).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classical/linear/correlation tiers and</w:t>
      </w:r>
      <w:r>
        <w:t xml:space="preserve"> </w:t>
      </w:r>
      <w:r>
        <w:t xml:space="preserve">actinn-jax; Apple MPS for the deep and foundation tiers. No discrete GPU, no cloud — the</w:t>
      </w:r>
      <w:r>
        <w:t xml:space="preserve"> </w:t>
      </w:r>
      <w:r>
        <w:t xml:space="preserve">regime the benchmark is about. Math-library threads are left uncapped (wall-clock as a</w:t>
      </w:r>
      <w:r>
        <w:t xml:space="preserve"> </w:t>
      </w:r>
      <w:r>
        <w:t xml:space="preserve">practitioner sees it); an optional thread cap is available for stricter reproducibility.</w:t>
      </w:r>
    </w:p>
    <w:bookmarkEnd w:id="13"/>
    <w:bookmarkEnd w:id="14"/>
    <w:bookmarkStart w:id="43" w:name="results"/>
    <w:p>
      <w:pPr>
        <w:pStyle w:val="Heading1"/>
      </w:pPr>
      <w:r>
        <w:t xml:space="preserve">Results</w:t>
      </w:r>
    </w:p>
    <w:bookmarkStart w:id="18" w:name="accuracy-across-datasets"/>
    <w:p>
      <w:pPr>
        <w:pStyle w:val="Heading2"/>
      </w:pPr>
      <w:r>
        <w:t xml:space="preserve">Accuracy across datasets</w:t>
      </w:r>
    </w:p>
    <w:p>
      <w:pPr>
        <w:pStyle w:val="CaptionedFigure"/>
      </w:pPr>
      <w:r>
        <w:drawing>
          <wp:inline>
            <wp:extent cx="5334000" cy="3589421"/>
            <wp:effectExtent b="0" l="0" r="0" t="0"/>
            <wp:docPr descr="Accuracy by method (rows) and dataset (columns), in-house panel.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ccuracy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by method (rows) and dataset (columns), in-house panel.</w:t>
      </w:r>
    </w:p>
    <w:p>
      <w:pPr>
        <w:pStyle w:val="BodyText"/>
      </w:pPr>
      <w:r>
        <w:t xml:space="preserve">Mean accuracy across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 excluded — its</w:t>
      </w:r>
      <w:r>
        <w:t xml:space="preserve"> </w:t>
      </w:r>
      <w:r>
        <w:t xml:space="preserve">exact accuracy is a vocabulary artifact, see the † note below; means over all six are ~0.08</w:t>
      </w:r>
      <w:r>
        <w:t xml:space="preserve"> </w:t>
      </w:r>
      <w:r>
        <w:t xml:space="preserve">lower for every method with the identical ranking):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mean acc (5 datasets)</w:t>
            </w:r>
          </w:p>
        </w:tc>
        <w:tc>
          <w:tcPr/>
          <w:p>
            <w:pPr>
              <w:pStyle w:val="Compact"/>
            </w:pPr>
            <w:r>
              <w:t xml:space="preserve">mean macro-F1 (6)</w:t>
            </w:r>
          </w:p>
        </w:tc>
        <w:tc>
          <w:tcPr/>
          <w:p>
            <w:pPr>
              <w:pStyle w:val="Compact"/>
            </w:pPr>
            <w:r>
              <w:t xml:space="preserve">mean ontology (6)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0.816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0.652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  <w:tc>
          <w:tcPr/>
          <w:p>
            <w:pPr>
              <w:pStyle w:val="Compac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</w:tbl>
    <w:p>
      <w:pPr>
        <w:pStyle w:val="BodyText"/>
      </w:pPr>
      <w:r>
        <w:t xml:space="preserve">The top five methods (scANVI, original ACTINN, scArches, actinn-jax, CellTypist) are a</w:t>
      </w:r>
      <w:r>
        <w:t xml:space="preserve"> </w:t>
      </w:r>
      <w:r>
        <w:t xml:space="preserve">statistical tie on accuracy — spread of 0.004 — and actinn-jax is joint-top on</w:t>
      </w:r>
      <w:r>
        <w:t xml:space="preserve"> </w:t>
      </w:r>
      <w:r>
        <w:t xml:space="preserve">ontology-aware concordance (0.811).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scANVI 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</w:t>
            </w:r>
            <w:r>
              <w:t xml:space="preserve"> </w:t>
            </w:r>
            <w:r>
              <w:rPr>
                <w:b/>
                <w:bCs/>
              </w:rPr>
              <w:t xml:space="preserve">0.749 ontology</w:t>
            </w:r>
          </w:p>
        </w:tc>
        <w:tc>
          <w:tcPr/>
          <w:p>
            <w:pPr>
              <w:pStyle w:val="Compact"/>
            </w:pPr>
            <w:r>
              <w:t xml:space="preserve">scANVI 0.360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scANVI 0.802 (</w:t>
            </w:r>
            <w:r>
              <w:rPr>
                <w:b/>
                <w:bCs/>
              </w:rPr>
              <w:t xml:space="preserve">tied #1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original ACTINN 0.695 (actinn-jax #2, top cluster)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scANVI 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0.934</w:t>
            </w:r>
          </w:p>
        </w:tc>
      </w:tr>
    </w:tbl>
    <w:p>
      <w:pPr>
        <w:pStyle w:val="BodyText"/>
      </w:pPr>
      <w:r>
        <w:t xml:space="preserve">actinn-jax is tied-#1 on the richer within-dataset liver data and in the top cluster on</w:t>
      </w:r>
      <w:r>
        <w:t xml:space="preserve"> </w:t>
      </w:r>
      <w:r>
        <w:t xml:space="preserve">the hard cross-study split; it trails the deep methods by 1–2 points on the high-</w:t>
      </w:r>
      <w:r>
        <w:t xml:space="preserve"> </w:t>
      </w:r>
      <w:r>
        <w:t xml:space="preserve">cardinality and small-n sets. scmap-cluster is consistently the weakest (0.24 macro-F1 on</w:t>
      </w:r>
      <w:r>
        <w:t xml:space="preserve"> </w:t>
      </w:r>
      <w:r>
        <w:t xml:space="preserve">liver_cross).</w:t>
      </w:r>
    </w:p>
    <w:p>
      <w:pPr>
        <w:pStyle w:val="BodyText"/>
      </w:pPr>
      <w:r>
        <w:rPr>
          <w:b/>
          <w:bCs/>
        </w:rPr>
        <w:t xml:space="preserve">† lung_cross exact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HCLA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HCLA’s</w:t>
      </w:r>
      <w:r>
        <w:t xml:space="preserve"> </w:t>
      </w:r>
      <w:r>
        <w:t xml:space="preserve">vocabulary, so no classifier can emit the exact string. The mismatch is granularity: HCLA’s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HCLA-trained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HCLA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0.75–0.77 for every method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18"/>
    <w:bookmarkStart w:id="22" w:name="speed-and-memory"/>
    <w:p>
      <w:pPr>
        <w:pStyle w:val="Heading2"/>
      </w:pPr>
      <w:r>
        <w:t xml:space="preserve">Speed and memory</w:t>
      </w:r>
    </w:p>
    <w:p>
      <w:pPr>
        <w:pStyle w:val="CaptionedFigure"/>
      </w:pPr>
      <w:r>
        <w:drawing>
          <wp:inline>
            <wp:extent cx="5334000" cy="1640094"/>
            <wp:effectExtent b="0" l="0" r="0" t="0"/>
            <wp:docPr descr="Per-query inference time and peak memory by method (in-house panel)." title="" id="2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peed_memor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inference time and peak memory by method (in-house panel).</w:t>
      </w:r>
    </w:p>
    <w:p>
      <w:pPr>
        <w:pStyle w:val="BodyText"/>
      </w:pPr>
      <w:r>
        <w:t xml:space="preserve">The accuracy tie hides a two-order-of-magnitude spread in cost. Mean per query across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fit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2145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27.0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1661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47.7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42.4</w:t>
            </w:r>
          </w:p>
        </w:tc>
        <w:tc>
          <w:tcPr/>
          <w:p>
            <w:pPr>
              <w:pStyle w:val="Compact"/>
            </w:pPr>
            <w:r>
              <w:t xml:space="preserve">3621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</w:t>
            </w:r>
          </w:p>
        </w:tc>
        <w:tc>
          <w:tcPr/>
          <w:p>
            <w:pPr>
              <w:pStyle w:val="Compact"/>
            </w:pPr>
            <w:r>
              <w:t xml:space="preserve">0.1*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73.1</w:t>
            </w:r>
          </w:p>
        </w:tc>
        <w:tc>
          <w:tcPr/>
          <w:p>
            <w:pPr>
              <w:pStyle w:val="Compact"/>
            </w:pPr>
            <w:r>
              <w:t xml:space="preserve">2118</w:t>
            </w:r>
          </w:p>
        </w:tc>
      </w:tr>
    </w:tbl>
    <w:p>
      <w:pPr>
        <w:pStyle w:val="BodyText"/>
      </w:pPr>
      <w:r>
        <w:t xml:space="preserve">(*original ACTINN and scANVI do most work in a single train+predict pass, attributed to</w:t>
      </w:r>
      <w:r>
        <w:t xml:space="preserve"> </w:t>
      </w:r>
      <w:r>
        <w:t xml:space="preserve">predict.) The four fast methods — SVM, kNN, actinn-jax, CellTypist — predict in well under</w:t>
      </w:r>
      <w:r>
        <w:t xml:space="preserve"> </w:t>
      </w:r>
      <w:r>
        <w:t xml:space="preserve">a second; the deep/correlation/foundation tiers are 25–200× slower. actinn-jax predicts in</w:t>
      </w:r>
      <w:r>
        <w:t xml:space="preserve"> </w:t>
      </w:r>
      <w:r>
        <w:rPr>
          <w:b/>
          <w:bCs/>
        </w:rPr>
        <w:t xml:space="preserve">0.37 s vs. scANVI’s 73 s at statistically tied accuracy</w:t>
      </w:r>
      <w:r>
        <w:t xml:space="preserve"> </w:t>
      </w:r>
      <w:r>
        <w:t xml:space="preserve">(~195×), and is far lighter</w:t>
      </w:r>
      <w:r>
        <w:t xml:space="preserve"> </w:t>
      </w:r>
      <w:r>
        <w:t xml:space="preserve">than the memory-heavy tiers (original ACTINN 7.7 GB, scmap 8.5 GB). Of the methods that</w:t>
      </w:r>
      <w:r>
        <w:t xml:space="preserve"> </w:t>
      </w:r>
      <w:r>
        <w:t xml:space="preserve">match its accuracy, none matches its speed; of the methods that match its speed (SVM, kNN),</w:t>
      </w:r>
      <w:r>
        <w:t xml:space="preserve"> </w:t>
      </w:r>
      <w:r>
        <w:t xml:space="preserve">none matches its accuracy — i.e. actinn-jax is Pareto-non-dominated.</w:t>
      </w:r>
    </w:p>
    <w:bookmarkEnd w:id="22"/>
    <w:bookmarkStart w:id="26" w:name="the-accuracy-speed-frontier"/>
    <w:p>
      <w:pPr>
        <w:pStyle w:val="Heading2"/>
      </w:pPr>
      <w:r>
        <w:t xml:space="preserve">The accuracy × speed frontier</w:t>
      </w:r>
    </w:p>
    <w:p>
      <w:pPr>
        <w:pStyle w:val="CaptionedFigure"/>
      </w:pPr>
      <w:r>
        <w:drawing>
          <wp:inline>
            <wp:extent cx="5334000" cy="3671222"/>
            <wp:effectExtent b="0" l="0" r="0" t="0"/>
            <wp:docPr descr="Accuracy versus total wall time (liver_intra); actinn-jax sits on the fast frontier." title="" id="2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liver_intr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1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Accuracy versus total wall time (liver_intra); actinn-jax sits on the fast frontier.</w:t>
      </w:r>
    </w:p>
    <w:p>
      <w:pPr>
        <w:pStyle w:val="BodyText"/>
      </w:pPr>
      <w:r>
        <w:t xml:space="preserve">Plotting accuracy against total wall time makes the frontier explicit: actinn-jax, SVM,</w:t>
      </w:r>
      <w:r>
        <w:t xml:space="preserve"> </w:t>
      </w:r>
      <w:r>
        <w:t xml:space="preserve">kNN, and CellTypist form the efficient (fast) frontier, and among those actinn-jax has the</w:t>
      </w:r>
      <w:r>
        <w:t xml:space="preserve"> </w:t>
      </w:r>
      <w:r>
        <w:t xml:space="preserve">highest accuracy on the richer datasets. The deep methods buy ~0.4 accuracy points on</w:t>
      </w:r>
      <w:r>
        <w:t xml:space="preserve"> </w:t>
      </w:r>
      <w:r>
        <w:t xml:space="preserve">average (up to ~2 points on the 86-type blood+gut set, zero-to-negative on the liver and</w:t>
      </w:r>
      <w:r>
        <w:t xml:space="preserve"> </w:t>
      </w:r>
      <w:r>
        <w:t xml:space="preserve">cross-dataset sets) at 50–200× the inference cost — the trade the frontier is meant to</w:t>
      </w:r>
      <w:r>
        <w:t xml:space="preserve"> </w:t>
      </w:r>
      <w:r>
        <w:t xml:space="preserve">expose.</w:t>
      </w:r>
    </w:p>
    <w:bookmarkEnd w:id="26"/>
    <w:bookmarkStart w:id="30" w:name="scaling"/>
    <w:p>
      <w:pPr>
        <w:pStyle w:val="Heading2"/>
      </w:pPr>
      <w:r>
        <w:t xml:space="preserve">Scaling</w:t>
      </w:r>
    </w:p>
    <w:p>
      <w:pPr>
        <w:pStyle w:val="CaptionedFigure"/>
      </w:pPr>
      <w:r>
        <w:drawing>
          <wp:inline>
            <wp:extent cx="5334000" cy="1970216"/>
            <wp:effectExtent b="0" l="0" r="0" t="0"/>
            <wp:docPr descr="Fit and predict time versus reference size and cardinality; predict time stays flat and sub-second.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 and predict time versus reference size and cardinality; predict time stays flat and sub-second.</w:t>
      </w:r>
    </w:p>
    <w:p>
      <w:pPr>
        <w:pStyle w:val="BodyText"/>
      </w:pPr>
      <w:r>
        <w:t xml:space="preserve">Training time grows with reference size and with #cell types for all trained methods —</w:t>
      </w:r>
      <w:r>
        <w:t xml:space="preserve"> </w:t>
      </w:r>
      <w:r>
        <w:t xml:space="preserve">actinn-jax’s fit goes 13 s → 141 s → 254 s as the reference grows 965 → 14.8k → 24k</w:t>
      </w:r>
      <w:r>
        <w:t xml:space="preserve"> </w:t>
      </w:r>
      <w:r>
        <w:t xml:space="preserve">cells, comparable to CellTypist (4 s → 75 s → 246 s) and somewhat above SVM (9 s → 55 s →</w:t>
      </w:r>
      <w:r>
        <w:t xml:space="preserve"> </w:t>
      </w:r>
      <w:r>
        <w:t xml:space="preserve">80 s); kNN is lazy (fit is trivial but it pays at predict and is the least accurate). The</w:t>
      </w:r>
      <w:r>
        <w:t xml:space="preserve"> </w:t>
      </w:r>
      <w:r>
        <w:t xml:space="preserve">decisive result is the other axis:</w:t>
      </w:r>
      <w:r>
        <w:t xml:space="preserve"> </w:t>
      </w:r>
      <w:r>
        <w:rPr>
          <w:b/>
          <w:bCs/>
        </w:rPr>
        <w:t xml:space="preserve">actinn-jax’s predict time stays flat and sub-second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the entire range — ~0.3–1.4 s whether the reference has 1k or 24k cells, or 5 or 86</w:t>
      </w:r>
      <w:r>
        <w:rPr>
          <w:b/>
          <w:bCs/>
        </w:rPr>
        <w:t xml:space="preserve"> </w:t>
      </w:r>
      <w:r>
        <w:rPr>
          <w:b/>
          <w:bCs/>
        </w:rPr>
        <w:t xml:space="preserve">types.</w:t>
      </w:r>
      <w:r>
        <w:t xml:space="preserve"> </w:t>
      </w:r>
      <w:r>
        <w:t xml:space="preserve">Inference cost does not grow with reference size or cardinality, and with the</w:t>
      </w:r>
      <w:r>
        <w:t xml:space="preserve"> </w:t>
      </w:r>
      <w:r>
        <w:t xml:space="preserve">train-once/map-many cache the fit cost is paid once and the flat predict cost is all that</w:t>
      </w:r>
      <w:r>
        <w:t xml:space="preserve"> </w:t>
      </w:r>
      <w:r>
        <w:t xml:space="preserve">recurs — the regime that matters when a reference is reused across many queries. (The</w:t>
      </w:r>
      <w:r>
        <w:t xml:space="preserve"> </w:t>
      </w:r>
      <w:r>
        <w:t xml:space="preserve">scaling script’s memory column is process-cumulative and not a clean per-size measurement;</w:t>
      </w:r>
      <w:r>
        <w:t xml:space="preserve"> </w:t>
      </w:r>
      <w:r>
        <w:t xml:space="preserve">per-method peak memory is reported from the isolated-subprocess matrix in §3.2.)</w:t>
      </w:r>
    </w:p>
    <w:bookmarkEnd w:id="30"/>
    <w:bookmarkStart w:id="31" w:name="actinn-jax-vs.-the-original-actinn"/>
    <w:p>
      <w:pPr>
        <w:pStyle w:val="Heading2"/>
      </w:pPr>
      <w:r>
        <w:t xml:space="preserve">actinn-jax vs. the original ACTINN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actinn-orig</w:t>
      </w:r>
      <w:r>
        <w:t xml:space="preserve"> </w:t>
      </w:r>
      <w:r>
        <w:t xml:space="preserve">row isolates the value of the reimplementation itself: same method, same</w:t>
      </w:r>
      <w:r>
        <w:t xml:space="preserve"> </w:t>
      </w:r>
      <w:r>
        <w:t xml:space="preserve">data, TensorFlow-2.15 vs. JAX. Mean across the six 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predict (s)</w:t>
            </w:r>
          </w:p>
        </w:tc>
        <w:tc>
          <w:tcPr/>
          <w:p>
            <w:pPr>
              <w:pStyle w:val="Compac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ACTINN (TF)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54.5</w:t>
            </w:r>
          </w:p>
        </w:tc>
        <w:tc>
          <w:tcPr/>
          <w:p>
            <w:pPr>
              <w:pStyle w:val="Compact"/>
            </w:pPr>
            <w:r>
              <w:t xml:space="preserve">7708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2145</w:t>
            </w:r>
          </w:p>
        </w:tc>
      </w:tr>
    </w:tbl>
    <w:p>
      <w:pPr>
        <w:pStyle w:val="BodyText"/>
      </w:pPr>
      <w:r>
        <w:t xml:space="preserve">Equal accuracy (0.752 vs. 0.754, within repeat noise),</w:t>
      </w:r>
      <w:r>
        <w:t xml:space="preserve"> </w:t>
      </w:r>
      <w:r>
        <w:rPr>
          <w:b/>
          <w:bCs/>
        </w:rPr>
        <w:t xml:space="preserve">~145× faster inference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3.6× less memory</w:t>
      </w:r>
      <w:r>
        <w:t xml:space="preserve"> </w:t>
      </w:r>
      <w:r>
        <w:t xml:space="preserve">— the reimplementation is a strict engineering win at no accuracy</w:t>
      </w:r>
      <w:r>
        <w:t xml:space="preserve"> </w:t>
      </w:r>
      <w:r>
        <w:t xml:space="preserve">cost.</w:t>
      </w:r>
    </w:p>
    <w:bookmarkEnd w:id="31"/>
    <w:bookmarkStart w:id="32" w:name="the-largerefined-annotation-workflow"/>
    <w:p>
      <w:pPr>
        <w:pStyle w:val="Heading2"/>
      </w:pPr>
      <w:r>
        <w:t xml:space="preserve">The large→refined annotation workflow</w:t>
      </w:r>
    </w:p>
    <w:p>
      <w:pPr>
        <w:pStyle w:val="FirstParagraph"/>
      </w:pPr>
      <w:r>
        <w:t xml:space="preserve">The most useful thing actinn-jax ships is not a single classifier but a</w:t>
      </w:r>
      <w:r>
        <w:t xml:space="preserve"> </w:t>
      </w:r>
      <w:r>
        <w:rPr>
          <w:b/>
          <w:bCs/>
        </w:rPr>
        <w:t xml:space="preserve">two-tier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that matches how annotation is actually done: get a broad call fast, then sharpen</w:t>
      </w:r>
      <w:r>
        <w:t xml:space="preserve"> </w:t>
      </w:r>
      <w:r>
        <w:t xml:space="preserve">it where it 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</w:t>
      </w:r>
      <w:r>
        <w:t xml:space="preserve"> </w:t>
      </w:r>
      <w:r>
        <w:t xml:space="preserve">memory-bounded inference (§3.2, §3.4), the whole workflow runs on a laptop.</w:t>
      </w:r>
    </w:p>
    <w:p>
      <w:pPr>
        <w:pStyle w:val="BodyText"/>
      </w:pPr>
      <w:r>
        <w:rPr>
          <w:b/>
          <w:bCs/>
        </w:rPr>
        <w:t xml:space="preserve">Tier 1 — broad, census-scale.</w:t>
      </w:r>
      <w:r>
        <w:t xml:space="preserve"> </w:t>
      </w:r>
      <w:r>
        <w:t xml:space="preserve">A shipped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(see the smooth abstain curve of §3.7). This is the</w:t>
      </w:r>
      <w:r>
        <w:t xml:space="preserve"> </w:t>
      </w:r>
      <w:r>
        <w:t xml:space="preserve">“what am I looking at”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Tier 2 — refined, tissue-focused.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The gain is large and it is the crux of</w:t>
      </w:r>
      <w:r>
        <w:t xml:space="preserve"> </w:t>
      </w:r>
      <w:r>
        <w:t xml:space="preserve">the workflow: on held-out</w:t>
      </w:r>
      <w:r>
        <w:t xml:space="preserve"> </w:t>
      </w:r>
      <w:r>
        <w:rPr>
          <w:b/>
          <w:bCs/>
        </w:rPr>
        <w:t xml:space="preserve">cross-study</w:t>
      </w:r>
      <w:r>
        <w:t xml:space="preserve"> </w:t>
      </w:r>
      <w:r>
        <w:t xml:space="preserve">liver cells, the broad census model scores</w:t>
      </w:r>
      <w:r>
        <w:t xml:space="preserve"> </w:t>
      </w:r>
      <w:r>
        <w:t xml:space="preserve">exact-CL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48-type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A</w:t>
      </w:r>
      <w:r>
        <w:t xml:space="preserve"> </w:t>
      </w:r>
      <w:r>
        <w:rPr>
          <w:b/>
          <w:bCs/>
        </w:rPr>
        <w:t xml:space="preserve">foundation-model-guided coarse→fine hierarchy</w:t>
      </w:r>
      <w:r>
        <w:t xml:space="preserve">: a foundation model discovers</w:t>
      </w:r>
      <w:r>
        <w:t xml:space="preserve"> </w:t>
      </w:r>
      <w:r>
        <w:t xml:space="preserve">a coarse→fine 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, the fast CPU model uses it at inference — beats a flat</w:t>
      </w:r>
      <w:r>
        <w:t xml:space="preserve"> </w:t>
      </w:r>
      <w:r>
        <w:t xml:space="preserve">classifier on 3/4 datasets, matches an expert hierarchy, beats a random-grouping control,</w:t>
      </w:r>
      <w:r>
        <w:t xml:space="preserve"> </w:t>
      </w:r>
      <w:r>
        <w:t xml:space="preserve">and never depends on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~0.99</w:t>
      </w:r>
      <w:r>
        <w:t xml:space="preserve"> </w:t>
      </w:r>
      <w:r>
        <w:t xml:space="preserve">within-one-zone, generalizing across donors and datasets — a</w:t>
      </w:r>
      <w:r>
        <w:t xml:space="preserve"> </w:t>
      </w:r>
      <w:r>
        <w:t xml:space="preserve">third tier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bookmarkEnd w:id="32"/>
    <w:bookmarkStart w:id="33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and sweeping a confidence threshold: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actinn-jax: acc(kept) / coverage / OOD-flagged</w:t>
            </w:r>
          </w:p>
        </w:tc>
        <w:tc>
          <w:tcPr/>
          <w:p>
            <w:pPr>
              <w:pStyle w:val="Compact"/>
            </w:pPr>
            <w:r>
              <w:t xml:space="preserve">CellTypist: acc(kept) / coverage / OOD-flagged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0.885 / 1.00 / 0.00</w:t>
            </w:r>
          </w:p>
        </w:tc>
        <w:tc>
          <w:tcPr/>
          <w:p>
            <w:pPr>
              <w:pStyle w:val="Compact"/>
            </w:pPr>
            <w:r>
              <w:t xml:space="preserve">0.873 / 1.00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0.919 / 0.93 / 0.30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0.946 / 0.84 / 0.52</w:t>
            </w:r>
          </w:p>
        </w:tc>
        <w:tc>
          <w:tcPr/>
          <w:p>
            <w:pPr>
              <w:pStyle w:val="Compact"/>
            </w:pPr>
            <w:r>
              <w:t xml:space="preserve">0.936 / 0.68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0.969 / 0.66 / 0.73</w:t>
            </w:r>
          </w:p>
        </w:tc>
        <w:tc>
          <w:tcPr/>
          <w:p>
            <w:pPr>
              <w:pStyle w:val="Compact"/>
            </w:pPr>
            <w:r>
              <w:t xml:space="preserve">0.937 / 0.68 / 0.68</w:t>
            </w:r>
          </w:p>
        </w:tc>
      </w:tr>
    </w:tbl>
    <w:p>
      <w:pPr>
        <w:pStyle w:val="BodyText"/>
      </w:pPr>
      <w:r>
        <w:t xml:space="preserve">actinn-jax’s probability gives a</w:t>
      </w:r>
      <w:r>
        <w:t xml:space="preserve"> </w:t>
      </w:r>
      <w:r>
        <w:rPr>
          <w:b/>
          <w:bCs/>
        </w:rPr>
        <w:t xml:space="preserve">smooth, tunable</w:t>
      </w:r>
      <w:r>
        <w:t xml:space="preserve"> </w:t>
      </w:r>
      <w:r>
        <w:t xml:space="preserve">abstain curve — accuracy on kept cells</w:t>
      </w:r>
      <w:r>
        <w:t xml:space="preserve"> </w:t>
      </w:r>
      <w:r>
        <w:t xml:space="preserve">rises 0.885→0.969 as coverage falls 1.00→0.66 and OOD-flagging climbs 0.00→0.73 — so a user</w:t>
      </w:r>
      <w:r>
        <w:t xml:space="preserve"> </w:t>
      </w:r>
      <w:r>
        <w:t xml:space="preserve">can dial the precision/coverage/novel-cell-detection trade-off. CellTypist’s probabilities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(near 0 or 1): the threshold jumps to 68% OOD-flagged at 0.5 and then does</w:t>
      </w:r>
      <w:r>
        <w:t xml:space="preserve"> </w:t>
      </w:r>
      <w:r>
        <w:t xml:space="preserve">not move across 0.5–0.9, giving essentially one operating point rather than a tunable curve.</w:t>
      </w:r>
      <w:r>
        <w:t xml:space="preserve"> </w:t>
      </w:r>
      <w:r>
        <w:t xml:space="preserve">scmap-cluster offers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(no sweep). The abstain knob is a</w:t>
      </w:r>
      <w:r>
        <w:t xml:space="preserve"> </w:t>
      </w:r>
      <w:r>
        <w:t xml:space="preserve">concrete, practical advantage of actinn-jax’s calibrated output.</w:t>
      </w:r>
    </w:p>
    <w:bookmarkEnd w:id="33"/>
    <w:bookmarkStart w:id="34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datasets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 accuracy 0.027 / ontology concordance 0.206 in 321 s per query</w:t>
      </w:r>
      <w:r>
        <w:t xml:space="preserve"> </w:t>
      </w:r>
      <w:r>
        <w:t xml:space="preserve">— vs.</w:t>
      </w:r>
      <w:r>
        <w:t xml:space="preserve"> </w:t>
      </w:r>
      <w:r>
        <w:t xml:space="preserve">actinn-jax’s 0.89 in 0.2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 (~1000× actinn-jax)</w:t>
      </w:r>
      <w:r>
        <w:t xml:space="preserve"> </w:t>
      </w:r>
      <w:r>
        <w:t xml:space="preserve">and weak. Its pretrained classifier head also carries a</w:t>
      </w:r>
      <w:r>
        <w:t xml:space="preserve"> </w:t>
      </w:r>
      <w:r>
        <w:rPr>
          <w:b/>
          <w:bCs/>
        </w:rPr>
        <w:t xml:space="preserve">fixed label vocabulary</w:t>
      </w:r>
      <w:r>
        <w:t xml:space="preserve"> </w:t>
      </w:r>
      <w:r>
        <w:t xml:space="preserve">and</w:t>
      </w:r>
      <w:r>
        <w:t xml:space="preserve"> </w:t>
      </w:r>
      <w:r>
        <w:t xml:space="preserve">requires CL ids, so it cannot emit labels outside that set; this is an inherent property of</w:t>
      </w:r>
      <w:r>
        <w:t xml:space="preserve"> </w:t>
      </w:r>
      <w:r>
        <w:t xml:space="preserve">a zero-shot label head, not a defect, but it means the foundation model’s raw predictions</w:t>
      </w:r>
      <w:r>
        <w:t xml:space="preserve"> </w:t>
      </w:r>
      <w:r>
        <w:t xml:space="preserve">are not a drop-in annotator. This is exactly why our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 its learned structure — to</w:t>
      </w:r>
      <w:r>
        <w:t xml:space="preserve"> </w:t>
      </w:r>
      <w:r>
        <w:t xml:space="preserve">shape a small trained model, never its zero-shot labels: the foundation model is valuable,</w:t>
      </w:r>
      <w:r>
        <w:t xml:space="preserve"> </w:t>
      </w:r>
      <w:r>
        <w:t xml:space="preserve">its raw label predictions are not.</w:t>
      </w:r>
    </w:p>
    <w:bookmarkEnd w:id="34"/>
    <w:bookmarkStart w:id="42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35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 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§3.8 externally.</w:t>
      </w:r>
    </w:p>
    <w:p>
      <w:pPr>
        <w:pStyle w:val="BodyText"/>
      </w:pPr>
      <w:r>
        <w:rPr>
          <w:b/>
          <w:bCs/>
        </w:rPr>
        <w:t xml:space="preserve">Controlled same-hardware speed &amp; memory.</w:t>
      </w:r>
      <w:r>
        <w:t xml:space="preserve"> </w:t>
      </w:r>
      <w:r>
        <w:t xml:space="preserve">Leaderboard runtimes mix hardware, so we re-ran</w:t>
      </w:r>
      <w:r>
        <w:t xml:space="preserve"> </w:t>
      </w:r>
      <w:r>
        <w:t xml:space="preserve">actinn-jax and the CPU tier through OP’s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Nextflow pipeline on a</w:t>
      </w:r>
      <w:r>
        <w:t xml:space="preserve"> </w:t>
      </w:r>
      <w:r>
        <w:rPr>
          <w:b/>
          <w:bCs/>
        </w:rPr>
        <w:t xml:space="preserve">single AWS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r7i.8xlarge</w:t>
      </w:r>
      <w:r>
        <w:t xml:space="preserve"> </w:t>
      </w:r>
      <w:r>
        <w:t xml:space="preserve">— identical hardware, harness, storage, and trace instrumentation for every</w:t>
      </w:r>
      <w:r>
        <w:t xml:space="preserve"> </w:t>
      </w:r>
      <w:r>
        <w:t xml:space="preserve">method. This is the paper’s cleanest cross-method cost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(same box)</w:t>
            </w:r>
          </w:p>
        </w:tc>
        <w:tc>
          <w:tcPr/>
          <w:p>
            <w:pPr>
              <w:pStyle w:val="Compact"/>
            </w:pPr>
            <w:r>
              <w:t xml:space="preserve">mean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runtime/dataset</w:t>
            </w:r>
          </w:p>
        </w:tc>
        <w:tc>
          <w:tcPr/>
          <w:p>
            <w:pPr>
              <w:pStyle w:val="Compact"/>
            </w:pPr>
            <w:r>
              <w:t xml:space="preserve">peak RSS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165 s</w:t>
            </w:r>
          </w:p>
        </w:tc>
        <w:tc>
          <w:tcPr/>
          <w:p>
            <w:pPr>
              <w:pStyle w:val="Compac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327 s</w:t>
            </w:r>
          </w:p>
        </w:tc>
        <w:tc>
          <w:tcPr/>
          <w:p>
            <w:pPr>
              <w:pStyle w:val="Compac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29 s</w:t>
            </w:r>
          </w:p>
        </w:tc>
        <w:tc>
          <w:tcPr/>
          <w:p>
            <w:pPr>
              <w:pStyle w:val="Compac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0.793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11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905 s</w:t>
            </w:r>
          </w:p>
        </w:tc>
        <w:tc>
          <w:tcPr/>
          <w:p>
            <w:pPr>
              <w:pStyle w:val="Compac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58 s</w:t>
            </w:r>
          </w:p>
        </w:tc>
        <w:tc>
          <w:tcPr/>
          <w:p>
            <w:pPr>
              <w:pStyle w:val="Compac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19.5 GB</w:t>
            </w:r>
          </w:p>
        </w:tc>
      </w:tr>
    </w:tbl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ties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~2× the speed</w:t>
      </w:r>
      <w:r>
        <w:t xml:space="preserve"> </w:t>
      </w:r>
      <w:r>
        <w:t xml:space="preserve">(165 vs 327 s) and</w:t>
      </w:r>
      <w:r>
        <w:t xml:space="preserve"> </w:t>
      </w:r>
      <w:r>
        <w:rPr>
          <w:b/>
          <w:bCs/>
        </w:rPr>
        <w:t xml:space="preserve">beats xgboost’s accuracy at ~5.5× less runtime and ~4× less memory</w:t>
      </w:r>
      <w:r>
        <w:t xml:space="preserve"> </w:t>
      </w:r>
      <w:r>
        <w:t xml:space="preserve">(165 s / 21 GB vs</w:t>
      </w:r>
      <w:r>
        <w:t xml:space="preserve"> </w:t>
      </w:r>
      <w:r>
        <w:t xml:space="preserve">905 s / 81 GB). The faster methods (knn, logistic) are less accurate; the more accurate</w:t>
      </w:r>
      <w:r>
        <w:t xml:space="preserve"> </w:t>
      </w:r>
      <w:r>
        <w:t xml:space="preserve">heavyweight (xgboost) is far slower and heavier — the same Pareto-non-domination as the</w:t>
      </w:r>
      <w:r>
        <w:t xml:space="preserve"> </w:t>
      </w:r>
      <w:r>
        <w:t xml:space="preserve">in-house benchmark, now on controlled hardware. (An earlier cross-hardware draft overstated</w:t>
      </w:r>
      <w:r>
        <w:t xml:space="preserve"> </w:t>
      </w:r>
      <w:r>
        <w:t xml:space="preserve">the mlp speed gap as</w:t>
      </w:r>
      <w:r>
        <w:t xml:space="preserve"> </w:t>
      </w:r>
      <w:r>
        <w:t xml:space="preserve">“8×”</w:t>
      </w:r>
      <w:r>
        <w:t xml:space="preserve">; the honest same-box figure is ~2×.)</w:t>
      </w:r>
    </w:p>
    <w:p>
      <w:pPr>
        <w:pStyle w:val="BodyText"/>
      </w:pPr>
      <w:r>
        <w:rPr>
          <w:b/>
          <w:bCs/>
        </w:rPr>
        <w:t xml:space="preserve">Two cheap ablations, and their honest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 shipped</w:t>
      </w:r>
      <w:r>
        <w:t xml:space="preserve"> </w:t>
      </w:r>
      <w:r>
        <w:rPr>
          <w:b/>
          <w:bCs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standardize=True</w:t>
      </w:r>
      <w:r>
        <w:t xml:space="preserve">) 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most starves a gene-space MLP.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Crucially, this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CaptionedFigure"/>
      </w:pPr>
      <w:r>
        <w:drawing>
          <wp:inline>
            <wp:extent cx="5334000" cy="2139510"/>
            <wp:effectExtent b="0" l="0" r="0" t="0"/>
            <wp:docPr descr="actinn-jax accuracy and macro-F1 versus input gene budget across all six Open Problems datasets. More genes help most datasets but regress the fine-grained, domain-shifted tabula_sapiens.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actinn-jax accuracy and macro-F1 versus input gene budget across all six Open Problems datasets. More genes help most datasets but regress the fine-grained, domain-shifted tabula_sapiens.</w:t>
      </w:r>
    </w:p>
    <w:p>
      <w:pPr>
        <w:pStyle w:val="CaptionedFigure"/>
      </w:pPr>
      <w:r>
        <w:drawing>
          <wp:inline>
            <wp:extent cx="5334000" cy="2293972"/>
            <wp:effectExtent b="0" l="0" r="0" t="0"/>
            <wp:docPr descr="Label-free signals for setting the gene budget without test labels. Held-out reference cross-validation and query-cells-per-class both single out tabula_sapiens (where more genes hurt).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Label-free signals for setting the gene budget without test labels. Held-out reference cross-validation and query-cells-per-class both single out tabula_sapiens (where more genes hurt).</w:t>
      </w:r>
    </w:p>
    <w:bookmarkEnd w:id="42"/>
    <w:bookmarkEnd w:id="43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actinn-jax is not the accuracy champion, and we do not claim it is.</w:t>
      </w:r>
      <w:r>
        <w:t xml:space="preserve"> </w:t>
      </w:r>
      <w:r>
        <w:t xml:space="preserve">Deep probabilistic</w:t>
      </w:r>
      <w:r>
        <w:t xml:space="preserve"> </w:t>
      </w:r>
      <w:r>
        <w:t xml:space="preserve">methods and boosted trees edge it by 1–2 points where they run, both in our panel (§3.1) and</w:t>
      </w:r>
      <w:r>
        <w:t xml:space="preserve"> </w:t>
      </w:r>
      <w:r>
        <w:t xml:space="preserve">on Open Problems (§3.9); a benchmark that hid this would be wrong. What the evidence supports</w:t>
      </w:r>
      <w:r>
        <w:t xml:space="preserve"> </w:t>
      </w:r>
      <w:r>
        <w:t xml:space="preserve">is narrower and, we argue, more useful: across two independent benchmarks and a controlled</w:t>
      </w:r>
      <w:r>
        <w:t xml:space="preserve"> </w:t>
      </w:r>
      <w:r>
        <w:t xml:space="preserve">same-hardware rerun,</w:t>
      </w:r>
      <w:r>
        <w:t xml:space="preserve"> </w:t>
      </w:r>
      <w:r>
        <w:rPr>
          <w:b/>
          <w:bCs/>
        </w:rPr>
        <w:t xml:space="preserve">no method dominates actinn-jax on both accuracy and cost</w:t>
      </w:r>
      <w:r>
        <w:t xml:space="preserve">, and its</w:t>
      </w:r>
      <w:r>
        <w:t xml:space="preserve"> </w:t>
      </w:r>
      <w:r>
        <w:t xml:space="preserve">differentiators are the ones that decide what a working scientist runs on a laptop.</w:t>
      </w:r>
    </w:p>
    <w:p>
      <w:pPr>
        <w:pStyle w:val="BodyText"/>
      </w:pPr>
      <w:r>
        <w:rPr>
          <w:i/>
          <w:iCs/>
        </w:rPr>
        <w:t xml:space="preserve">Speed and 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 and flat</w:t>
      </w:r>
      <w:r>
        <w:t xml:space="preserve"> </w:t>
      </w:r>
      <w:r>
        <w:t xml:space="preserve">— independent of reference size</w:t>
      </w:r>
      <w:r>
        <w:t xml:space="preserve"> </w:t>
      </w:r>
      <w:r>
        <w:t xml:space="preserve">and cardinality (§3.4) — and peak memory sits in the lightest cluster (~2 GB in-house;</w:t>
      </w:r>
      <w:r>
        <w:t xml:space="preserve"> </w:t>
      </w:r>
      <w:r>
        <w:t xml:space="preserve">~21 GB through OP’s heavier all-layer harness, still less than half of xgboost’s 81 GB on the</w:t>
      </w:r>
      <w:r>
        <w:t xml:space="preserve"> </w:t>
      </w:r>
      <w:r>
        <w:t xml:space="preserve">same box). Against methods of equal accuracy it is 2–200× faster; against methods of equal</w:t>
      </w:r>
      <w:r>
        <w:t xml:space="preserve"> </w:t>
      </w:r>
      <w:r>
        <w:t xml:space="preserve">speed it is more accurate. With the train-once/map-many cache, the flat predict cost is all</w:t>
      </w:r>
      <w:r>
        <w:t xml:space="preserve"> </w:t>
      </w:r>
      <w:r>
        <w:t xml:space="preserve">that recurs when a reference is reused.</w:t>
      </w:r>
    </w:p>
    <w:p>
      <w:pPr>
        <w:pStyle w:val="BodyText"/>
      </w:pPr>
      <w:r>
        <w:rPr>
          <w:i/>
          <w:iCs/>
        </w:rPr>
        <w:t xml:space="preserve">The workflow is the product.</w:t>
      </w:r>
      <w:r>
        <w:t xml:space="preserve"> </w:t>
      </w:r>
      <w:r>
        <w:t xml:space="preserve">The largest practical gains come not from the flat classifier</w:t>
      </w:r>
      <w:r>
        <w:t xml:space="preserve"> </w:t>
      </w:r>
      <w:r>
        <w:t xml:space="preserve">but from the</w:t>
      </w:r>
      <w:r>
        <w:t xml:space="preserve"> </w:t>
      </w:r>
      <w:r>
        <w:rPr>
          <w:b/>
          <w:bCs/>
        </w:rPr>
        <w:t xml:space="preserve">large→refined</w:t>
      </w:r>
      <w:r>
        <w:t xml:space="preserve"> </w:t>
      </w:r>
      <w:r>
        <w:t xml:space="preserve">pipeline (§3.6): a census-scale broad model with a calibrated</w:t>
      </w:r>
      <w:r>
        <w:t xml:space="preserve"> </w:t>
      </w:r>
      <w:r>
        <w:t xml:space="preserve">abstain routes a query to a small focused reference that re-annotates at full resolution</w:t>
      </w:r>
      <w:r>
        <w:t xml:space="preserve"> </w:t>
      </w:r>
      <w:r>
        <w:t xml:space="preserve">(cross-study liver 0.23/0.58 → 0.72/0.86), with zonation as a further tier. Every stage keeps</w:t>
      </w:r>
      <w:r>
        <w:t xml:space="preserve"> </w:t>
      </w:r>
      <w:r>
        <w:t xml:space="preserve">classical-method speed, so the whole thing runs without a GPU.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actinn-jax trails on small references and very-few-cells-per-type</w:t>
      </w:r>
      <w:r>
        <w:t xml:space="preserve"> </w:t>
      </w:r>
      <w:r>
        <w:t xml:space="preserve">sets (§3.1, §5), and — a finding from the OP analysis — it is sensitive to input budget under</w:t>
      </w:r>
      <w:r>
        <w:t xml:space="preserve"> </w:t>
      </w:r>
      <w:r>
        <w:t xml:space="preserve">domain shift: more genes help most datasets but overfit a tiny, fine-grained, shifted query</w:t>
      </w:r>
      <w:r>
        <w:t xml:space="preserve"> </w:t>
      </w:r>
      <w:r>
        <w:t xml:space="preserve">(tabula_sapiens). Encouragingly, the two cheapest levers are principled and label-free: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reference-CV-guided gene</w:t>
      </w:r>
      <w:r>
        <w:rPr>
          <w:b/>
          <w:bCs/>
        </w:rPr>
        <w:t xml:space="preserve"> </w:t>
      </w:r>
      <w:r>
        <w:rPr>
          <w:b/>
          <w:bCs/>
        </w:rPr>
        <w:t xml:space="preserve">budget</w:t>
      </w:r>
      <w:r>
        <w:t xml:space="preserve"> </w:t>
      </w:r>
      <w:r>
        <w:t xml:space="preserve">both improve the model without peeking at test labels, and at a fair gene budget</w:t>
      </w:r>
      <w:r>
        <w:t xml:space="preserve"> </w:t>
      </w:r>
      <w:r>
        <w:t xml:space="preserve">the gene-space MLP</w:t>
      </w:r>
      <w:r>
        <w:t xml:space="preserve"> </w:t>
      </w:r>
      <w:r>
        <w:rPr>
          <w:i/>
          <w:iCs/>
        </w:rPr>
        <w:t xml:space="preserve">matches the leaderboard’s top method</w:t>
      </w:r>
      <w:r>
        <w:t xml:space="preserve"> </w:t>
      </w:r>
      <w:r>
        <w:t xml:space="preserve">on the datasets both complete —</w:t>
      </w:r>
      <w:r>
        <w:t xml:space="preserve"> </w:t>
      </w:r>
      <w:r>
        <w:t xml:space="preserve">i.e. much of the apparent gap to heavier methods is representation budget, not model class.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(§3.9), underscoring that the</w:t>
      </w:r>
      <w:r>
        <w:t xml:space="preserve"> </w:t>
      </w:r>
      <w:r>
        <w:t xml:space="preserve">value is in the trained transformer, not a portable trick.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 one-off annotation against a small reference, SVM/CellTypist</w:t>
      </w:r>
      <w:r>
        <w:t xml:space="preserve"> </w:t>
      </w:r>
      <w:r>
        <w:t xml:space="preserve">are equally good. actinn-jax pulls ahead when the reference 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(caching),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(atlas-scale), when annotation should proceed</w:t>
      </w:r>
      <w:r>
        <w:t xml:space="preserve"> </w:t>
      </w:r>
      <w:r>
        <w:rPr>
          <w:b/>
          <w:bCs/>
        </w:rPr>
        <w:t xml:space="preserve">broad→refined</w:t>
      </w:r>
      <w:r>
        <w:t xml:space="preserve">, or when sub-cell-type state</w:t>
      </w:r>
      <w:r>
        <w:t xml:space="preserve"> </w:t>
      </w:r>
      <w:r>
        <w:t xml:space="preserve">(zonation) matters — at classical-method speed and memory throughout.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 (deep/foundation tiers would be faster on CUDA — out of scope for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question). The §3.9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1"/>
        </w:numPr>
      </w:pPr>
      <w:r>
        <w:t xml:space="preserve">Subsampled references (to keep the matrix tractable); the scaling section characterizes</w:t>
      </w:r>
      <w:r>
        <w:t xml:space="preserve"> </w:t>
      </w:r>
      <w:r>
        <w:t xml:space="preserve">the size dependence directly.</w:t>
      </w:r>
    </w:p>
    <w:p>
      <w:pPr>
        <w:pStyle w:val="Compact"/>
        <w:numPr>
          <w:ilvl w:val="0"/>
          <w:numId w:val="1001"/>
        </w:numPr>
      </w:pPr>
      <w:r>
        <w:t xml:space="preserve">Human only; six datasets per benchmark; GPU foundation models beyond scPRINT/UCE (scGPT,</w:t>
      </w:r>
      <w:r>
        <w:t xml:space="preserve"> </w:t>
      </w:r>
      <w:r>
        <w:t xml:space="preserve">Geneformer, popV) not run locally.</w:t>
      </w:r>
    </w:p>
    <w:p>
      <w:pPr>
        <w:pStyle w:val="Compact"/>
        <w:numPr>
          <w:ilvl w:val="0"/>
          <w:numId w:val="1001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reference-CV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Standardization is shipped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bookmarkEnd w:id="45"/>
    <w:bookmarkStart w:id="4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All configs (</w:t>
      </w:r>
      <w:r>
        <w:rPr>
          <w:rStyle w:val="VerbatimChar"/>
        </w:rPr>
        <w:t xml:space="preserve">configs/paper*.yaml</w:t>
      </w:r>
      <w:r>
        <w:t xml:space="preserve">), adapters (</w:t>
      </w:r>
      <w:r>
        <w:rPr>
          <w:rStyle w:val="VerbatimChar"/>
        </w:rPr>
        <w:t xml:space="preserve">benchmark/adapters/</w:t>
      </w:r>
      <w:r>
        <w:t xml:space="preserve">), result CSVs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results/paper*/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docs/results_*.csv</w:t>
      </w:r>
      <w:r>
        <w:t xml:space="preserve">), figure scripts, and the actinn-jax package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github.com/iandriver/actinn-jax</w:t>
        </w:r>
      </w:hyperlink>
      <w:r>
        <w:t xml:space="preserve">) are in these</w:t>
      </w:r>
      <w:r>
        <w:t xml:space="preserve"> </w:t>
      </w:r>
      <w:r>
        <w:t xml:space="preserve">two repositories. HLiCA data © Edgar et al. 2026 (CC-BY 4.0), [doi:10.64898/2026.06.30.735539].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</w:p>
    <w:p>
      <w:pPr>
        <w:pStyle w:val="Compact"/>
        <w:numPr>
          <w:ilvl w:val="0"/>
          <w:numId w:val="1002"/>
        </w:numPr>
      </w:pPr>
      <w:r>
        <w:t xml:space="preserve">Huang Q, et al. Benchmarking single-cell cell-type annotation methods.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embeddings: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(2026), doi:10.1038/s41586-026-10689-z.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analysis. openproblems.bio (2024).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 github.com/google/jax.</w:t>
      </w:r>
    </w:p>
    <w:p>
      <w:pPr>
        <w:pStyle w:val="Compact"/>
        <w:numPr>
          <w:ilvl w:val="0"/>
          <w:numId w:val="1002"/>
        </w:numPr>
      </w:pPr>
      <w:r>
        <w:t xml:space="preserve">Edgar R, et al. The Human Liver Cell Atlas (HLiCA). doi:10.64898/2026.06.30.735539.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iandriver/actinn-jax" TargetMode="External" /><Relationship Type="http://schemas.openxmlformats.org/officeDocument/2006/relationships/hyperlink" Id="rId35" Target="https://openproblems.bio/benchmarks/label_proj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actinn-jax: a fast, low-memory, CPU-first classifier for reference-based single-cell type annotation, with a large-to-refined workflow</dc:title>
  <dc:creator>Ian Driver</dc:creator>
  <cp:keywords/>
  <dcterms:created xsi:type="dcterms:W3CDTF">2026-07-13T19:11:40Z</dcterms:created>
  <dcterms:modified xsi:type="dcterms:W3CDTF">2026-07-13T19:11:40Z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Reference-based cell-type annotation is a routine, high-volume step in single-cell analysis, and most labs run it on a laptop, not a GPU cluster. We present actinn-jax, a from-scratch JAX reimplementation of ACTINN (a 4-layer MLP classifier) with a sparse-aware pipeline and a train-once/map-many cached reference model, and benchmark it neutrally against nine other methods spanning every major method class — classical (SVM, kNN), regularized-linear (CellTypist), marker/correlation (SingleR, scmap), the original TensorFlow ACTINN, deep probabilistic (scANVI, scArches), and a foundation model (scPRINT) — across six datasets (within-dataset, cross-dataset, and cross-study; 8 to 86 cell types) on commodity Apple-Silicon hardware. We measure accuracy, macro-F1, ontology-aware concordance, training time, inference time, and peak memory. Across the five datasets that share a label vocabulary between reference and query, actinn-jax ties the most accurate methods (mean accuracy 0.831, vs. scANVI 0.835 and scArches 0.833 — a five-way top cluster within 0.004) while predicting ~195× faster than scANVI (0.37 s vs. 73 s per query) and using 3.6× less memory than its own TensorFlow predecessor; no benchmarked method dominates it on both accuracy and speed. (The sixth dataset, cross-dataset lung, is a label-vocabulary mismatch — see §3.1 — where every method scores ~0.35 by exact match but ~0.75 by ontology-aware concordance.) The central finding is that actinn-jax is Pareto-efficient: it matches the accuracy of the strongest methods while being in the fastest-inference, lightest cluster. We are explicit that it is not the accuracy champion — deep methods and boosted trees edge it by 1–2 points where they run, and a benchmark claiming otherwise would be wrong — but no benchmarked method dominates it on both accuracy and cost, and its differentiators are practical: sub-second, memory-bounded inference and a large→refined annotation workflow that a census-scale broad model (~800 human cell types, with a calibrated abstain) hands off to a small focused model for the tissue at hand (e.g. a 48-type HLiCA liver reference that lifts held-out cross-study accuracy from 0.23/0.58 to 0.72/0.86, exact-CL/ontology), plus within-cell-type resolution (hepatocyte zonation). An independent external validation on the community Open Problems label_projection benchmark reproduces the picture: actinn-jax places 3rd of 17 on accuracy (1st among methods that complete every dataset), and a controlled same-hardware rerun shows it matching its PCA-space mlp sibling at ~2× the speed and beating xgboost’s accuracy at ~5.5× less runtime and ~4× less memory. We report where it loses (small references, very few cells per type, and fine-grained cross-domain targets) and what closes the remaining gaps cheaply (opt-in standardization; a reference-guided gene budget).</vt:lpwstr>
  </property>
  <property fmtid="{D5CDD505-2E9C-101B-9397-08002B2CF9AE}" pid="3" name="date">
    <vt:lpwstr/>
  </property>
</Properties>
</file>