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6.png" ContentType="image/png"/>
  <Override PartName="/word/media/rId55.png" ContentType="image/png"/>
  <Override PartName="/word/media/rId62.png" ContentType="image/png"/>
  <Override PartName="/word/media/rId48.png" ContentType="image/png"/>
  <Override PartName="/word/media/rId52.png" ContentType="image/png"/>
  <Override PartName="/word/media/rId59.png" ContentType="image/png"/>
  <Override PartName="/word/media/rId73.png" ContentType="image/png"/>
  <Override PartName="/word/media/rId7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benchmark of cell-type annotation methods for single-cell data: cost, not accuracy, distinguishes them</w:t>
      </w:r>
    </w:p>
    <w:p>
      <w:pPr>
        <w:pStyle w:val="Author"/>
      </w:pPr>
      <w:r>
        <w:t xml:space="preserve">Ian Driver</w:t>
      </w:r>
    </w:p>
    <w:p>
      <w:pPr>
        <w:pStyle w:val="AbstractTitle"/>
      </w:pPr>
      <w:r>
        <w:t xml:space="preserve">Abstract</w:t>
      </w:r>
    </w:p>
    <w:p>
      <w:pPr>
        <w:pStyle w:val="Abstract"/>
      </w:pPr>
      <w:r>
        <w:t xml:space="preserve">Cell-type annotation by reference mapping is among the most frequently repeated operations in single-cell analysis, yet published comparisons report accuracy far more often than the wall-clock time and memory that decide what a working scientist can actually run. We benchmarked</w:t>
      </w:r>
      <w:r>
        <w:t xml:space="preserve"> </w:t>
      </w:r>
      <w:r>
        <w:rPr>
          <w:b/>
          <w:bCs/>
        </w:rPr>
        <w:t xml:space="preserve">thirteen methods</w:t>
      </w:r>
      <w:r>
        <w:t xml:space="preserve"> </w:t>
      </w:r>
      <w:r>
        <w:t xml:space="preserve">— classical, regularized-linear, parameter-free, correlation, deep-probabilistic, prototype-VAE and foundation-model — across</w:t>
      </w:r>
      <w:r>
        <w:t xml:space="preserve"> </w:t>
      </w:r>
      <w:r>
        <w:rPr>
          <w:b/>
          <w:bCs/>
        </w:rPr>
        <w:t xml:space="preserve">six datasets</w:t>
      </w:r>
      <w:r>
        <w:t xml:space="preserve"> </w:t>
      </w:r>
      <w:r>
        <w:t xml:space="preserve">(8–86 cell types; within-dataset, cross-dataset and cross-study splits) on commodity hardware, and validated externally on Open Problems</w:t>
      </w:r>
      <w:r>
        <w:t xml:space="preserve"> </w:t>
      </w:r>
      <w:r>
        <w:rPr>
          <w:rStyle w:val="VerbatimChar"/>
        </w:rPr>
        <w:t xml:space="preserve">label_projection</w:t>
      </w:r>
      <w:r>
        <w:t xml:space="preserve">, whose datasets, metrics and ranking we did not choose. Accuracy among the leading methods is tightly clustered — the top four span</w:t>
      </w:r>
      <w:r>
        <w:t xml:space="preserve"> </w:t>
      </w:r>
      <w:r>
        <w:rPr>
          <w:b/>
          <w:bCs/>
        </w:rPr>
        <w:t xml:space="preserve">0.008</w:t>
      </w:r>
      <w:r>
        <w:t xml:space="preserve"> </w:t>
      </w:r>
      <w:r>
        <w:t xml:space="preserve">—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w:t>
      </w:r>
      <w:r>
        <w:t xml:space="preserve"> </w:t>
      </w:r>
      <w:r>
        <w:rPr>
          <w:b/>
          <w:bCs/>
        </w:rPr>
        <w:t xml:space="preserve">actinn-jax</w:t>
      </w:r>
      <w:r>
        <w:t xml:space="preserve">,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w:t>
      </w:r>
      <w:r>
        <w:t xml:space="preserve"> </w:t>
      </w:r>
      <w:r>
        <w:rPr>
          <w:b/>
          <w:bCs/>
        </w:rPr>
        <w:t xml:space="preserve">Pan-human Azimuth</w:t>
      </w:r>
      <w:r>
        <w:t xml:space="preserve"> </w:t>
      </w:r>
      <w:r>
        <w:t xml:space="preserve">into a broad-pass model matching its concordance at 6–9× its throughput. We release the reimplementation, the harness and the pre-trained references.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The leading</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not ours to</w:t>
      </w:r>
      <w:r>
        <w:rPr>
          <w:b/>
          <w:bCs/>
        </w:rPr>
        <w:t xml:space="preserve"> </w:t>
      </w:r>
      <w:r>
        <w:rPr>
          <w:b/>
          <w:bCs/>
        </w:rPr>
        <w:t xml:space="preserve">design</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not concluding that the new method</w:t>
      </w:r>
      <w:r>
        <w:t xml:space="preserve"> </w:t>
      </w:r>
      <w:r>
        <w:t xml:space="preserve">wins. On accuracy it sits inside a four-way cluster it does not lead; the panel was assembled</w:t>
      </w:r>
      <w:r>
        <w:t xml:space="preserve"> </w:t>
      </w:r>
      <w:r>
        <w:t xml:space="preserve">to include the baselines most likely to beat it, and they do. What earns it a place is</w:t>
      </w:r>
      <w:r>
        <w:t xml:space="preserve"> </w:t>
      </w:r>
      <w:r>
        <w:t xml:space="preserve">narrower: the original ACTINN no longer installs or runs on current Python and ML</w:t>
      </w:r>
      <w:r>
        <w:t xml:space="preserve"> </w:t>
      </w:r>
      <w:r>
        <w:t xml:space="preserve">environments, and the</w:t>
      </w:r>
      <w:r>
        <w:t xml:space="preserve"> </w:t>
      </w:r>
      <w:r>
        <w:t xml:space="preserve">reimplementation’s flat, sub-second, memory-bounded inference over a cached reference is what</w:t>
      </w:r>
      <w:r>
        <w:t xml:space="preserve"> </w:t>
      </w:r>
      <w:r>
        <w:t xml:space="preserve">makes the multi-stage workflow of §3.4 practical on a laptop.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sweep across reference sizes up to</w:t>
      </w:r>
      <w:r>
        <w:rPr>
          <w:b/>
          <w:bCs/>
        </w:rPr>
        <w:t xml:space="preserve"> </w:t>
      </w:r>
      <w:r>
        <w:rPr>
          <w:b/>
          <w:bCs/>
        </w:rPr>
        <w:t xml:space="preserve">full atlas scale</w:t>
      </w:r>
      <w:r>
        <w:t xml:space="preserve">, which is what shows that the ranking is a function of how much</w:t>
      </w:r>
      <w:r>
        <w:t xml:space="preserve"> </w:t>
      </w:r>
      <w:r>
        <w:t xml:space="preserve">reference data each method is given.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broad→focused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On the human corpus where it was validated it beats having no</w:t>
      </w:r>
      <w:r>
        <w:t xml:space="preserve"> </w:t>
      </w:r>
      <w:r>
        <w:t xml:space="preserve">hierarchy at all (0.616 vs 0.547) and a random grouping of the same sizes (0.539), and it</w:t>
      </w:r>
      <w:r>
        <w:t xml:space="preserve"> </w:t>
      </w:r>
      <w:r>
        <w:t xml:space="preserve">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where CELLxGENE files conventionally store them.</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and, unlike</w:t>
      </w:r>
      <w:r>
        <w:t xml:space="preserve"> </w:t>
      </w:r>
      <w:r>
        <w:t xml:space="preserve">the TensorFlow-1.x original,</w:t>
      </w:r>
      <w:r>
        <w:t xml:space="preserve"> </w:t>
      </w:r>
      <w:r>
        <w:rPr>
          <w:b/>
          <w:bCs/>
        </w:rPr>
        <w:t xml:space="preserve">installs on current Python and ML environments</w:t>
      </w:r>
      <w:r>
        <w:t xml:space="preserve">. Because the</w:t>
      </w:r>
      <w:r>
        <w:t xml:space="preserve"> </w:t>
      </w:r>
      <w:r>
        <w:t xml:space="preserve">two are the same 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is the standard controlled vocabulary of cell types, used throughout as the common</w:t>
      </w:r>
      <w:r>
        <w:t xml:space="preserve"> </w:t>
      </w:r>
      <w:r>
        <w:t xml:space="preserve">ground between datasets that name the same cell differently. scPRINT cannot emit labels</w:t>
      </w:r>
      <w:r>
        <w:t xml:space="preserve"> </w:t>
      </w:r>
      <w:r>
        <w:t xml:space="preserve">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not included: it is unmaintained, and no longer installs against current</w:t>
      </w:r>
      <w:r>
        <w:t xml:space="preserve"> </w:t>
      </w:r>
      <w:r>
        <w:t xml:space="preserve">releases of the harmony dependency it builds on.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since a method or reference built on one convention cannot read</w:t>
      </w:r>
      <w:r>
        <w:t xml:space="preserve"> </w:t>
      </w:r>
      <w:r>
        <w:t xml:space="preserve">the other without remapping.</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memory</w:t>
      </w:r>
      <w:r>
        <w:t xml:space="preserve"> </w:t>
      </w:r>
      <w:r>
        <w:t xml:space="preserve">(peak RSS, resident set size — the maximum physical memory the process</w:t>
      </w:r>
      <w:r>
        <w:t xml:space="preserve"> </w:t>
      </w:r>
      <w:r>
        <w:t xml:space="preserve">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Exact match scores it as a total failure,</w:t>
      </w:r>
      <w:r>
        <w:t xml:space="preserve"> </w:t>
      </w:r>
      <w:r>
        <w:t xml:space="preserve">though the lineage is correct and only the depth is wrong.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exact-match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memory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methods</w:t>
      </w:r>
      <w:r>
        <w:t xml:space="preserve"> </w:t>
      </w:r>
      <w:r>
        <w:t xml:space="preserve">compete for cores; §2.10 explains how that is handled.</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routes.</w:t>
      </w:r>
      <w:r>
        <w:t xml:space="preserve"> </w:t>
      </w:r>
      <w:r>
        <w:t xml:space="preserve">The model is a coarse classifier over groups plus one</w:t>
      </w:r>
      <w:r>
        <w:t xml:space="preserve"> </w:t>
      </w:r>
      <w:r>
        <w:t xml:space="preserve">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scores this route against no hierarchy</w:t>
      </w:r>
      <w:r>
        <w:t xml:space="preserve"> </w:t>
      </w:r>
      <w:r>
        <w:t xml:space="preserve">and against a random grouping.</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w:t>
      </w:r>
    </w:p>
    <w:bookmarkEnd w:id="39"/>
    <w:bookmarkStart w:id="40" w:name="scaling-protocol"/>
    <w:p>
      <w:pPr>
        <w:pStyle w:val="Heading2"/>
      </w:pPr>
      <w:r>
        <w:t xml:space="preserve">Scaling protocol</w:t>
      </w:r>
    </w:p>
    <w:p>
      <w:pPr>
        <w:pStyle w:val="FirstParagraph"/>
      </w:pPr>
      <w:r>
        <w:t xml:space="preserve">A benchmark run at one reference size measures that size, not the method. Since a reference</w:t>
      </w:r>
      <w:r>
        <w:t xml:space="preserve"> </w:t>
      </w:r>
      <w:r>
        <w:t xml:space="preserve">can be anything from a few thousand cells to a whole atlas, we subsample the reference and hold</w:t>
      </w:r>
      <w:r>
        <w:t xml:space="preserve"> </w:t>
      </w:r>
      <w:r>
        <w:t xml:space="preserve">the query fixed, so accuracy, fit time, predict time and peak memory become functions of</w:t>
      </w:r>
      <w:r>
        <w:t xml:space="preserve"> </w:t>
      </w:r>
      <w:r>
        <w:t xml:space="preserve">reference size alone.</w:t>
      </w:r>
    </w:p>
    <w:p>
      <w:pPr>
        <w:pStyle w:val="BodyText"/>
      </w:pPr>
      <w:r>
        <w:t xml:space="preserve">Each sweep answers a different question.</w:t>
      </w:r>
      <w:r>
        <w:t xml:space="preserve"> </w:t>
      </w:r>
      <w:r>
        <w:rPr>
          <w:b/>
          <w:bCs/>
        </w:rPr>
        <w:t xml:space="preserve">Cost against size and</w:t>
      </w:r>
      <w:r>
        <w:rPr>
          <w:b/>
          <w:bCs/>
        </w:rPr>
        <w:t xml:space="preserve"> </w:t>
      </w:r>
      <w:r>
        <w:rPr>
          <w:b/>
          <w:bCs/>
        </w:rPr>
        <w:t xml:space="preserve">cardinality</w:t>
      </w:r>
      <w:r>
        <w:t xml:space="preserve"> </w:t>
      </w:r>
      <w:r>
        <w:t xml:space="preserve">(§3.3, Figure 2) covers six reference sizes to 24k cells and separately varies</w:t>
      </w:r>
      <w:r>
        <w:t xml:space="preserve"> </w:t>
      </w:r>
      <w:r>
        <w:t xml:space="preserve">the number of cell types, and asks whether inference cost grows with either — the property the</w:t>
      </w:r>
      <w:r>
        <w:t xml:space="preserve"> </w:t>
      </w:r>
      <w:r>
        <w:t xml:space="preserve">multi-stage workflow depends on.</w:t>
      </w:r>
      <w:r>
        <w:t xml:space="preserve"> </w:t>
      </w:r>
      <w:r>
        <w:rPr>
          <w:b/>
          <w:bCs/>
        </w:rPr>
        <w:t xml:space="preserve">Accuracy and memory to atlas scale</w:t>
      </w:r>
      <w:r>
        <w:t xml:space="preserve"> </w:t>
      </w:r>
      <w:r>
        <w:t xml:space="preserve">covers five sizes</w:t>
      </w:r>
      <w:r>
        <w:t xml:space="preserve"> </w:t>
      </w:r>
      <w:r>
        <w:t xml:space="preserve">to 49k cells on lung and four to 47k on the HLiCA liver atlas (§3.3, Figure 3), and asks</w:t>
      </w:r>
      <w:r>
        <w:t xml:space="preserve"> </w:t>
      </w:r>
      <w:r>
        <w:t xml:space="preserve">whether the ranking at laptop size survives at atlas size. Sizes are set by capping cells per</w:t>
      </w:r>
      <w:r>
        <w:t xml:space="preserve"> </w:t>
      </w:r>
      <w:r>
        <w:t xml:space="preserve">type, which is why they are not round numbers. The lung sweep’s top point is the whole atlas</w:t>
      </w:r>
      <w:r>
        <w:t xml:space="preserve"> </w:t>
      </w:r>
      <w:r>
        <w:t xml:space="preserve">once the query is held out; the liver atlas is far larger (525k cells), so its sweep stops at</w:t>
      </w:r>
      <w:r>
        <w:t xml:space="preserve"> </w:t>
      </w:r>
      <w:r>
        <w:t xml:space="preserve">a matching reference size rather than at its own ceiling, which is what lets the two be read</w:t>
      </w:r>
      <w:r>
        <w:t xml:space="preserve"> </w:t>
      </w:r>
      <w:r>
        <w:t xml:space="preserve">against each other.</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9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A CPU-only featurization in the</w:t>
      </w:r>
      <w:r>
        <w:t xml:space="preserve"> </w:t>
      </w:r>
      <w:r>
        <w:t xml:space="preserve">style of</w:t>
      </w:r>
      <w:r>
        <w:t xml:space="preserve"> </w:t>
      </w:r>
      <w:r>
        <w:rPr>
          <w:b/>
          <w:bCs/>
        </w:rPr>
        <w:t xml:space="preserve">Universal Cell Embeddings (UCE)</w:t>
      </w:r>
      <w:r>
        <w:t xml:space="preserve"> </w:t>
      </w:r>
      <w:hyperlink r:id="rId43">
        <w:r>
          <w:rPr>
            <w:rStyle w:val="Hyperlink"/>
          </w:rPr>
          <w:t xml:space="preserve">[Rosen 2026]</w:t>
        </w:r>
      </w:hyperlink>
      <w:r>
        <w:t xml:space="preserve">: an expression-weighted mean of</w:t>
      </w:r>
      <w:r>
        <w:t xml:space="preserve"> </w:t>
      </w:r>
      <w:r>
        <w:t xml:space="preserve">ESM2</w:t>
      </w:r>
      <w:r>
        <w:t xml:space="preserve"> </w:t>
      </w:r>
      <w:hyperlink r:id="rId44">
        <w:r>
          <w:rPr>
            <w:rStyle w:val="Hyperlink"/>
          </w:rPr>
          <w:t xml:space="preserve">[Lin 2023]</w:t>
        </w:r>
      </w:hyperlink>
      <w:r>
        <w:t xml:space="preserve"> </w:t>
      </w:r>
      <w:r>
        <w:t xml:space="preserve">protein-language-model gene embeddings. It tests whether a foundation</w:t>
      </w:r>
      <w:r>
        <w:t xml:space="preserve"> </w:t>
      </w:r>
      <w:r>
        <w:t xml:space="preserve">model’s value survives a cheap pooling shortcut.</w:t>
      </w:r>
    </w:p>
    <w:bookmarkEnd w:id="45"/>
    <w:bookmarkEnd w:id="46"/>
    <w:bookmarkStart w:id="80"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exact-match accuracy is a vocabulary artifact, see the † note below; means over all</w:t>
      </w:r>
      <w:r>
        <w:t xml:space="preserve"> </w:t>
      </w:r>
      <w:r>
        <w:t xml:space="preserve">six are ~0.08 lower for every method, and reorder only scArches and actinn-jax, by 0.0004);</w:t>
      </w:r>
      <w:r>
        <w:t xml:space="preserve"> </w:t>
      </w:r>
      <w:r>
        <w:t xml:space="preserve">macro-F1 is the mean over all six, ontology concordance the mean over the four datasets that</w:t>
      </w:r>
      <w:r>
        <w:t xml:space="preserve"> </w:t>
      </w:r>
      <w:r>
        <w:t xml:space="preserve">carry Cell Ontology ids;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(4)</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mem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is the mean over all six, ontology concordance the mean</w:t>
      </w:r>
      <w:r>
        <w:t xml:space="preserve"> </w:t>
      </w:r>
      <w:r>
        <w:t xml:space="preserve">over the four datasets carrying Cell Ontology ids, and cost 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~260×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§4). The two profiles suit different jobs: one-shot</w:t>
      </w:r>
      <w:r>
        <w:t xml:space="preserve"> </w:t>
      </w:r>
      <w:r>
        <w:t xml:space="preserve">labeling,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176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 query</w:t>
      </w:r>
      <w:r>
        <w:t xml:space="preserve"> </w:t>
      </w:r>
      <w:r>
        <w:t xml:space="preserve">both carry CL ids and share a vocabulary,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and share a vocabulary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0.201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Those four are the tuned</w:t>
      </w:r>
      <w:r>
        <w:t xml:space="preserve"> </w:t>
      </w:r>
      <w:r>
        <w:rPr>
          <w:b/>
          <w:bCs/>
        </w:rPr>
        <w:t xml:space="preserve">linear pipeline (0.839)</w:t>
      </w:r>
      <w:r>
        <w:t xml:space="preserve">, scANVI (0.833), scArches (0.832) and</w:t>
      </w:r>
      <w:r>
        <w:t xml:space="preserve"> </w:t>
      </w:r>
      <w:r>
        <w:t xml:space="preserve">actinn-jax (0.831) — led by the linear pipeline rather than by a deep model. CellTypist</w:t>
      </w:r>
      <w:r>
        <w:t xml:space="preserve"> </w:t>
      </w:r>
      <w:r>
        <w:t xml:space="preserve">(0.823) sits just outside them.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(§3.3),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the weakest on accuracy and macro-F1 throughout (0.23 macro-F1 on</w:t>
      </w:r>
      <w:r>
        <w:t xml:space="preserve"> </w:t>
      </w:r>
      <w:r>
        <w:t xml:space="preserve">liver_cross), though not on ontology concordance.</w:t>
      </w:r>
    </w:p>
    <w:p>
      <w:pPr>
        <w:pStyle w:val="BodyText"/>
      </w:pPr>
      <w:r>
        <w:rPr>
          <w:b/>
          <w:bCs/>
        </w:rPr>
        <w:t xml:space="preserve">† lung_cross exact-match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exact-match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Figures 2 and 3.</w:t>
      </w:r>
    </w:p>
    <w:p>
      <w:pPr>
        <w:pStyle w:val="BodyText"/>
      </w:pPr>
      <w:r>
        <w:t xml:space="preserve">The</w:t>
      </w:r>
      <w:r>
        <w:t xml:space="preserve"> </w:t>
      </w:r>
      <w:r>
        <w:rPr>
          <w:b/>
          <w:bCs/>
        </w:rPr>
        <w:t xml:space="preserve">tuned linear pipeline</w:t>
      </w:r>
      <w:r>
        <w:t xml:space="preserve"> </w:t>
      </w:r>
      <w:r>
        <w:t xml:space="preserve">holds the fast-frontier point: the highest accuracy in Table 3</w:t>
      </w:r>
      <w:r>
        <w:t xml:space="preserve"> </w:t>
      </w:r>
      <w:r>
        <w:t xml:space="preserve">(0.839) at the lowest fit time of any method in the leading cluster (3.0 s), placing it above</w:t>
      </w:r>
      <w:r>
        <w:t xml:space="preserve"> </w:t>
      </w:r>
      <w:r>
        <w:t xml:space="preserve">and to the left of actinn-jax, SVM, kNN and CellTypist. The deep methods buy little or nothing on accuracy here — at or below the</w:t>
      </w:r>
      <w:r>
        <w:t xml:space="preserve"> </w:t>
      </w:r>
      <w:r>
        <w:t xml:space="preserve">linear pipeline on every dataset except lung — for 36–373× the predict time. actinn-jax</w:t>
      </w:r>
      <w:r>
        <w:t xml:space="preserve"> </w:t>
      </w:r>
      <w:r>
        <w:t xml:space="preserve">sits just inside the frontier at this reference size; what separates it is not visible on a</w:t>
      </w:r>
      <w:r>
        <w:t xml:space="preserve"> </w:t>
      </w:r>
      <w:r>
        <w:t xml:space="preserve">fixed-size plot but on the scaling axes of §3.3: predict time that stays flat as the</w:t>
      </w:r>
      <w:r>
        <w:t xml:space="preserve"> </w:t>
      </w:r>
      <w:r>
        <w:t xml:space="preserve">reference grows, and ~2× lower peak memory that holds to atlas scale. The figure is drawn</w:t>
      </w:r>
      <w:r>
        <w:t xml:space="preserve"> </w:t>
      </w:r>
      <w:r>
        <w:t xml:space="preserve">from the liver_intra panel alone, and is consistent with the panel-wide ranking of Tables 3</w:t>
      </w:r>
      <w:r>
        <w:t xml:space="preserve"> </w:t>
      </w:r>
      <w:r>
        <w:t xml:space="preserve">and 5.</w:t>
      </w:r>
    </w:p>
    <w:bookmarkEnd w:id="51"/>
    <w:bookmarkStart w:id="58"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Fit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does no work at fit time beyond storing the reference, so all of its cost lands on</w:t>
      </w:r>
      <w:r>
        <w:t xml:space="preserve"> </w:t>
      </w:r>
      <w:r>
        <w:t xml:space="preserve">predict, where it is also the least accurate method here.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(This sweep’s own</w:t>
      </w:r>
      <w:r>
        <w:t xml:space="preserve"> </w:t>
      </w:r>
      <w:r>
        <w:t xml:space="preserve">memory column is process-cumulative and not a clean per-size measurement; the atlas sweep</w:t>
      </w:r>
      <w:r>
        <w:t xml:space="preserve"> </w:t>
      </w:r>
      <w:r>
        <w:t xml:space="preserve">below and the matrix of §3.1 both run each method in its own process, and are what the</w:t>
      </w:r>
      <w:r>
        <w:t xml:space="preserve"> </w:t>
      </w:r>
      <w:r>
        <w:t xml:space="preserve">memory numbers come from.)</w:t>
      </w:r>
    </w:p>
    <w:p>
      <w:pPr>
        <w:pStyle w:val="BodyText"/>
      </w:pPr>
      <w:r>
        <w:rPr>
          <w:b/>
          <w:bCs/>
        </w:rPr>
        <w:t xml:space="preserve">At atlas scale the ordering changes.</w:t>
      </w:r>
      <w:r>
        <w:t xml:space="preserve"> </w:t>
      </w:r>
      <w:r>
        <w:t xml:space="preserve">The sweep above stops at 24k cells. Carrying four</w:t>
      </w:r>
      <w:r>
        <w:t xml:space="preserve"> </w:t>
      </w:r>
      <w:r>
        <w:t xml:space="preserve">methods to full atlas size — 49k reference cells on lung, 47k on the HLiCA liver atlas —</w:t>
      </w:r>
      <w:r>
        <w:t xml:space="preserve"> </w:t>
      </w:r>
      <w:r>
        <w:t xml:space="preserve">reverses the accuracy ranking (Figure 3A, B). ProtoCloud goes from the weakest method at 3k</w:t>
      </w:r>
      <w:r>
        <w:t xml:space="preserve"> </w:t>
      </w:r>
      <w:r>
        <w:t xml:space="preserve">cells (0.722 lung, 0.581 liver) to the strongest at full scale (</w:t>
      </w:r>
      <w:r>
        <w:rPr>
          <w:b/>
          <w:bCs/>
        </w:rPr>
        <w:t xml:space="preserve">0.976</w:t>
      </w:r>
      <w:r>
        <w:t xml:space="preserve"> </w:t>
      </w:r>
      <w:r>
        <w:t xml:space="preserve">and</w:t>
      </w:r>
      <w:r>
        <w:t xml:space="preserve"> </w:t>
      </w:r>
      <w:r>
        <w:rPr>
          <w:b/>
          <w:bCs/>
        </w:rPr>
        <w:t xml:space="preserve">0.905</w:t>
      </w:r>
      <w:r>
        <w:t xml:space="preserve">),</w:t>
      </w:r>
      <w:r>
        <w:t xml:space="preserve"> </w:t>
      </w:r>
      <w:r>
        <w:t xml:space="preserve">clear of the linear pipeline (0.939, 0.863) and actinn-jax (0.936, 0.824), at 19× actinn-jax’s</w:t>
      </w:r>
      <w:r>
        <w:t xml:space="preserve"> </w:t>
      </w:r>
      <w:r>
        <w:t xml:space="preserve">CPU fit cost. scTOP gains little from scale on lung (0.819 → 0.846, barely outside its</w:t>
      </w:r>
      <w:r>
        <w:t xml:space="preserve"> </w:t>
      </w:r>
      <w:r>
        <w:t xml:space="preserve">interval) and loses ground on liver (0.657 → 0.583). Peak memory grows for every method, but the spread stays</w:t>
      </w:r>
      <w:r>
        <w:t xml:space="preserve"> </w:t>
      </w:r>
      <w:r>
        <w:rPr>
          <w:b/>
          <w:bCs/>
        </w:rPr>
        <w:t xml:space="preserve">bounded at ~2×</w:t>
      </w:r>
      <w:r>
        <w:t xml:space="preserve"> </w:t>
      </w:r>
      <w:r>
        <w:t xml:space="preserve">rather than widening (Figure 3C): the linear pipeline is heaviest throughout — 13.2 GB against</w:t>
      </w:r>
      <w:r>
        <w:t xml:space="preserve"> </w:t>
      </w:r>
      <w:r>
        <w:t xml:space="preserve">actinn-jax’s 6.1 GB at 49k lung cells, a 2.15× ratio — and scTOP crosses over from lightest to</w:t>
      </w:r>
      <w:r>
        <w:t xml:space="preserve"> </w:t>
      </w:r>
      <w:r>
        <w:t xml:space="preserve">heaviest as its rank processing densifies (9.3 vs 6.5 GB at 47k liver cells). Conclusions drawn</w:t>
      </w:r>
      <w:r>
        <w:t xml:space="preserve"> </w:t>
      </w:r>
      <w:r>
        <w:t xml:space="preserve">from subsampled references do not transfer to atlas scale, in either direction.</w:t>
      </w:r>
    </w:p>
    <w:p>
      <w:pPr>
        <w:pStyle w:val="BodyText"/>
      </w:pPr>
      <w:r>
        <w:drawing>
          <wp:inline>
            <wp:extent cx="5334000" cy="1702553"/>
            <wp:effectExtent b="0" l="0" r="0" t="0"/>
            <wp:docPr descr="accuracy and memory against reference size on two atlases" title="" id="56" name="Picture"/>
            <a:graphic>
              <a:graphicData uri="http://schemas.openxmlformats.org/drawingml/2006/picture">
                <pic:pic>
                  <pic:nvPicPr>
                    <pic:cNvPr descr="/Users/iandriver/Downloads/actinn-jax-benchmark/docs/figures/fig_atlas_scaling.png" id="57" name="Picture"/>
                    <pic:cNvPicPr>
                      <a:picLocks noChangeArrowheads="1" noChangeAspect="1"/>
                    </pic:cNvPicPr>
                  </pic:nvPicPr>
                  <pic:blipFill>
                    <a:blip r:embed="rId55"/>
                    <a:stretch>
                      <a:fillRect/>
                    </a:stretch>
                  </pic:blipFill>
                  <pic:spPr bwMode="auto">
                    <a:xfrm>
                      <a:off x="0" y="0"/>
                      <a:ext cx="5334000" cy="1702553"/>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Accuracy and peak memory against reference size, four methods carried to full</w:t>
      </w:r>
      <w:r>
        <w:t xml:space="preserve"> </w:t>
      </w:r>
      <w:r>
        <w:t xml:space="preserve">atlas scale on two datasets.</w:t>
      </w:r>
      <w:r>
        <w:t xml:space="preserve"> </w:t>
      </w:r>
      <w:r>
        <w:rPr>
          <w:i/>
          <w:iCs/>
        </w:rPr>
        <w:t xml:space="preserve">A:</w:t>
      </w:r>
      <w:r>
        <w:t xml:space="preserve"> </w:t>
      </w:r>
      <w:r>
        <w:t xml:space="preserve">lung, 3k → 49k reference cells.</w:t>
      </w:r>
      <w:r>
        <w:t xml:space="preserve"> </w:t>
      </w:r>
      <w:r>
        <w:rPr>
          <w:i/>
          <w:iCs/>
        </w:rPr>
        <w:t xml:space="preserve">B:</w:t>
      </w:r>
      <w:r>
        <w:t xml:space="preserve"> </w:t>
      </w:r>
      <w:r>
        <w:t xml:space="preserve">the HLiCA liver atlas,</w:t>
      </w:r>
      <w:r>
        <w:t xml:space="preserve"> </w:t>
      </w:r>
      <w:r>
        <w:t xml:space="preserve">2.7k → 47k, an independent replication of the same reversal.</w:t>
      </w:r>
      <w:r>
        <w:t xml:space="preserve"> </w:t>
      </w:r>
      <w:r>
        <w:rPr>
          <w:i/>
          <w:iCs/>
        </w:rPr>
        <w:t xml:space="preserve">C:</w:t>
      </w:r>
      <w:r>
        <w:t xml:space="preserve"> </w:t>
      </w:r>
      <w:r>
        <w:t xml:space="preserve">peak memory over both</w:t>
      </w:r>
      <w:r>
        <w:t xml:space="preserve"> </w:t>
      </w:r>
      <w:r>
        <w:t xml:space="preserve">sweeps. Error bars on</w:t>
      </w:r>
      <w:r>
        <w:t xml:space="preserve"> </w:t>
      </w:r>
      <w:r>
        <w:rPr>
          <w:i/>
          <w:iCs/>
        </w:rPr>
        <w:t xml:space="preserve">A</w:t>
      </w:r>
      <w:r>
        <w:t xml:space="preserve"> </w:t>
      </w:r>
      <w:r>
        <w:t xml:space="preserve">and</w:t>
      </w:r>
      <w:r>
        <w:t xml:space="preserve"> </w:t>
      </w:r>
      <w:r>
        <w:rPr>
          <w:i/>
          <w:iCs/>
        </w:rPr>
        <w:t xml:space="preserve">B</w:t>
      </w:r>
      <w:r>
        <w:t xml:space="preserve"> </w:t>
      </w:r>
      <w:r>
        <w:t xml:space="preserve">are 95% binomial intervals on the query, which grows with</w:t>
      </w:r>
      <w:r>
        <w:t xml:space="preserve"> </w:t>
      </w:r>
      <w:r>
        <w:t xml:space="preserve">the reference (1,035 to 16,398 cells on lung), so they narrow from left to right; each point</w:t>
      </w:r>
      <w:r>
        <w:t xml:space="preserve"> </w:t>
      </w:r>
      <w:r>
        <w:t xml:space="preserve">is a single run, so they cover sampling of the query and not run-to-run variation. Peak memory</w:t>
      </w:r>
      <w:r>
        <w:t xml:space="preserve"> </w:t>
      </w:r>
      <w:r>
        <w:t xml:space="preserve">is not a proportion and carries none. Fit time is not plotted: the 47k liver point was measured</w:t>
      </w:r>
      <w:r>
        <w:t xml:space="preserve"> </w:t>
      </w:r>
      <w:r>
        <w:t xml:space="preserve">under CPU contention, so a cost axis there would report scheduling rather than scaling.</w:t>
      </w:r>
    </w:p>
    <w:bookmarkEnd w:id="58"/>
    <w:bookmarkStart w:id="65"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1965681"/>
            <wp:effectExtent b="0" l="0" r="0" t="0"/>
            <wp:docPr descr="the broad pass and the focused pass on one query" title="" id="60" name="Picture"/>
            <a:graphic>
              <a:graphicData uri="http://schemas.openxmlformats.org/drawingml/2006/picture">
                <pic:pic>
                  <pic:nvPicPr>
                    <pic:cNvPr descr="/Users/iandriver/Downloads/actinn-jax-benchmark/docs/figures/fig_workflow_umap_ondata.png" id="61" name="Picture"/>
                    <pic:cNvPicPr>
                      <a:picLocks noChangeArrowheads="1" noChangeAspect="1"/>
                    </pic:cNvPicPr>
                  </pic:nvPicPr>
                  <pic:blipFill>
                    <a:blip r:embed="rId59"/>
                    <a:stretch>
                      <a:fillRect/>
                    </a:stretch>
                  </pic:blipFill>
                  <pic:spPr bwMode="auto">
                    <a:xfrm>
                      <a:off x="0" y="0"/>
                      <a:ext cx="5334000" cy="1965681"/>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The workflow on a withheld HLiCA liver study (3,396 cells), same embedding</w:t>
      </w:r>
      <w:r>
        <w:t xml:space="preserve"> </w:t>
      </w:r>
      <w:r>
        <w:t xml:space="preserve">throughout.</w:t>
      </w:r>
      <w:r>
        <w:t xml:space="preserve"> </w:t>
      </w:r>
      <w:r>
        <w:rPr>
          <w:i/>
          <w:iCs/>
        </w:rPr>
        <w:t xml:space="preserve">Left:</w:t>
      </w:r>
      <w:r>
        <w:t xml:space="preserve"> </w:t>
      </w:r>
      <w:r>
        <w:t xml:space="preserve">the shipped census reference spreads 137 of its 798 labels over the query</w:t>
      </w:r>
      <w:r>
        <w:t xml:space="preserve"> </w:t>
      </w:r>
      <w:r>
        <w:t xml:space="preserve">(concordance</w:t>
      </w:r>
      <w:r>
        <w:t xml:space="preserve"> </w:t>
      </w:r>
      <w:r>
        <w:rPr>
          <w:b/>
          <w:bCs/>
        </w:rPr>
        <w:t xml:space="preserve">0.34</w:t>
      </w:r>
      <w:r>
        <w:t xml:space="preserve">) — it is not trying to name subtypes.</w:t>
      </w:r>
      <w:r>
        <w:t xml:space="preserve"> </w:t>
      </w:r>
      <w:r>
        <w:rPr>
          <w:i/>
          <w:iCs/>
        </w:rPr>
        <w:t xml:space="preserve">Center:</w:t>
      </w:r>
      <w:r>
        <w:t xml:space="preserve"> </w:t>
      </w:r>
      <w:r>
        <w:t xml:space="preserve">those calls resolved to</w:t>
      </w:r>
      <w:r>
        <w:t xml:space="preserve"> </w:t>
      </w:r>
      <w:r>
        <w:t xml:space="preserve">tissue through the reference’s per-class tissue map;</w:t>
      </w:r>
      <w:r>
        <w:t xml:space="preserve"> </w:t>
      </w:r>
      <w:r>
        <w:rPr>
          <w:b/>
          <w:bCs/>
        </w:rPr>
        <w:t xml:space="preserve">76%</w:t>
      </w:r>
      <w:r>
        <w:t xml:space="preserve"> </w:t>
      </w:r>
      <w:r>
        <w:t xml:space="preserve">of tissue-specific calls say</w:t>
      </w:r>
      <w:r>
        <w:t xml:space="preserve"> </w:t>
      </w:r>
      <w:r>
        <w:t xml:space="preserve">liver against 4% for the next candidate, which is the decision that selects the next</w:t>
      </w:r>
      <w:r>
        <w:t xml:space="preserve"> </w:t>
      </w:r>
      <w:r>
        <w:t xml:space="preserve">reference.</w:t>
      </w:r>
      <w:r>
        <w:t xml:space="preserve"> </w:t>
      </w:r>
      <w:r>
        <w:rPr>
          <w:i/>
          <w:iCs/>
        </w:rPr>
        <w:t xml:space="preserve">Right of center:</w:t>
      </w:r>
      <w:r>
        <w:t xml:space="preserve"> </w:t>
      </w:r>
      <w:r>
        <w:t xml:space="preserve">the 36-type liver reference re-annotates the same cells at</w:t>
      </w:r>
      <w:r>
        <w:t xml:space="preserve"> </w:t>
      </w:r>
      <w:r>
        <w:rPr>
          <w:b/>
          <w:bCs/>
        </w:rPr>
        <w:t xml:space="preserve">0.73</w:t>
      </w:r>
      <w:r>
        <w:t xml:space="preserve">, now tracking the clusters.</w:t>
      </w:r>
      <w:r>
        <w:t xml:space="preserve"> </w:t>
      </w:r>
      <w:r>
        <w:rPr>
          <w:i/>
          <w:iCs/>
        </w:rPr>
        <w:t xml:space="preserve">Right:</w:t>
      </w:r>
      <w:r>
        <w:t xml:space="preserve"> </w:t>
      </w:r>
      <w:r>
        <w:t xml:space="preserve">the study’s own labels on the shared palette.</w:t>
      </w:r>
      <w:r>
        <w:t xml:space="preserve"> </w:t>
      </w:r>
      <w:r>
        <w:t xml:space="preserve">Both models are leakage-free for this query: the focused reference is trained only on the six</w:t>
      </w:r>
      <w:r>
        <w:t xml:space="preserve"> </w:t>
      </w:r>
      <w:r>
        <w:t xml:space="preserve">non-withheld studies. Abstention is off in all panels, so the numbers measure labeling</w:t>
      </w:r>
      <w:r>
        <w:t xml:space="preserve"> </w:t>
      </w:r>
      <w:r>
        <w:t xml:space="preserve">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(§3.5). This is the orientation</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more accurate and ~3× faster than building it from the</w:t>
      </w:r>
      <w:r>
        <w:t xml:space="preserve"> </w:t>
      </w:r>
      <w:r>
        <w:t xml:space="preserve">census 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Holding out a whole HLiCA</w:t>
      </w:r>
      <w:r>
        <w:t xml:space="preserve"> </w:t>
      </w:r>
      <w:r>
        <w:t xml:space="preserve">study (56,545 cells, a different research center’s protocol), the broad census model scores</w:t>
      </w:r>
      <w:r>
        <w:t xml:space="preserve"> </w:t>
      </w:r>
      <w:r>
        <w:t xml:space="preserve">exact-match</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38-type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broad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catching cells</w:t>
      </w:r>
      <w:r>
        <w:t xml:space="preserve"> </w:t>
      </w:r>
      <w:r>
        <w:t xml:space="preserve">that fall outside every focused reference’s scope.</w:t>
      </w:r>
    </w:p>
    <w:p>
      <w:pPr>
        <w:pStyle w:val="BodyText"/>
      </w:pPr>
      <w:r>
        <w:rPr>
          <w:b/>
          <w:bCs/>
        </w:rPr>
        <w:t xml:space="preserve">Can a broad reference be built for an organism with no pretrained annotator?</w:t>
      </w:r>
      <w:r>
        <w:t xml:space="preserve"> </w:t>
      </w:r>
      <w:r>
        <w:t xml:space="preserve">For mouse,</w:t>
      </w:r>
      <w:r>
        <w:t xml:space="preserve"> </w:t>
      </w:r>
      <w:r>
        <w:t xml:space="preserve">neither human route carries over intact, but for different reasons. Distillation needs a</w:t>
      </w:r>
      <w:r>
        <w:t xml:space="preserve"> </w:t>
      </w:r>
      <w:r>
        <w:t xml:space="preserve">teacher, and Pan-human Azimuth is human-only — there is no mouse model to distill. The census</w:t>
      </w:r>
      <w:r>
        <w:t xml:space="preserve"> </w:t>
      </w:r>
      <w:r>
        <w:t xml:space="preserve">route does apply to mouse, but its one expensive step does not travel cheaply: the coarse</w:t>
      </w:r>
      <w:r>
        <w:t xml:space="preserve"> </w:t>
      </w:r>
      <w:r>
        <w:t xml:space="preserve">groups are found by Ward-clustering scPRINT embeddings of per-type expression centroids, which</w:t>
      </w:r>
      <w:r>
        <w:t xml:space="preserve"> </w:t>
      </w:r>
      <w:r>
        <w:t xml:space="preserve">wants a GPU, and scPRINT’s mouse support is untested here.</w:t>
      </w:r>
    </w:p>
    <w:p>
      <w:pPr>
        <w:pStyle w:val="BodyText"/>
      </w:pPr>
      <w:r>
        <w:t xml:space="preserve">That clustering step is the only one that has to be replaced (Figure 5A). The census already</w:t>
      </w:r>
      <w:r>
        <w:t xml:space="preserve"> </w:t>
      </w:r>
      <w:r>
        <w:t xml:space="preserve">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with the same Ward linkage, gives a</w:t>
      </w:r>
      <w:r>
        <w:t xml:space="preserve"> </w:t>
      </w:r>
      <w:r>
        <w:t xml:space="preserve">hierarchy that is free, deterministic and species-independent.</w:t>
      </w:r>
    </w:p>
    <w:p>
      <w:pPr>
        <w:pStyle w:val="BodyText"/>
      </w:pPr>
      <w:r>
        <w:drawing>
          <wp:inline>
            <wp:extent cx="5334000" cy="3459955"/>
            <wp:effectExtent b="0" l="0" r="0" t="0"/>
            <wp:docPr descr="building a coarse hierarchy without a GPU" title="" id="63" name="Picture"/>
            <a:graphic>
              <a:graphicData uri="http://schemas.openxmlformats.org/drawingml/2006/picture">
                <pic:pic>
                  <pic:nvPicPr>
                    <pic:cNvPr descr="/Users/iandriver/Downloads/actinn-jax-benchmark/docs/figures/fig_ontology_hierarchy.png" id="64" name="Picture"/>
                    <pic:cNvPicPr>
                      <a:picLocks noChangeArrowheads="1" noChangeAspect="1"/>
                    </pic:cNvPicPr>
                  </pic:nvPicPr>
                  <pic:blipFill>
                    <a:blip r:embed="rId62"/>
                    <a:stretch>
                      <a:fillRect/>
                    </a:stretch>
                  </pic:blipFill>
                  <pic:spPr bwMode="auto">
                    <a:xfrm>
                      <a:off x="0" y="0"/>
                      <a:ext cx="5334000" cy="3459955"/>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Replacing the one step of the reference build that needs a GPU.</w:t>
      </w:r>
      <w:r>
        <w:t xml:space="preserve"> </w:t>
      </w:r>
      <w:r>
        <w:rPr>
          <w:i/>
          <w:iCs/>
        </w:rPr>
        <w:t xml:space="preserve">A:</w:t>
      </w:r>
      <w:r>
        <w:t xml:space="preserve"> </w:t>
      </w:r>
      <w:r>
        <w:t xml:space="preserve">both routes</w:t>
      </w:r>
      <w:r>
        <w:t xml:space="preserve"> </w:t>
      </w:r>
      <w:r>
        <w:t xml:space="preserve">to the coarse groups; only the middle step differs.</w:t>
      </w:r>
      <w:r>
        <w:t xml:space="preserve"> </w:t>
      </w:r>
      <w:r>
        <w:rPr>
          <w:i/>
          <w:iCs/>
        </w:rPr>
        <w:t xml:space="preserve">B:</w:t>
      </w:r>
      <w:r>
        <w:t xml:space="preserve"> </w:t>
      </w:r>
      <w:r>
        <w:t xml:space="preserve">the 21 coarse groups of</w:t>
      </w:r>
      <w:r>
        <w:t xml:space="preserve"> </w:t>
      </w:r>
      <w:r>
        <w:rPr>
          <w:rStyle w:val="VerbatimChar"/>
        </w:rPr>
        <w:t xml:space="preserve">broad_mouse_v1</w:t>
      </w:r>
      <w:r>
        <w:t xml:space="preserve">, each named by the Cell Ontology term its members share, with a percentage</w:t>
      </w:r>
      <w:r>
        <w:t xml:space="preserve"> </w:t>
      </w:r>
      <w:r>
        <w:t xml:space="preserve">where that term covers most but not all of the group; the gray bar is the single group whose</w:t>
      </w:r>
      <w:r>
        <w:t xml:space="preserve"> </w:t>
      </w:r>
      <w:r>
        <w:t xml:space="preserve">members share no term below the generic ones.</w:t>
      </w:r>
      <w:r>
        <w:t xml:space="preserve"> </w:t>
      </w:r>
      <w:r>
        <w:rPr>
          <w:i/>
          <w:iCs/>
        </w:rPr>
        <w:t xml:space="preserve">C:</w:t>
      </w:r>
      <w:r>
        <w:t xml:space="preserve"> </w:t>
      </w:r>
      <w:r>
        <w:t xml:space="preserve">the ontology grouping against no hierarchy and</w:t>
      </w:r>
      <w:r>
        <w:t xml:space="preserve"> </w:t>
      </w:r>
      <w:r>
        <w:t xml:space="preserve">against a random grouping with the same group sizes, scored by ontology concordance on the</w:t>
      </w:r>
      <w:r>
        <w:t xml:space="preserve"> </w:t>
      </w:r>
      <w:r>
        <w:t xml:space="preserve">held-out human lung atlas. Bars start at zero and error bars are 95% binomial intervals on the</w:t>
      </w:r>
      <w:r>
        <w:t xml:space="preserve"> </w:t>
      </w:r>
      <w:r>
        <w:t xml:space="preserve">2,161 scored cells; the gain over no hierarchy clears that interval and the gap between the two</w:t>
      </w:r>
      <w:r>
        <w:t xml:space="preserve"> </w:t>
      </w:r>
      <w:r>
        <w:t xml:space="preserve">controls does not.</w:t>
      </w:r>
    </w:p>
    <w:p>
      <w:pPr>
        <w:pStyle w:val="BodyText"/>
      </w:pPr>
      <w:r>
        <w:rPr>
          <w:b/>
          <w:bCs/>
        </w:rPr>
        <w:t xml:space="preserve">The groups it produces are lineages.</w:t>
      </w:r>
      <w:r>
        <w:t xml:space="preserve"> </w:t>
      </w:r>
      <w:r>
        <w:t xml:space="preserve">Twenty of the 21 mouse groups resolve to one CL</w:t>
      </w:r>
      <w:r>
        <w:t xml:space="preserve"> </w:t>
      </w:r>
      <w:r>
        <w:t xml:space="preserve">lineage each — lymphocytes, neurons, epithelium, endothelium, mononuclear phagocytes, kidney</w:t>
      </w:r>
      <w:r>
        <w:t xml:space="preserve"> </w:t>
      </w:r>
      <w:r>
        <w:t xml:space="preserve">tubule — and the twenty-first is a catch-all of 48 types whose census labels (</w:t>
      </w:r>
      <w:r>
        <w:rPr>
          <w:rStyle w:val="VerbatimChar"/>
        </w:rPr>
        <w:t xml:space="preserve">cell</w:t>
      </w:r>
      <w:r>
        <w:t xml:space="preserve">,</w:t>
      </w:r>
      <w:r>
        <w:t xml:space="preserve"> </w:t>
      </w:r>
      <w:r>
        <w:rPr>
          <w:rStyle w:val="VerbatimChar"/>
        </w:rPr>
        <w:t xml:space="preserve">blood cell</w:t>
      </w:r>
      <w:r>
        <w:t xml:space="preserve">) are too vague to place anywhere (Figure 5B).</w:t>
      </w:r>
    </w:p>
    <w:p>
      <w:pPr>
        <w:pStyle w:val="BodyText"/>
      </w:pPr>
      <w:r>
        <w:rPr>
          <w:b/>
          <w:bCs/>
        </w:rPr>
        <w:t xml:space="preserve">The grouping is doing the work, not the splitting.</w:t>
      </w:r>
      <w:r>
        <w:t xml:space="preserve"> </w:t>
      </w:r>
      <w:r>
        <w:t xml:space="preserve">Any partition gives each fine</w:t>
      </w:r>
      <w:r>
        <w:t xml:space="preserve"> </w:t>
      </w:r>
      <w:r>
        <w:t xml:space="preserve">classifier a smaller problem, so the substitution needs a control. Built from one human corpus</w:t>
      </w:r>
      <w:r>
        <w:t xml:space="preserve"> </w:t>
      </w:r>
      <w:r>
        <w:t xml:space="preserve">(51,346 cells / 867 types) and scored on the held-out lung atlas, the ontology grouping reaches</w:t>
      </w:r>
      <w:r>
        <w:t xml:space="preserve"> </w:t>
      </w:r>
      <w:r>
        <w:rPr>
          <w:b/>
          <w:bCs/>
        </w:rPr>
        <w:t xml:space="preserve">0.616</w:t>
      </w:r>
      <w:r>
        <w:t xml:space="preserve"> </w:t>
      </w:r>
      <w:r>
        <w:t xml:space="preserve">against</w:t>
      </w:r>
      <w:r>
        <w:t xml:space="preserve"> </w:t>
      </w:r>
      <w:r>
        <w:rPr>
          <w:b/>
          <w:bCs/>
        </w:rPr>
        <w:t xml:space="preserve">0.547</w:t>
      </w:r>
      <w:r>
        <w:t xml:space="preserve"> </w:t>
      </w:r>
      <w:r>
        <w:t xml:space="preserve">for no hierarchy at all — a gain of</w:t>
      </w:r>
      <w:r>
        <w:t xml:space="preserve"> </w:t>
      </w:r>
      <w:r>
        <w:rPr>
          <w:b/>
          <w:bCs/>
        </w:rPr>
        <w:t xml:space="preserve">0.069</w:t>
      </w:r>
      <w:r>
        <w:t xml:space="preserve">, or 13% relative,</w:t>
      </w:r>
      <w:r>
        <w:t xml:space="preserve"> </w:t>
      </w:r>
      <w:r>
        <w:t xml:space="preserve">which on 2,161 scored cells sits outside the 95% interval of ±0.029. A random grouping with the</w:t>
      </w:r>
      <w:r>
        <w:t xml:space="preserve"> </w:t>
      </w:r>
      <w:r>
        <w:t xml:space="preserve">same group sizes scores</w:t>
      </w:r>
      <w:r>
        <w:t xml:space="preserve"> </w:t>
      </w:r>
      <w:r>
        <w:rPr>
          <w:b/>
          <w:bCs/>
        </w:rPr>
        <w:t xml:space="preserve">0.539</w:t>
      </w:r>
      <w:r>
        <w:t xml:space="preserve">, which is 0.008 from the no-hierarchy control and inside that</w:t>
      </w:r>
      <w:r>
        <w:t xml:space="preserve"> </w:t>
      </w:r>
      <w:r>
        <w:t xml:space="preserve">interval (Figure 5C). What matters is</w:t>
      </w:r>
      <w:r>
        <w:t xml:space="preserve"> </w:t>
      </w:r>
      <w:r>
        <w:rPr>
          <w:i/>
          <w:iCs/>
        </w:rPr>
        <w:t xml:space="preserve">which</w:t>
      </w:r>
      <w:r>
        <w:t xml:space="preserve"> </w:t>
      </w:r>
      <w:r>
        <w:t xml:space="preserve">types share</w:t>
      </w:r>
      <w:r>
        <w:t xml:space="preserve"> </w:t>
      </w:r>
      <w:r>
        <w:t xml:space="preserve">a group. Each group has its own fine classifier and the coarse call decides which one ever</w:t>
      </w:r>
      <w:r>
        <w:t xml:space="preserve"> </w:t>
      </w:r>
      <w:r>
        <w:t xml:space="preserve">sees the cell, so a group pays off only if the coarse classifier can recognize the group</w:t>
      </w:r>
      <w:r>
        <w:t xml:space="preserve"> </w:t>
      </w:r>
      <w:r>
        <w:rPr>
          <w:i/>
          <w:iCs/>
        </w:rPr>
        <w:t xml:space="preserve">and</w:t>
      </w:r>
      <w:r>
        <w:t xml:space="preserve"> </w:t>
      </w:r>
      <w:r>
        <w:t xml:space="preserve">the right answer is inside it. Lineage groups manage both; same-sized random groups manage</w:t>
      </w:r>
      <w:r>
        <w:t xml:space="preserve"> </w:t>
      </w:r>
      <w:r>
        <w:t xml:space="preserve">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7.</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at the same</w:t>
      </w:r>
      <w:r>
        <w:t xml:space="preserve"> </w:t>
      </w:r>
      <w:r>
        <w:rPr>
          <w:rStyle w:val="VerbatimChar"/>
        </w:rPr>
        <w:t xml:space="preserve">p ≥ 0.5</w:t>
      </w:r>
      <w:r>
        <w:t xml:space="preserve"> </w:t>
      </w:r>
      <w:r>
        <w:t xml:space="preserve">threshold it still answers for</w:t>
      </w:r>
      <w:r>
        <w:t xml:space="preserve"> </w:t>
      </w:r>
      <w:r>
        <w:rPr>
          <w:b/>
          <w:bCs/>
        </w:rPr>
        <w:t xml:space="preserve">71%</w:t>
      </w:r>
      <w:r>
        <w:t xml:space="preserve"> </w:t>
      </w:r>
      <w:r>
        <w:t xml:space="preserve">of cells (Table 7), against</w:t>
      </w:r>
      <w:r>
        <w:t xml:space="preserve"> </w:t>
      </w:r>
      <w:r>
        <w:rPr>
          <w:b/>
          <w:bCs/>
        </w:rPr>
        <w:t xml:space="preserve">38%</w:t>
      </w:r>
      <w:r>
        <w:t xml:space="preserve"> </w:t>
      </w:r>
      <w:r>
        <w:t xml:space="preserve">for</w:t>
      </w:r>
      <w:r>
        <w:t xml:space="preserve"> </w:t>
      </w:r>
      <w:r>
        <w:rPr>
          <w:rStyle w:val="VerbatimChar"/>
        </w:rPr>
        <w:t xml:space="preserve">broad_human_v1</w:t>
      </w:r>
      <w:r>
        <w:t xml:space="preserve"> </w:t>
      </w:r>
      <w:r>
        <w:t xml:space="preserve">on its own held-out atlas, because mouse census carries fewer near-duplicate</w:t>
      </w:r>
      <w:r>
        <w:t xml:space="preserve"> </w:t>
      </w:r>
      <w:r>
        <w:t xml:space="preserve">subtypes than human’s ~800-way vocabulary. Coverage at a fixed threshold is the part that</w:t>
      </w:r>
      <w:r>
        <w:t xml:space="preserve"> </w:t>
      </w:r>
      <w:r>
        <w:t xml:space="preserve">compares across the two — the accuracies come from different queries and should not be read</w:t>
      </w:r>
      <w:r>
        <w:t xml:space="preserve"> </w:t>
      </w:r>
      <w:r>
        <w:t xml:space="preserve">head-to-head.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w:t>
      </w:r>
    </w:p>
    <w:p>
      <w:pPr>
        <w:pStyle w:val="BodyText"/>
      </w:pPr>
      <w:r>
        <w:rPr>
          <w:b/>
          <w:bCs/>
        </w:rPr>
        <w:t xml:space="preserve">Supporting mechanisms.</w:t>
      </w:r>
      <w:r>
        <w:t xml:space="preserve"> </w:t>
      </w:r>
      <w:r>
        <w:t xml:space="preserve">(i) The</w:t>
      </w:r>
      <w:r>
        <w:t xml:space="preserve"> </w:t>
      </w:r>
      <w:r>
        <w:rPr>
          <w:b/>
          <w:bCs/>
        </w:rPr>
        <w:t xml:space="preserve">embedding route to the same hierarchy</w:t>
      </w:r>
      <w:r>
        <w:t xml:space="preserve">, evaluated</w:t>
      </w:r>
      <w:r>
        <w:t xml:space="preserve"> </w:t>
      </w:r>
      <w:r>
        <w:t xml:space="preserve">separately from the ontology route above: a foundation model discovers the coarse→fine</w:t>
      </w:r>
      <w:r>
        <w:t xml:space="preserve"> </w:t>
      </w:r>
      <w:r>
        <w:t xml:space="preserve">structure</w:t>
      </w:r>
      <w:r>
        <w:t xml:space="preserve"> </w:t>
      </w:r>
      <w:r>
        <w:rPr>
          <w:i/>
          <w:iCs/>
        </w:rPr>
        <w:t xml:space="preserve">offline</w:t>
      </w:r>
      <w:r>
        <w:t xml:space="preserve"> </w:t>
      </w:r>
      <w:r>
        <w:t xml:space="preserve">and the CPU model uses it at inference. It beats a flat classifier on</w:t>
      </w:r>
      <w:r>
        <w:t xml:space="preserve"> </w:t>
      </w:r>
      <w:r>
        <w:t xml:space="preserve">three of four datasets, matches a hand-built expert hierarchy, and beats a random-grouping</w:t>
      </w:r>
      <w:r>
        <w:t xml:space="preserve"> </w:t>
      </w:r>
      <w:r>
        <w:t xml:space="preserve">control, while never calling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across held-out donors, and 0.88–0.92 transferring between datasets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65"/>
    <w:bookmarkStart w:id="69"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we sweep a confidence threshold over every method</w:t>
      </w:r>
      <w:r>
        <w:t xml:space="preserve"> </w:t>
      </w:r>
      <w:r>
        <w:t xml:space="preserve">that returns a per-cell confidence. Eight do; for scANVI and scArches the confidence is the</w:t>
      </w:r>
      <w:r>
        <w:t xml:space="preserve"> </w:t>
      </w:r>
      <w:r>
        <w:t xml:space="preserve">maximum class posterior from the model’s soft prediction. SVM, SingleR and scPRINT return no</w:t>
      </w:r>
      <w:r>
        <w:t xml:space="preserve"> </w:t>
      </w:r>
      <w:r>
        <w:t xml:space="preserve">per-cell confidence and cannot be swept, and scmap-cluster has a single native</w:t>
      </w:r>
      <w:r>
        <w:t xml:space="preserve"> </w:t>
      </w:r>
      <w:r>
        <w:t xml:space="preserve">“unassigned”</w:t>
      </w:r>
      <w:r>
        <w:t xml:space="preserve"> </w:t>
      </w:r>
      <w:r>
        <w:t xml:space="preserve">decision rather than a threshold.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p≥0.5: acc / cov / OOD</w:t>
            </w:r>
          </w:p>
        </w:tc>
        <w:tc>
          <w:tcPr/>
          <w:p>
            <w:pPr>
              <w:pStyle w:val="Compact"/>
            </w:pPr>
            <w:r>
              <w:t xml:space="preserve">p≥0.7</w:t>
            </w:r>
          </w:p>
        </w:tc>
        <w:tc>
          <w:tcPr/>
          <w:p>
            <w:pPr>
              <w:pStyle w:val="Compact"/>
            </w:pPr>
            <w:r>
              <w:t xml:space="preserve">p≥0.9</w:t>
            </w:r>
          </w:p>
        </w:tc>
      </w:tr>
      <w:tr>
        <w:tc>
          <w:tcPr/>
          <w:p>
            <w:pPr>
              <w:pStyle w:val="Compact"/>
            </w:pPr>
            <w:r>
              <w:rPr>
                <w:b/>
                <w:bCs/>
              </w:rPr>
              <w:t xml:space="preserve">actinn-jax</w:t>
            </w:r>
          </w:p>
        </w:tc>
        <w:tc>
          <w:tcPr/>
          <w:p>
            <w:pPr>
              <w:pStyle w:val="Compact"/>
            </w:pPr>
            <w:r>
              <w:t xml:space="preserve">0.919 / 0.93 / 0.30</w:t>
            </w:r>
          </w:p>
        </w:tc>
        <w:tc>
          <w:tcPr/>
          <w:p>
            <w:pPr>
              <w:pStyle w:val="Compact"/>
            </w:pPr>
            <w:r>
              <w:t xml:space="preserve">0.946 / 0.84 / 0.52</w:t>
            </w:r>
          </w:p>
        </w:tc>
        <w:tc>
          <w:tcPr/>
          <w:p>
            <w:pPr>
              <w:pStyle w:val="Compact"/>
            </w:pPr>
            <w:r>
              <w:t xml:space="preserve">0.969 / 0.66 / 0.73</w:t>
            </w:r>
          </w:p>
        </w:tc>
      </w:tr>
      <w:tr>
        <w:tc>
          <w:tcPr/>
          <w:p>
            <w:pPr>
              <w:pStyle w:val="Compact"/>
            </w:pPr>
            <w:r>
              <w:t xml:space="preserve">scArches</w:t>
            </w:r>
          </w:p>
        </w:tc>
        <w:tc>
          <w:tcPr/>
          <w:p>
            <w:pPr>
              <w:pStyle w:val="Compact"/>
            </w:pPr>
            <w:r>
              <w:t xml:space="preserve">0.902 / 0.94 / 0.20</w:t>
            </w:r>
          </w:p>
        </w:tc>
        <w:tc>
          <w:tcPr/>
          <w:p>
            <w:pPr>
              <w:pStyle w:val="Compact"/>
            </w:pPr>
            <w:r>
              <w:t xml:space="preserve">0.941 / 0.82 / 0.44</w:t>
            </w:r>
          </w:p>
        </w:tc>
        <w:tc>
          <w:tcPr/>
          <w:p>
            <w:pPr>
              <w:pStyle w:val="Compact"/>
            </w:pPr>
            <w:r>
              <w:t xml:space="preserve">0.983 / 0.61 / 0.71</w:t>
            </w:r>
          </w:p>
        </w:tc>
      </w:tr>
      <w:tr>
        <w:tc>
          <w:tcPr/>
          <w:p>
            <w:pPr>
              <w:pStyle w:val="Compact"/>
            </w:pPr>
            <w:r>
              <w:t xml:space="preserve">scANVI</w:t>
            </w:r>
          </w:p>
        </w:tc>
        <w:tc>
          <w:tcPr/>
          <w:p>
            <w:pPr>
              <w:pStyle w:val="Compact"/>
            </w:pPr>
            <w:r>
              <w:t xml:space="preserve">0.893 / 0.96 / 0.13</w:t>
            </w:r>
          </w:p>
        </w:tc>
        <w:tc>
          <w:tcPr/>
          <w:p>
            <w:pPr>
              <w:pStyle w:val="Compact"/>
            </w:pPr>
            <w:r>
              <w:t xml:space="preserve">0.929 / 0.88 / 0.34</w:t>
            </w:r>
          </w:p>
        </w:tc>
        <w:tc>
          <w:tcPr/>
          <w:p>
            <w:pPr>
              <w:pStyle w:val="Compact"/>
            </w:pPr>
            <w:r>
              <w:t xml:space="preserve">0.965 / 0.74 / 0.60</w:t>
            </w:r>
          </w:p>
        </w:tc>
      </w:tr>
      <w:tr>
        <w:tc>
          <w:tcPr/>
          <w:p>
            <w:pPr>
              <w:pStyle w:val="Compact"/>
            </w:pPr>
            <w:r>
              <w:t xml:space="preserve">linear-anova-pca</w:t>
            </w:r>
          </w:p>
        </w:tc>
        <w:tc>
          <w:tcPr/>
          <w:p>
            <w:pPr>
              <w:pStyle w:val="Compact"/>
            </w:pPr>
            <w:r>
              <w:t xml:space="preserve">0.894 / 0.99 / 0.07</w:t>
            </w:r>
          </w:p>
        </w:tc>
        <w:tc>
          <w:tcPr/>
          <w:p>
            <w:pPr>
              <w:pStyle w:val="Compact"/>
            </w:pPr>
            <w:r>
              <w:t xml:space="preserve">0.916 / 0.93 / 0.25</w:t>
            </w:r>
          </w:p>
        </w:tc>
        <w:tc>
          <w:tcPr/>
          <w:p>
            <w:pPr>
              <w:pStyle w:val="Compact"/>
            </w:pPr>
            <w:r>
              <w:t xml:space="preserve">0.941 / 0.85 / 0.46</w:t>
            </w:r>
          </w:p>
        </w:tc>
      </w:tr>
      <w:tr>
        <w:tc>
          <w:tcPr/>
          <w:p>
            <w:pPr>
              <w:pStyle w:val="Compact"/>
            </w:pPr>
            <w:r>
              <w:t xml:space="preserve">kNN</w:t>
            </w:r>
          </w:p>
        </w:tc>
        <w:tc>
          <w:tcPr/>
          <w:p>
            <w:pPr>
              <w:pStyle w:val="Compact"/>
            </w:pPr>
            <w:r>
              <w:t xml:space="preserve">0.830 / 0.86 / 0.28</w:t>
            </w:r>
          </w:p>
        </w:tc>
        <w:tc>
          <w:tcPr/>
          <w:p>
            <w:pPr>
              <w:pStyle w:val="Compact"/>
            </w:pPr>
            <w:r>
              <w:t xml:space="preserve">0.921 / 0.61 / 0.63</w:t>
            </w:r>
          </w:p>
        </w:tc>
        <w:tc>
          <w:tcPr/>
          <w:p>
            <w:pPr>
              <w:pStyle w:val="Compact"/>
            </w:pPr>
            <w:r>
              <w:t xml:space="preserve">0.988 / 0.36 / 0.83</w:t>
            </w:r>
          </w:p>
        </w:tc>
      </w:tr>
      <w:tr>
        <w:tc>
          <w:tcPr/>
          <w:p>
            <w:pPr>
              <w:pStyle w:val="Compact"/>
            </w:pPr>
            <w:r>
              <w:t xml:space="preserve">CellTypist</w:t>
            </w:r>
          </w:p>
        </w:tc>
        <w:tc>
          <w:tcPr/>
          <w:p>
            <w:pPr>
              <w:pStyle w:val="Compact"/>
            </w:pPr>
            <w:r>
              <w:t xml:space="preserve">0.936 / 0.68 / 0.68</w:t>
            </w:r>
          </w:p>
        </w:tc>
        <w:tc>
          <w:tcPr/>
          <w:p>
            <w:pPr>
              <w:pStyle w:val="Compact"/>
            </w:pPr>
            <w:r>
              <w:t xml:space="preserve">0.936 / 0.68 / 0.68</w:t>
            </w:r>
          </w:p>
        </w:tc>
        <w:tc>
          <w:tcPr/>
          <w:p>
            <w:pPr>
              <w:pStyle w:val="Compact"/>
            </w:pPr>
            <w:r>
              <w:t xml:space="preserve">0.937 / 0.68 / 0.68</w:t>
            </w:r>
          </w:p>
        </w:tc>
      </w:tr>
      <w:tr>
        <w:tc>
          <w:tcPr/>
          <w:p>
            <w:pPr>
              <w:pStyle w:val="Compact"/>
            </w:pPr>
            <w:r>
              <w:t xml:space="preserve">ProtoCloud</w:t>
            </w:r>
          </w:p>
        </w:tc>
        <w:tc>
          <w:tcPr/>
          <w:p>
            <w:pPr>
              <w:pStyle w:val="Compact"/>
            </w:pPr>
            <w:r>
              <w:t xml:space="preserve">0.719 / 1.00 / 0.00</w:t>
            </w:r>
          </w:p>
        </w:tc>
        <w:tc>
          <w:tcPr/>
          <w:p>
            <w:pPr>
              <w:pStyle w:val="Compact"/>
            </w:pPr>
            <w:r>
              <w:t xml:space="preserve">0.719 / 0.97 / 0.02</w:t>
            </w:r>
          </w:p>
        </w:tc>
        <w:tc>
          <w:tcPr/>
          <w:p>
            <w:pPr>
              <w:pStyle w:val="Compact"/>
            </w:pPr>
            <w:r>
              <w:t xml:space="preserve">0.750 / 0.61 / 0.47</w:t>
            </w:r>
          </w:p>
        </w:tc>
      </w:tr>
      <w:tr>
        <w:tc>
          <w:tcPr/>
          <w:p>
            <w:pPr>
              <w:pStyle w:val="Compact"/>
            </w:pPr>
            <w:r>
              <w:t xml:space="preserve">scTOP</w:t>
            </w:r>
          </w:p>
        </w:tc>
        <w:tc>
          <w:tcPr/>
          <w:p>
            <w:pPr>
              <w:pStyle w:val="Compact"/>
            </w:pPr>
            <w:r>
              <w:t xml:space="preserve">0.971 / 0.06 / 0.98</w:t>
            </w:r>
          </w:p>
        </w:tc>
        <w:tc>
          <w:tcPr/>
          <w:p>
            <w:pPr>
              <w:pStyle w:val="Compact"/>
            </w:pPr>
            <w:r>
              <w:t xml:space="preserve">1.000 / 0.00 / 1.00</w:t>
            </w:r>
          </w:p>
        </w:tc>
        <w:tc>
          <w:tcPr/>
          <w:p>
            <w:pPr>
              <w:pStyle w:val="Compact"/>
            </w:pPr>
            <w:r>
              <w:t xml:space="preserve">1.000 / 0.00 / 1.00</w:t>
            </w:r>
          </w:p>
        </w:tc>
      </w:tr>
    </w:tbl>
    <w:p>
      <w:pPr>
        <w:pStyle w:val="BodyText"/>
      </w:pPr>
      <w:r>
        <w:rPr>
          <w:b/>
          <w:bCs/>
        </w:rPr>
        <w:t xml:space="preserve">Table 8.</w:t>
      </w:r>
      <w:r>
        <w:t xml:space="preserve"> </w:t>
      </w:r>
      <w:r>
        <w:t xml:space="preserve">Confidence-threshold sweep with 9 of 36 cell types held out of the liver</w:t>
      </w:r>
      <w:r>
        <w:t xml:space="preserve"> </w:t>
      </w:r>
      <w:r>
        <w:t xml:space="preserve">reference, so 1,350 query cells are out-of-distribution. Each cell reads accuracy on kept</w:t>
      </w:r>
      <w:r>
        <w:t xml:space="preserve"> </w:t>
      </w:r>
      <w:r>
        <w:t xml:space="preserve">cells / fraction of cells kept / fraction of held-out-type cells flagged. The full five-point</w:t>
      </w:r>
      <w:r>
        <w:t xml:space="preserve"> </w:t>
      </w:r>
      <w:r>
        <w:t xml:space="preserve">sweep is in Figure 6 and in the result tables.</w:t>
      </w:r>
    </w:p>
    <w:p>
      <w:pPr>
        <w:pStyle w:val="BodyText"/>
      </w:pPr>
      <w:r>
        <w:rPr>
          <w:b/>
          <w:bCs/>
        </w:rPr>
        <w:t xml:space="preserve">Five of the eight give a threshold that does something; three do not.</w:t>
      </w:r>
      <w:r>
        <w:t xml:space="preserve"> </w:t>
      </w:r>
      <w:r>
        <w:t xml:space="preserve">actinn-jax,</w:t>
      </w:r>
      <w:r>
        <w:t xml:space="preserve"> </w:t>
      </w:r>
      <w:r>
        <w:t xml:space="preserve">scArches, scANVI, the linear pipeline and kNN all trade coverage for accuracy across the</w:t>
      </w:r>
      <w:r>
        <w:t xml:space="preserve"> </w:t>
      </w:r>
      <w:r>
        <w:t xml:space="preserve">range. The other three fail in different ways: CellTypist’s probabilities are saturated near 0</w:t>
      </w:r>
      <w:r>
        <w:t xml:space="preserve"> </w:t>
      </w:r>
      <w:r>
        <w:t xml:space="preserve">or 1, so every threshold from 0.3 to 0.9 lands on one operating point; scTOP’s projection score</w:t>
      </w:r>
      <w:r>
        <w:t xml:space="preserve"> </w:t>
      </w:r>
      <w:r>
        <w:t xml:space="preserve">is not a calibrated probability and discards all but 6% of the query by p≥0.5; ProtoCloud’s</w:t>
      </w:r>
      <w:r>
        <w:t xml:space="preserve"> </w:t>
      </w:r>
      <w:r>
        <w:t xml:space="preserve">ambiguity flag barely moves until 0.9.</w:t>
      </w:r>
    </w:p>
    <w:p>
      <w:pPr>
        <w:pStyle w:val="BodyText"/>
      </w:pPr>
      <w:r>
        <w:t xml:space="preserve">Among the five that work, abstain quality does not separate them the way cost does.</w:t>
      </w:r>
      <w:r>
        <w:t xml:space="preserve"> </w:t>
      </w:r>
      <w:r>
        <w:t xml:space="preserve">actinn-jax and scArches are effectively tied — at p≥0.9, 0.969 accuracy on 66% of cells with</w:t>
      </w:r>
      <w:r>
        <w:t xml:space="preserve"> </w:t>
      </w:r>
      <w:r>
        <w:t xml:space="preserve">73% of novel cells flagged against 0.983 on 61% with 71% flagged — and scANVI is close behind.</w:t>
      </w:r>
      <w:r>
        <w:t xml:space="preserve"> </w:t>
      </w:r>
      <w:r>
        <w:t xml:space="preserve">kNN reaches the highest novelty detection (83%) by keeping only 36% of the query, which is a</w:t>
      </w:r>
      <w:r>
        <w:t xml:space="preserve"> </w:t>
      </w:r>
      <w:r>
        <w:t xml:space="preserve">different operating regime rather than a better one, and the linear pipeline is the weakest</w:t>
      </w:r>
      <w:r>
        <w:t xml:space="preserve"> </w:t>
      </w:r>
      <w:r>
        <w:t xml:space="preserve">here, flagging 46% of novel cells at the threshold where actinn-jax flags 73%. The distinction</w:t>
      </w:r>
      <w:r>
        <w:t xml:space="preserve"> </w:t>
      </w:r>
      <w:r>
        <w:t xml:space="preserve">worth drawing is therefore not that actinn-jax abstains better than the deep methods but that</w:t>
      </w:r>
      <w:r>
        <w:t xml:space="preserve"> </w:t>
      </w:r>
      <w:r>
        <w:t xml:space="preserve">it abstains as well for 0.67 s of predict time against scArches’s 21.4 s and scANVI’s 89.2 s</w:t>
      </w:r>
      <w:r>
        <w:t xml:space="preserve"> </w:t>
      </w:r>
      <w:r>
        <w:t xml:space="preserve">(Table 3) — the same accuracy-at-a-fraction-of-the-cost pattern §3.1 reports, applied to the</w:t>
      </w:r>
      <w:r>
        <w:t xml:space="preserve"> </w:t>
      </w:r>
      <w:r>
        <w:t xml:space="preserve">mechanism the workflow of §3.4 routes on.</w:t>
      </w:r>
    </w:p>
    <w:p>
      <w:pPr>
        <w:pStyle w:val="BodyText"/>
      </w:pPr>
      <w:r>
        <w:drawing>
          <wp:inline>
            <wp:extent cx="5334000" cy="2395249"/>
            <wp:effectExtent b="0" l="0" r="0" t="0"/>
            <wp:docPr descr="the abstain trade-off" title="" id="67" name="Picture"/>
            <a:graphic>
              <a:graphicData uri="http://schemas.openxmlformats.org/drawingml/2006/picture">
                <pic:pic>
                  <pic:nvPicPr>
                    <pic:cNvPr descr="/Users/iandriver/Downloads/actinn-jax-benchmark/docs/figures/fig_abstain.png" id="68" name="Picture"/>
                    <pic:cNvPicPr>
                      <a:picLocks noChangeArrowheads="1" noChangeAspect="1"/>
                    </pic:cNvPicPr>
                  </pic:nvPicPr>
                  <pic:blipFill>
                    <a:blip r:embed="rId66"/>
                    <a:stretch>
                      <a:fillRect/>
                    </a:stretch>
                  </pic:blipFill>
                  <pic:spPr bwMode="auto">
                    <a:xfrm>
                      <a:off x="0" y="0"/>
                      <a:ext cx="5334000" cy="2395249"/>
                    </a:xfrm>
                    <a:prstGeom prst="rect">
                      <a:avLst/>
                    </a:prstGeom>
                    <a:noFill/>
                    <a:ln w="9525">
                      <a:noFill/>
                      <a:headEnd/>
                      <a:tailEnd/>
                    </a:ln>
                  </pic:spPr>
                </pic:pic>
              </a:graphicData>
            </a:graphic>
          </wp:inline>
        </w:drawing>
      </w:r>
    </w:p>
    <w:p>
      <w:pPr>
        <w:pStyle w:val="BodyText"/>
      </w:pPr>
      <w:r>
        <w:rPr>
          <w:b/>
          <w:bCs/>
        </w:rPr>
        <w:t xml:space="preserve">Figure 6.</w:t>
      </w:r>
      <w:r>
        <w:t xml:space="preserve"> </w:t>
      </w:r>
      <w:r>
        <w:t xml:space="preserve">What abstention buys, and whether it finds the novel cells, for the eight methods</w:t>
      </w:r>
      <w:r>
        <w:t xml:space="preserve"> </w:t>
      </w:r>
      <w:r>
        <w:t xml:space="preserve">that return a per-cell confidence.</w:t>
      </w:r>
      <w:r>
        <w:t xml:space="preserve"> </w:t>
      </w:r>
      <w:r>
        <w:rPr>
          <w:i/>
          <w:iCs/>
        </w:rPr>
        <w:t xml:space="preserve">Left:</w:t>
      </w:r>
      <w:r>
        <w:t xml:space="preserve"> </w:t>
      </w:r>
      <w:r>
        <w:t xml:space="preserve">accuracy on kept cells against the fraction kept.</w:t>
      </w:r>
      <w:r>
        <w:t xml:space="preserve"> </w:t>
      </w:r>
      <w:r>
        <w:rPr>
          <w:i/>
          <w:iCs/>
        </w:rPr>
        <w:t xml:space="preserve">Right:</w:t>
      </w:r>
      <w:r>
        <w:t xml:space="preserve"> </w:t>
      </w:r>
      <w:r>
        <w:t xml:space="preserve">the share of held-out-type cells flagged as the threshold rises. A usable mechanism</w:t>
      </w:r>
      <w:r>
        <w:t xml:space="preserve"> </w:t>
      </w:r>
      <w:r>
        <w:t xml:space="preserve">moves along both axes; CellTypist’s saturated probabilities collapse four thresholds onto one</w:t>
      </w:r>
      <w:r>
        <w:t xml:space="preserve"> </w:t>
      </w:r>
      <w:r>
        <w:t xml:space="preserve">operating point, and scTOP’s projection score discards the query rather than ranking it.</w:t>
      </w:r>
    </w:p>
    <w:bookmarkEnd w:id="69"/>
    <w:bookmarkStart w:id="70"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exact-match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That is an inherent</w:t>
      </w:r>
      <w:r>
        <w:t xml:space="preserve"> </w:t>
      </w:r>
      <w:r>
        <w:t xml:space="preserve">property of a zero-shot label head rather than a defect, but it does mean the raw predictions</w:t>
      </w:r>
      <w:r>
        <w:t xml:space="preserve"> </w:t>
      </w:r>
      <w:r>
        <w:t xml:space="preserve">are not a drop-in annotator. It is why the two-stage workflow uses scPRINT’s</w:t>
      </w:r>
      <w:r>
        <w:t xml:space="preserve"> </w:t>
      </w:r>
      <w:r>
        <w:rPr>
          <w:b/>
          <w:bCs/>
        </w:rPr>
        <w:t xml:space="preserve">embeddings</w:t>
      </w:r>
      <w:r>
        <w:t xml:space="preserve"> </w:t>
      </w:r>
      <w:r>
        <w:t xml:space="preserve">—</w:t>
      </w:r>
      <w:r>
        <w:t xml:space="preserve"> </w:t>
      </w:r>
      <w:r>
        <w:t xml:space="preserve">its learned structure — to shape a small trained model, and never its zero-shot labels.</w:t>
      </w:r>
    </w:p>
    <w:bookmarkEnd w:id="70"/>
    <w:bookmarkStart w:id="79"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71">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72">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mem</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9.</w:t>
      </w:r>
      <w:r>
        <w:t xml:space="preserve"> </w:t>
      </w:r>
      <w:r>
        <w:t xml:space="preserve">All eleven methods on the six Open Problems datasets, ordered by accuracy. Bold</w:t>
      </w:r>
      <w:r>
        <w:t xml:space="preserve"> </w:t>
      </w:r>
      <w:r>
        <w:t xml:space="preserve">marks the five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why we report both panels rather than picking</w:t>
      </w:r>
      <w:r>
        <w:t xml:space="preserve"> </w:t>
      </w:r>
      <w:r>
        <w:t xml:space="preserve">one.</w:t>
      </w:r>
    </w:p>
    <w:p>
      <w:pPr>
        <w:pStyle w:val="BodyText"/>
      </w:pPr>
      <w:r>
        <w:rPr>
          <w:rStyle w:val="VerbatimChar"/>
        </w:rPr>
        <w:t xml:space="preserve">logistic_regression</w:t>
      </w:r>
      <w:r>
        <w:t xml:space="preserve"> </w:t>
      </w:r>
      <w:r>
        <w:t xml:space="preserve">places fifth on accuracy but first on macro-F1 (0.689), at the</w:t>
      </w:r>
      <w:r>
        <w:t xml:space="preserve"> </w:t>
      </w:r>
      <w:r>
        <w:t xml:space="preserve">second-lowest cost. Across datasets spanning 13 to 160 cell types, accuracy</w:t>
      </w:r>
      <w:r>
        <w:t xml:space="preserve"> </w:t>
      </w:r>
      <w:r>
        <w:t xml:space="preserve">and macro-F1 do not order the panel the same way.</w:t>
      </w:r>
    </w:p>
    <w:p>
      <w:pPr>
        <w:pStyle w:val="BodyText"/>
      </w:pPr>
      <w:r>
        <w:rPr>
          <w:b/>
          <w:bCs/>
        </w:rPr>
        <w:t xml:space="preserve">scTOP collapses on two of the six and is weak on a third.</w:t>
      </w:r>
      <w:r>
        <w:t xml:space="preserve"> </w:t>
      </w:r>
      <w:r>
        <w:t xml:space="preserve">Its mean (0.581) is not a</w:t>
      </w:r>
      <w:r>
        <w:t xml:space="preserve"> </w:t>
      </w:r>
      <w:r>
        <w:t xml:space="preserve">uniformly weak result but 0.042 on tabula_sapiens, 0.124 on gtex_v9 and 0.495 on</w:t>
      </w:r>
      <w:r>
        <w:t xml:space="preserve"> </w:t>
      </w:r>
      <w:r>
        <w:t xml:space="preserve">immune_cell_atlas against 0.90–0.99 on the other three.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starves a gene-space MLP more</w:t>
      </w:r>
      <w:r>
        <w:t xml:space="preserve"> </w:t>
      </w:r>
      <w:r>
        <w:t xml:space="preserve">than it starves the others.</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7).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8)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74" name="Picture"/>
            <a:graphic>
              <a:graphicData uri="http://schemas.openxmlformats.org/drawingml/2006/picture">
                <pic:pic>
                  <pic:nvPicPr>
                    <pic:cNvPr descr="/Users/iandriver/Downloads/actinn-jax-benchmark/docs/figures/gene_budget_curve.png" id="75" name="Picture"/>
                    <pic:cNvPicPr>
                      <a:picLocks noChangeArrowheads="1" noChangeAspect="1"/>
                    </pic:cNvPicPr>
                  </pic:nvPicPr>
                  <pic:blipFill>
                    <a:blip r:embed="rId73"/>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7.</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77" name="Picture"/>
            <a:graphic>
              <a:graphicData uri="http://schemas.openxmlformats.org/drawingml/2006/picture">
                <pic:pic>
                  <pic:nvPicPr>
                    <pic:cNvPr descr="/Users/iandriver/Downloads/actinn-jax-benchmark/docs/figures/gene_budget_signals.png" id="78" name="Picture"/>
                    <pic:cNvPicPr>
                      <a:picLocks noChangeArrowheads="1" noChangeAspect="1"/>
                    </pic:cNvPicPr>
                  </pic:nvPicPr>
                  <pic:blipFill>
                    <a:blip r:embed="rId76"/>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8.</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9"/>
    <w:bookmarkEnd w:id="80"/>
    <w:bookmarkStart w:id="82"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four leading methods are</w:t>
      </w:r>
      <w:r>
        <w:t xml:space="preserve"> </w:t>
      </w:r>
      <w:r>
        <w:t xml:space="preserve">separated by 0.008 in mean accuracy and by ~260× in predict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3.0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(2.4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broad→focused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Much of what looked like a deficit of the</w:t>
      </w:r>
      <w:r>
        <w:t xml:space="preserve"> </w:t>
      </w:r>
      <w:r>
        <w:rPr>
          <w:i/>
          <w:iCs/>
        </w:rPr>
        <w:t xml:space="preserve">model</w:t>
      </w:r>
      <w:r>
        <w:t xml:space="preserve"> </w:t>
      </w:r>
      <w:r>
        <w:t xml:space="preserve">on Open Problems</w:t>
      </w:r>
      <w:r>
        <w:t xml:space="preserve"> </w:t>
      </w:r>
      <w:r>
        <w:t xml:space="preserve">was a deficit of its</w:t>
      </w:r>
      <w:r>
        <w:t xml:space="preserve"> </w:t>
      </w:r>
      <w:r>
        <w:rPr>
          <w:b/>
          <w:bCs/>
        </w:rPr>
        <w:t xml:space="preserve">input</w:t>
      </w:r>
      <w:r>
        <w:t xml:space="preserve">. The benchmark hands every method 1,000 highly variable genes,</w:t>
      </w:r>
      <w:r>
        <w:t xml:space="preserve"> </w:t>
      </w:r>
      <w:r>
        <w:t xml:space="preserve">a far harsher constraint on a model reading gene space directly than on one that learns a</w:t>
      </w:r>
      <w:r>
        <w:t xml:space="preserve"> </w:t>
      </w:r>
      <w:r>
        <w:t xml:space="preserve">compressed representation first, and at a fair gene budget the gene-space MLP</w:t>
      </w:r>
      <w:r>
        <w:t xml:space="preserve"> </w:t>
      </w:r>
      <w:r>
        <w:rPr>
          <w:i/>
          <w:iCs/>
        </w:rPr>
        <w:t xml:space="preserve">matches the</w:t>
      </w:r>
      <w:r>
        <w:rPr>
          <w:i/>
          <w:iCs/>
        </w:rPr>
        <w:t xml:space="preserve"> </w:t>
      </w:r>
      <w:r>
        <w:rPr>
          <w:i/>
          <w:iCs/>
        </w:rPr>
        <w:t xml:space="preserve">leaderboard’s top method</w:t>
      </w:r>
      <w:r>
        <w:t xml:space="preserve"> </w:t>
      </w:r>
      <w:r>
        <w:t xml:space="preserve">on the datasets both complete. Widen the gene panel and most of the</w:t>
      </w:r>
      <w:r>
        <w:t xml:space="preserve"> </w:t>
      </w:r>
      <w:r>
        <w:t xml:space="preserve">gap closes, so the quantity being measured was partly</w:t>
      </w:r>
      <w:r>
        <w:t xml:space="preserve"> </w:t>
      </w:r>
      <w:r>
        <w:t xml:space="preserve">“how well does each method tolerate a</w:t>
      </w:r>
      <w:r>
        <w:t xml:space="preserve"> </w:t>
      </w:r>
      <w:r>
        <w:t xml:space="preserve">narrow input”</w:t>
      </w:r>
      <w:r>
        <w:t xml:space="preserve">, not</w:t>
      </w:r>
      <w:r>
        <w:t xml:space="preserve"> </w:t>
      </w:r>
      <w:r>
        <w:t xml:space="preserve">“which model class is stronger”</w:t>
      </w:r>
      <w:r>
        <w:t xml:space="preserve">.</w:t>
      </w:r>
    </w:p>
    <w:p>
      <w:pPr>
        <w:pStyle w:val="BodyText"/>
      </w:pPr>
      <w:r>
        <w:t xml:space="preserve">The genuine weaknesses are narrower. actinn-jax trails on small references and</w:t>
      </w:r>
      <w:r>
        <w:t xml:space="preserve"> </w:t>
      </w:r>
      <w:r>
        <w:t xml:space="preserve">very-few-cells-per-type sets (§3.1, §5), and it is sensitive to input budget under domain</w:t>
      </w:r>
      <w:r>
        <w:t xml:space="preserve"> </w:t>
      </w:r>
      <w:r>
        <w:t xml:space="preserve">shift: more genes help most datasets but overfit a tiny, fine-grained, shifted query</w:t>
      </w:r>
      <w:r>
        <w:t xml:space="preserve"> </w:t>
      </w:r>
      <w:r>
        <w:t xml:space="preserve">(tabula_sapiens). The two cheapest levers are principled and label-free —</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 cross-validation on the</w:t>
      </w:r>
      <w:r>
        <w:rPr>
          <w:b/>
          <w:bCs/>
        </w:rPr>
        <w:t xml:space="preserve"> </w:t>
      </w:r>
      <w:r>
        <w:rPr>
          <w:b/>
          <w:bCs/>
        </w:rPr>
        <w:t xml:space="preserve">reference alone</w:t>
      </w:r>
      <w:r>
        <w:t xml:space="preserve"> </w:t>
      </w:r>
      <w:r>
        <w:t xml:space="preserve">— and neither peeks at test labels.</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Their</w:t>
      </w:r>
      <w:r>
        <w:t xml:space="preserve"> </w:t>
      </w:r>
      <w:r>
        <w:t xml:space="preserve">7M-parameter supervised hierarchical MLP over a 5,055-gene panel yields cleaner annotations</w:t>
      </w:r>
      <w:r>
        <w:t xml:space="preserve"> </w:t>
      </w:r>
      <w:r>
        <w:t xml:space="preserve">than scGPT and SCimilarity; they report those models’ labels as fragmented and</w:t>
      </w:r>
      <w:r>
        <w:t xml:space="preserve"> </w:t>
      </w:r>
      <w:r>
        <w:t xml:space="preserve">mis-transferred. Their stated theme — that training-data quality and organization matter as</w:t>
      </w:r>
      <w:r>
        <w:t xml:space="preserve"> </w:t>
      </w:r>
      <w:r>
        <w:t xml:space="preserve">much as architecture or scale — is one of the two claims we draw here, and their finding that</w:t>
      </w:r>
      <w:r>
        <w:t xml:space="preserve"> </w:t>
      </w:r>
      <w:r>
        <w:t xml:space="preserve">accuracy</w:t>
      </w:r>
      <w:r>
        <w:t xml:space="preserve"> </w:t>
      </w:r>
      <w:r>
        <w:rPr>
          <w:b/>
          <w:bCs/>
        </w:rPr>
        <w:t xml:space="preserve">saturates past ~5M training cells</w:t>
      </w:r>
      <w:r>
        <w:t xml:space="preserve"> </w:t>
      </w:r>
      <w:r>
        <w:t xml:space="preserve">supports it further. The other claim, that</w:t>
      </w:r>
      <w:r>
        <w:t xml:space="preserve"> </w:t>
      </w:r>
      <w:r>
        <w:t xml:space="preserve">zero-shot foundation-model labels are the weaker option, they reach independently. Both come</w:t>
      </w:r>
      <w:r>
        <w:t xml:space="preserve"> </w:t>
      </w:r>
      <w:r>
        <w:t xml:space="preserve">from a group with no stake in our conclusion.</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§3.3), at ~8× actinn-jax’s CPU fit time (176 vs 22 s mean).</w:t>
      </w:r>
      <w:r>
        <w:t xml:space="preserve"> </w:t>
      </w:r>
      <w:r>
        <w:t xml:space="preserve">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81">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On</w:t>
      </w:r>
      <w:r>
        <w:t xml:space="preserve"> </w:t>
      </w:r>
      <w:r>
        <w:t xml:space="preserve">Tabula Sapiens 2.0 their normalize→ANOVA→PCA→logistic-regression pipeline reaches mean</w:t>
      </w:r>
      <w:r>
        <w:t xml:space="preserve"> </w:t>
      </w:r>
      <w:r>
        <w:t xml:space="preserve">macro-F1 0.899, against 0.907–0.910 for TranscriptFormer variants. Their explanation is</w:t>
      </w:r>
      <w:r>
        <w:t xml:space="preserve"> </w:t>
      </w:r>
      <w:r>
        <w:t xml:space="preserve">geometric: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broad→focused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six to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What no fixed typology can do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the leading methods differ by at most 0.008 in accuracy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82"/>
    <w:bookmarkStart w:id="83"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9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its own best macro-F1 on</w:t>
      </w:r>
      <w:r>
        <w:t xml:space="preserve"> </w:t>
      </w:r>
      <w:r>
        <w:t xml:space="preserve">pbmc (0.837), degrading to 0.644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The main matrix uses subsampled references, and its ranking does not survive atlas scale.</w:t>
      </w:r>
      <w:r>
        <w:t xml:space="preserve"> </w:t>
      </w:r>
      <w:r>
        <w:t xml:space="preserve">Carried to 49k lung and 47k liver reference cells, ProtoCloud moves from the weakest method</w:t>
      </w:r>
      <w:r>
        <w:t xml:space="preserve"> </w:t>
      </w:r>
      <w:r>
        <w:t xml:space="preserve">to the strongest and scTOP crosses from the lightest to heavier than actinn-jax (§3.3,</w:t>
      </w:r>
      <w:r>
        <w:t xml:space="preserve"> </w:t>
      </w:r>
      <w:r>
        <w:t xml:space="preserve">Figure 3). The accuracy ordering of Table 3 describes laptop-sized references, which is the</w:t>
      </w:r>
      <w:r>
        <w:t xml:space="preserve"> </w:t>
      </w:r>
      <w:r>
        <w:t xml:space="preserve">regime this paper is about, but it should not be read as a ranking at atlas scale.</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83"/>
    <w:bookmarkStart w:id="90"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It is</w:t>
      </w:r>
      <w:r>
        <w:t xml:space="preserve"> </w:t>
      </w:r>
      <w:r>
        <w:t xml:space="preserve">archived at</w:t>
      </w:r>
      <w:r>
        <w:t xml:space="preserve"> </w:t>
      </w:r>
      <w:hyperlink r:id="rId84">
        <w:r>
          <w:rPr>
            <w:rStyle w:val="Hyperlink"/>
          </w:rPr>
          <w:t xml:space="preserve">doi:10.5281/zenodo.21911372</w:t>
        </w:r>
      </w:hyperlink>
      <w:r>
        <w:t xml:space="preserve"> </w:t>
      </w:r>
      <w:r>
        <w:t xml:space="preserve">(MIT; a</w:t>
      </w:r>
      <w:r>
        <w:t xml:space="preserve"> </w:t>
      </w:r>
      <w:r>
        <w:t xml:space="preserve">concept DOI that resolves to the most recent release), which is what to cite for reproduction</w:t>
      </w:r>
      <w:r>
        <w:t xml:space="preserve"> </w:t>
      </w:r>
      <w:r>
        <w:t xml:space="preserve">rather than the default branch, since the branch may move on. The</w:t>
      </w:r>
      <w:r>
        <w:t xml:space="preserve"> </w:t>
      </w:r>
      <w:hyperlink r:id="rId85">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86">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87">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88">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89">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Additional documentation.</w:t>
      </w:r>
      <w:r>
        <w:t xml:space="preserve"> </w:t>
      </w:r>
      <w:r>
        <w:t xml:space="preserve">The</w:t>
      </w:r>
      <w:r>
        <w:t xml:space="preserve"> </w:t>
      </w:r>
      <w:hyperlink r:id="rId33">
        <w:r>
          <w:rPr>
            <w:rStyle w:val="Hyperlink"/>
          </w:rPr>
          <w:t xml:space="preserve">benchmark repository</w:t>
        </w:r>
      </w:hyperlink>
      <w:r>
        <w:t xml:space="preserve"> </w:t>
      </w:r>
      <w:r>
        <w:t xml:space="preserve">carries detailed notes for each result — tuned linear pipeline and sctop baselines; protocloud comparison; scaling and memory to atlas size; survey of cell-type annotation methods; rebuilding the broad reference; distilling pan-human azimuth; and 9 more.</w:t>
      </w:r>
    </w:p>
    <w:p>
      <w:pPr>
        <w:pStyle w:val="BodyText"/>
      </w:pPr>
      <w:r>
        <w:rPr>
          <w:b/>
          <w:bCs/>
        </w:rPr>
        <w:t xml:space="preserve">Supplementary material</w:t>
      </w:r>
      <w:r>
        <w:t xml:space="preserve"> </w:t>
      </w:r>
      <w:r>
        <w:t xml:space="preserve">(separate document) contains Figures S1–S4 — confusion matrices</w:t>
      </w:r>
      <w:r>
        <w:t xml:space="preserve"> </w:t>
      </w:r>
      <w:r>
        <w:t xml:space="preserve">with ontology-equivalent errors outlined, and per-class recall across eleven methods on three</w:t>
      </w:r>
      <w:r>
        <w:t xml:space="preserve"> </w:t>
      </w:r>
      <w:r>
        <w:t xml:space="preserve">splits — and Tables S1–S3, the method and dataset descriptions and per-dataset accuracy.</w:t>
      </w:r>
    </w:p>
    <w:bookmarkEnd w:id="90"/>
    <w:bookmarkStart w:id="91" w:name="references"/>
    <w:p>
      <w:pPr>
        <w:pStyle w:val="Heading1"/>
      </w:pPr>
      <w:r>
        <w:t xml:space="preserve">References</w:t>
      </w:r>
    </w:p>
    <w:p>
      <w:pPr>
        <w:pStyle w:val="Compact"/>
        <w:numPr>
          <w:ilvl w:val="0"/>
          <w:numId w:val="1008"/>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8"/>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8"/>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8"/>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8"/>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8"/>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8"/>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72">
        <w:r>
          <w:rPr>
            <w:rStyle w:val="Hyperlink"/>
          </w:rPr>
          <w:t xml:space="preserve">doi:10.1145/2939672.2939785</w:t>
        </w:r>
      </w:hyperlink>
      <w:r>
        <w:t xml:space="preserve">.</w:t>
      </w:r>
    </w:p>
    <w:p>
      <w:pPr>
        <w:pStyle w:val="Compact"/>
        <w:numPr>
          <w:ilvl w:val="0"/>
          <w:numId w:val="1008"/>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8"/>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8"/>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8"/>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8"/>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8"/>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8"/>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8"/>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8"/>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8"/>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8"/>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8"/>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8"/>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8"/>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8"/>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81">
        <w:r>
          <w:rPr>
            <w:rStyle w:val="Hyperlink"/>
          </w:rPr>
          <w:t xml:space="preserve">doi:10.64898/2026.02.11.705358</w:t>
        </w:r>
      </w:hyperlink>
      <w:r>
        <w:t xml:space="preserve">.</w:t>
      </w:r>
    </w:p>
    <w:p>
      <w:pPr>
        <w:pStyle w:val="Compact"/>
        <w:numPr>
          <w:ilvl w:val="0"/>
          <w:numId w:val="1008"/>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8"/>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8"/>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8"/>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9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6" Target="media/rId66.png" /><Relationship Type="http://schemas.openxmlformats.org/officeDocument/2006/relationships/image" Id="rId55" Target="media/rId55.png" /><Relationship Type="http://schemas.openxmlformats.org/officeDocument/2006/relationships/image" Id="rId62" Target="media/rId62.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hyperlink" Id="rId36" Target="https://chanzuckerberg.github.io/cellxgene-census/" TargetMode="External" /><Relationship Type="http://schemas.openxmlformats.org/officeDocument/2006/relationships/hyperlink" Id="rId8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9" Target="https://doi.org/10.5281/zenodo.20401417" TargetMode="External" /><Relationship Type="http://schemas.openxmlformats.org/officeDocument/2006/relationships/hyperlink" Id="rId87" Target="https://doi.org/10.5281/zenodo.21688150" TargetMode="External" /><Relationship Type="http://schemas.openxmlformats.org/officeDocument/2006/relationships/hyperlink" Id="rId86" Target="https://doi.org/10.5281/zenodo.21688151" TargetMode="External" /><Relationship Type="http://schemas.openxmlformats.org/officeDocument/2006/relationships/hyperlink" Id="rId84" Target="https://doi.org/10.5281/zenodo.21911372"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8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72"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89" Target="https://doi.org/10.5281/zenodo.20401417" TargetMode="External" /><Relationship Type="http://schemas.openxmlformats.org/officeDocument/2006/relationships/hyperlink" Id="rId87" Target="https://doi.org/10.5281/zenodo.21688150" TargetMode="External" /><Relationship Type="http://schemas.openxmlformats.org/officeDocument/2006/relationships/hyperlink" Id="rId86" Target="https://doi.org/10.5281/zenodo.21688151" TargetMode="External" /><Relationship Type="http://schemas.openxmlformats.org/officeDocument/2006/relationships/hyperlink" Id="rId84" Target="https://doi.org/10.5281/zenodo.21911372" TargetMode="External" /><Relationship Type="http://schemas.openxmlformats.org/officeDocument/2006/relationships/hyperlink" Id="rId81"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8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71"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benchmark of cell-type annotation methods for single-cell data: cost, not accuracy, distinguishes them</dc:title>
  <dc:creator>Ian Driver</dc:creator>
  <cp:keywords/>
  <dcterms:created xsi:type="dcterms:W3CDTF">2026-08-13T16:28:35Z</dcterms:created>
  <dcterms:modified xsi:type="dcterms:W3CDTF">2026-08-13T16:28:35Z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Cell-type annotation by reference mapping is among the most frequently repeated operations in single-cell analysis, yet published comparisons report accuracy far more often than the wall-clock time and memory that decide what a working scientist can actually run. We benchmarked thirteen methods — classical, regularized-linear, parameter-free, correlation, deep-probabilistic, prototype-VAE and foundation-model — across six datasets (8–86 cell types; within-dataset, cross-dataset and cross-study splits) on commodity hardware, and validated externally on Open Problems label_projection, whose datasets, metrics and ranking we did not choose. Accuracy among the leading methods is tightly clustered — the top four span 0.008 — while their inference cost differs by two orders of magnitude and their peak memory by 2.4×. No method leads everywhere, and neither ordering is stable: accuracy inverts as the reference grows from 3k cells to a full atlas, and cost rankings invert with the input feature budget. Because several methods are now both accurate and cheap, the useful question is not which is best but which fits a given job. We show that a low, flat inference cost makes multi-stage annotation practical on a laptop, using actinn-jax, a JAX reimplementation of ACTINN with a cached train-once/map-many reference: a shipped ~800-type reference with calibrated abstention hands off to a user’s own focused reference (cross-study liver 0.23/0.58 → 0.72/0.86, exact/ontology), with resolution below the cell-type label and cluster-level novelty screening. The same route builds a pan-mouse reference with no GPU, and distills Pan-human Azimuth into a broad-pass model matching its concordance at 6–9× its throughput. We release the reimplementation, the harness and the pre-trained references.</vt:lpwstr>
  </property>
  <property fmtid="{D5CDD505-2E9C-101B-9397-08002B2CF9AE}" pid="3" name="date">
    <vt:lpwstr/>
  </property>
</Properties>
</file>