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1.png" ContentType="image/png"/>
  <Override PartName="/word/media/rId55.png" ContentType="image/png"/>
  <Override PartName="/word/media/rId59.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4" w:name="results"/>
    <w:p>
      <w:pPr>
        <w:pStyle w:val="Heading1"/>
      </w:pPr>
      <w:r>
        <w:t xml:space="preserve">Results</w:t>
      </w:r>
    </w:p>
    <w:bookmarkStart w:id="50"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0"/>
    <w:bookmarkStart w:id="54" w:name="the-accuracy-speed-frontier"/>
    <w:p>
      <w:pPr>
        <w:pStyle w:val="Heading2"/>
      </w:pPr>
      <w:r>
        <w:t xml:space="preserve">The accuracy × speed frontier</w:t>
      </w:r>
    </w:p>
    <w:p>
      <w:pPr>
        <w:pStyle w:val="FirstParagraph"/>
      </w:pPr>
      <w:r>
        <w:drawing>
          <wp:inline>
            <wp:extent cx="5334000" cy="3671222"/>
            <wp:effectExtent b="0" l="0" r="0" t="0"/>
            <wp:docPr descr="Pareto" title="" id="52" name="Picture"/>
            <a:graphic>
              <a:graphicData uri="http://schemas.openxmlformats.org/drawingml/2006/picture">
                <pic:pic>
                  <pic:nvPicPr>
                    <pic:cNvPr descr="/Users/iandriver/Downloads/actinn-jax-benchmark/docs/figures/fig_pareto_liver_intra.png" id="53" name="Picture"/>
                    <pic:cNvPicPr>
                      <a:picLocks noChangeArrowheads="1" noChangeAspect="1"/>
                    </pic:cNvPicPr>
                  </pic:nvPicPr>
                  <pic:blipFill>
                    <a:blip r:embed="rId51"/>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3.</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4"/>
    <w:bookmarkStart w:id="58" w:name="scaling"/>
    <w:p>
      <w:pPr>
        <w:pStyle w:val="Heading2"/>
      </w:pPr>
      <w:r>
        <w:t xml:space="preserve">Scaling</w:t>
      </w:r>
    </w:p>
    <w:p>
      <w:pPr>
        <w:pStyle w:val="FirstParagraph"/>
      </w:pPr>
      <w:r>
        <w:drawing>
          <wp:inline>
            <wp:extent cx="5334000" cy="1970216"/>
            <wp:effectExtent b="0" l="0" r="0" t="0"/>
            <wp:docPr descr="scaling" title="" id="56" name="Picture"/>
            <a:graphic>
              <a:graphicData uri="http://schemas.openxmlformats.org/drawingml/2006/picture">
                <pic:pic>
                  <pic:nvPicPr>
                    <pic:cNvPr descr="/Users/iandriver/Downloads/actinn-jax-benchmark/docs/figures/fig_scaling.png" id="57" name="Picture"/>
                    <pic:cNvPicPr>
                      <a:picLocks noChangeArrowheads="1" noChangeAspect="1"/>
                    </pic:cNvPicPr>
                  </pic:nvPicPr>
                  <pic:blipFill>
                    <a:blip r:embed="rId55"/>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8"/>
    <w:bookmarkStart w:id="6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png" id="61" name="Picture"/>
                    <pic:cNvPicPr>
                      <a:picLocks noChangeArrowheads="1" noChangeAspect="1"/>
                    </pic:cNvPicPr>
                  </pic:nvPicPr>
                  <pic:blipFill>
                    <a:blip r:embed="rId59"/>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and the test is worth stating plainly.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2"/>
    <w:bookmarkStart w:id="6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3"/>
    <w:bookmarkStart w:id="6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4"/>
    <w:bookmarkStart w:id="7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6">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5).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6)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8" name="Picture"/>
            <a:graphic>
              <a:graphicData uri="http://schemas.openxmlformats.org/drawingml/2006/picture">
                <pic:pic>
                  <pic:nvPicPr>
                    <pic:cNvPr descr="/Users/iandriver/Downloads/actinn-jax-benchmark/docs/figures/gene_budget_curve.png" id="69" name="Picture"/>
                    <pic:cNvPicPr>
                      <a:picLocks noChangeArrowheads="1" noChangeAspect="1"/>
                    </pic:cNvPicPr>
                  </pic:nvPicPr>
                  <pic:blipFill>
                    <a:blip r:embed="rId67"/>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1" name="Picture"/>
            <a:graphic>
              <a:graphicData uri="http://schemas.openxmlformats.org/drawingml/2006/picture">
                <pic:pic>
                  <pic:nvPicPr>
                    <pic:cNvPr descr="/Users/iandriver/Downloads/actinn-jax-benchmark/docs/figures/gene_budget_signals.png" id="72" name="Picture"/>
                    <pic:cNvPicPr>
                      <a:picLocks noChangeArrowheads="1" noChangeAspect="1"/>
                    </pic:cNvPicPr>
                  </pic:nvPicPr>
                  <pic:blipFill>
                    <a:blip r:embed="rId70"/>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3"/>
    <w:bookmarkEnd w:id="74"/>
    <w:bookmarkStart w:id="76"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5">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6"/>
    <w:bookmarkStart w:id="77"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 its feature-selection step caps the</w:t>
      </w:r>
      <w:r>
        <w:t xml:space="preserve"> </w:t>
      </w:r>
      <w:r>
        <w:t xml:space="preserve">dense matrix at 20,000 genes,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7"/>
    <w:bookmarkStart w:id="83"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8">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9">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0">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2">
        <w:r>
          <w:rPr>
            <w:rStyle w:val="Hyperlink"/>
          </w:rPr>
          <w:t xml:space="preserve">Zenodo</w:t>
        </w:r>
      </w:hyperlink>
      <w:r>
        <w:t xml:space="preserve">. Attribution is a</w:t>
      </w:r>
      <w:r>
        <w:t xml:space="preserve"> </w:t>
      </w:r>
      <w:r>
        <w:t xml:space="preserve">condition of that licence and travels inside each shipped model’s build record.</w:t>
      </w:r>
    </w:p>
    <w:bookmarkEnd w:id="83"/>
    <w:bookmarkStart w:id="8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6">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5">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2026-08-05T20:04:15Z</dcterms:created>
  <dcterms:modified xsi:type="dcterms:W3CDTF">2026-08-05T20:04:15Z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