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79" w:rsidRPr="00566E01" w:rsidRDefault="00783979" w:rsidP="00783979">
      <w:pPr>
        <w:pStyle w:val="Heading1"/>
      </w:pPr>
      <w:bookmarkStart w:id="0" w:name="_Toc536603508"/>
      <w:r w:rsidRPr="00566E01">
        <w:t xml:space="preserve">Explanation of </w:t>
      </w:r>
      <w:proofErr w:type="spellStart"/>
      <w:r w:rsidRPr="00566E01">
        <w:t>Drude</w:t>
      </w:r>
      <w:proofErr w:type="spellEnd"/>
      <w:r w:rsidRPr="00566E01">
        <w:t xml:space="preserve"> model discrepancy in literature</w:t>
      </w:r>
      <w:bookmarkEnd w:id="0"/>
    </w:p>
    <w:p w:rsidR="00783979" w:rsidRDefault="00783979" w:rsidP="00783979">
      <w:pPr>
        <w:jc w:val="both"/>
        <w:rPr>
          <w:rFonts w:ascii="Times New Roman" w:hAnsi="Times New Roman" w:cs="Times New Roman"/>
        </w:rPr>
      </w:pPr>
    </w:p>
    <w:p w:rsidR="00783979" w:rsidRPr="00424914" w:rsidRDefault="00783979" w:rsidP="00783979">
      <w:pPr>
        <w:jc w:val="both"/>
        <w:rPr>
          <w:rFonts w:ascii="Times New Roman" w:hAnsi="Times New Roman" w:cs="Times New Roman"/>
        </w:rPr>
      </w:pPr>
      <w:r w:rsidRPr="00424914">
        <w:rPr>
          <w:rFonts w:ascii="Times New Roman" w:hAnsi="Times New Roman" w:cs="Times New Roman"/>
        </w:rPr>
        <w:t xml:space="preserve">There are two expressions for the </w:t>
      </w:r>
      <w:proofErr w:type="spellStart"/>
      <w:r w:rsidRPr="00424914">
        <w:rPr>
          <w:rFonts w:ascii="Times New Roman" w:hAnsi="Times New Roman" w:cs="Times New Roman"/>
        </w:rPr>
        <w:t>Drude</w:t>
      </w:r>
      <w:proofErr w:type="spellEnd"/>
      <w:r w:rsidRPr="00424914">
        <w:rPr>
          <w:rFonts w:ascii="Times New Roman" w:hAnsi="Times New Roman" w:cs="Times New Roman"/>
        </w:rPr>
        <w:t xml:space="preserve"> model found in the literature. It is not immediately obvious how the parameters of the two expressions are related. The only difference between the two expressions of the </w:t>
      </w:r>
      <w:proofErr w:type="spellStart"/>
      <w:r w:rsidRPr="00424914">
        <w:rPr>
          <w:rFonts w:ascii="Times New Roman" w:hAnsi="Times New Roman" w:cs="Times New Roman"/>
        </w:rPr>
        <w:t>Drude</w:t>
      </w:r>
      <w:proofErr w:type="spellEnd"/>
      <w:r w:rsidRPr="00424914">
        <w:rPr>
          <w:rFonts w:ascii="Times New Roman" w:hAnsi="Times New Roman" w:cs="Times New Roman"/>
        </w:rPr>
        <w:t xml:space="preserve"> model is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 w:hint="eastAsia"/>
              </w:rPr>
              <m:t>∞</m:t>
            </m:r>
          </m:sub>
        </m:sSub>
      </m:oMath>
      <w:r w:rsidRPr="00424914">
        <w:rPr>
          <w:rFonts w:ascii="Times New Roman" w:hAnsi="Times New Roman" w:cs="Times New Roman"/>
        </w:rPr>
        <w:t xml:space="preserve"> is factored out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424914">
        <w:rPr>
          <w:rFonts w:ascii="Times New Roman" w:hAnsi="Times New Roman" w:cs="Times New Roman"/>
        </w:rPr>
        <w:t xml:space="preserve"> is defined differently. The following derivation of the relationship between the two expressions assumes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 w:hint="eastAsia"/>
              </w:rPr>
              <m:t>∞</m:t>
            </m:r>
          </m:sub>
        </m:sSub>
      </m:oMath>
      <w:r w:rsidRPr="00424914">
        <w:rPr>
          <w:rFonts w:ascii="Times New Roman" w:hAnsi="Times New Roman" w:cs="Times New Roman"/>
        </w:rPr>
        <w:t xml:space="preserve"> is a directly measured parameter, and is therefore the same in both methods. Note that the subscripts “F” and “LR” refer to the </w:t>
      </w:r>
      <w:r>
        <w:rPr>
          <w:rFonts w:ascii="Times New Roman" w:hAnsi="Times New Roman" w:cs="Times New Roman"/>
        </w:rPr>
        <w:t xml:space="preserve">different forms of the </w:t>
      </w:r>
      <w:r w:rsidRPr="00424914">
        <w:rPr>
          <w:rFonts w:ascii="Times New Roman" w:hAnsi="Times New Roman" w:cs="Times New Roman"/>
        </w:rPr>
        <w:t xml:space="preserve">expressions </w:t>
      </w:r>
      <w:r>
        <w:rPr>
          <w:rFonts w:ascii="Times New Roman" w:hAnsi="Times New Roman" w:cs="Times New Roman"/>
        </w:rPr>
        <w:t xml:space="preserve">exemplified by references (for example) </w:t>
      </w:r>
      <w:r w:rsidRPr="00424914">
        <w:rPr>
          <w:rFonts w:ascii="Times New Roman" w:hAnsi="Times New Roman" w:cs="Times New Roman"/>
        </w:rPr>
        <w:t>given by Franzen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&lt;EndNote&gt;&lt;Cite&gt;&lt;Author&gt;Brewer&lt;/Author&gt;&lt;Year&gt;2002&lt;/Year&gt;&lt;RecNum&gt;35&lt;/RecNum&gt;&lt;DisplayText&gt;&lt;style face="superscript"&gt;7&lt;/style&gt;&lt;/DisplayText&gt;&lt;record&gt;&lt;rec-number&gt;35&lt;/rec-number&gt;&lt;foreign-keys&gt;&lt;key app="EN" db-id="wxerda52fapxzsewferx5zdpt9t0rpsftew0" timestamp="1541521350"&gt;35&lt;/key&gt;&lt;/foreign-keys&gt;&lt;ref-type name="Journal Article"&gt;17&lt;/ref-type&gt;&lt;contributors&gt;&lt;authors&gt;&lt;author&gt;Brewer, Scott H.&lt;/author&gt;&lt;author&gt;Franzen, Stefan&lt;/author&gt;&lt;/authors&gt;&lt;/contributors&gt;&lt;titles&gt;&lt;title&gt;Indium Tin Oxide Plasma Frequency Dependence on Sheet Resistance and Surface Adlayers Determined by Reflectance FTIR Spectroscopy&lt;/title&gt;&lt;secondary-title&gt;The Journal of Physical Chemistry B&lt;/secondary-title&gt;&lt;/titles&gt;&lt;periodical&gt;&lt;full-title&gt;The Journal of Physical Chemistry B&lt;/full-title&gt;&lt;/periodical&gt;&lt;pages&gt;12986-12992&lt;/pages&gt;&lt;volume&gt;106&lt;/volume&gt;&lt;number&gt;50&lt;/number&gt;&lt;dates&gt;&lt;year&gt;2002&lt;/year&gt;&lt;pub-dates&gt;&lt;date&gt;2002/12/01&lt;/date&gt;&lt;/pub-dates&gt;&lt;/dates&gt;&lt;publisher&gt;American Chemical Society&lt;/publisher&gt;&lt;isbn&gt;1520-6106&lt;/isbn&gt;&lt;urls&gt;&lt;related-urls&gt;&lt;url&gt;https://doi.org/10.1021/jp026600x&lt;/url&gt;&lt;/related-urls&gt;&lt;/urls&gt;&lt;electronic-resource-num&gt;10.1021/jp026600x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Pr="001F72FB">
        <w:rPr>
          <w:rFonts w:ascii="Times New Roman" w:hAnsi="Times New Roman" w:cs="Times New Roman"/>
          <w:noProof/>
          <w:vertAlign w:val="superscript"/>
        </w:rPr>
        <w:t>7</w:t>
      </w:r>
      <w:r>
        <w:rPr>
          <w:rFonts w:ascii="Times New Roman" w:hAnsi="Times New Roman" w:cs="Times New Roman"/>
        </w:rPr>
        <w:fldChar w:fldCharType="end"/>
      </w:r>
      <w:r w:rsidRPr="00424914">
        <w:rPr>
          <w:rFonts w:ascii="Times New Roman" w:hAnsi="Times New Roman" w:cs="Times New Roman"/>
        </w:rPr>
        <w:t xml:space="preserve"> and LeRu,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&lt;EndNote&gt;&lt;Cite&gt;&lt;Author&gt;Le Ru&lt;/Author&gt;&lt;Year&gt;2009&lt;/Year&gt;&lt;RecNum&gt;64&lt;/RecNum&gt;&lt;DisplayText&gt;&lt;style face="superscript"&gt;8&lt;/style&gt;&lt;/DisplayText&gt;&lt;record&gt;&lt;rec-number&gt;64&lt;/rec-number&gt;&lt;foreign-keys&gt;&lt;key app="EN" db-id="wxerda52fapxzsewferx5zdpt9t0rpsftew0" timestamp="1543004090"&gt;64&lt;/key&gt;&lt;/foreign-keys&gt;&lt;ref-type name="Book Section"&gt;5&lt;/ref-type&gt;&lt;contributors&gt;&lt;authors&gt;&lt;author&gt;Le Ru, Eric C.&lt;/author&gt;&lt;author&gt;Etchegoin, Pablo G.&lt;/author&gt;&lt;/authors&gt;&lt;/contributors&gt;&lt;titles&gt;&lt;title&gt;EM enhancements and plasmon resonances: examples and discussion&lt;/title&gt;&lt;secondary-title&gt;Principles of Surface-Enhanced Raman Spectroscopy&lt;/secondary-title&gt;&lt;/titles&gt;&lt;pages&gt;299-365&lt;/pages&gt;&lt;section&gt;6&lt;/section&gt;&lt;dates&gt;&lt;year&gt;2009&lt;/year&gt;&lt;/dates&gt;&lt;pub-location&gt;Amsterdam&lt;/pub-location&gt;&lt;publisher&gt;Elsevier&lt;/publisher&gt;&lt;isbn&gt;978-0-444-52779-0&lt;/isbn&gt;&lt;urls&gt;&lt;related-urls&gt;&lt;url&gt;http://www.sciencedirect.com/science/article/pii/B978044452779000012X&lt;/url&gt;&lt;/related-urls&gt;&lt;/urls&gt;&lt;electronic-resource-num&gt;https://doi.org/10.1016/B978-0-444-52779-0.00012-X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Pr="001F72FB">
        <w:rPr>
          <w:rFonts w:ascii="Times New Roman" w:hAnsi="Times New Roman" w:cs="Times New Roman"/>
          <w:noProof/>
          <w:vertAlign w:val="superscript"/>
        </w:rPr>
        <w:t>8</w:t>
      </w:r>
      <w:r>
        <w:rPr>
          <w:rFonts w:ascii="Times New Roman" w:hAnsi="Times New Roman" w:cs="Times New Roman"/>
        </w:rPr>
        <w:fldChar w:fldCharType="end"/>
      </w:r>
      <w:r w:rsidRPr="00424914">
        <w:rPr>
          <w:rFonts w:ascii="Times New Roman" w:hAnsi="Times New Roman" w:cs="Times New Roman"/>
        </w:rPr>
        <w:t xml:space="preserve"> respectively.</w:t>
      </w:r>
    </w:p>
    <w:p w:rsidR="00783979" w:rsidRPr="00424914" w:rsidRDefault="00783979" w:rsidP="00783979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135"/>
        <w:gridCol w:w="4770"/>
      </w:tblGrid>
      <w:tr w:rsidR="00783979" w:rsidRPr="00566E01" w:rsidTr="000B5A35">
        <w:trPr>
          <w:trHeight w:val="1229"/>
        </w:trPr>
        <w:tc>
          <w:tcPr>
            <w:tcW w:w="4135" w:type="dxa"/>
          </w:tcPr>
          <w:p w:rsidR="00783979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24914">
              <w:rPr>
                <w:rFonts w:ascii="Times New Roman" w:hAnsi="Times New Roman" w:cs="Times New Roman"/>
              </w:rPr>
              <w:t>Franzen</w:t>
            </w:r>
            <w:proofErr w:type="spellEnd"/>
            <w:r w:rsidRPr="00424914">
              <w:rPr>
                <w:rFonts w:ascii="Times New Roman" w:hAnsi="Times New Roman" w:cs="Times New Roman"/>
              </w:rPr>
              <w:t xml:space="preserve"> expression</w:t>
            </w:r>
          </w:p>
          <w:p w:rsidR="00783979" w:rsidRPr="00424914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</w:p>
          <w:p w:rsidR="00783979" w:rsidRPr="00424914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ϵ=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p, 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+iωγ</m:t>
                    </m:r>
                  </m:den>
                </m:f>
              </m:oMath>
            </m:oMathPara>
          </w:p>
          <w:p w:rsidR="00783979" w:rsidRPr="00424914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:rsidR="00783979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24914">
              <w:rPr>
                <w:rFonts w:ascii="Times New Roman" w:hAnsi="Times New Roman" w:cs="Times New Roman"/>
              </w:rPr>
              <w:t>LeRu</w:t>
            </w:r>
            <w:proofErr w:type="spellEnd"/>
            <w:r w:rsidRPr="00424914">
              <w:rPr>
                <w:rFonts w:ascii="Times New Roman" w:hAnsi="Times New Roman" w:cs="Times New Roman"/>
              </w:rPr>
              <w:t xml:space="preserve"> expression</w:t>
            </w:r>
          </w:p>
          <w:p w:rsidR="00783979" w:rsidRPr="00424914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</w:p>
          <w:p w:rsidR="00783979" w:rsidRPr="001F72FB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ϵ=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p, LR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+iωγ</m:t>
                        </m:r>
                      </m:den>
                    </m:f>
                  </m:e>
                </m:d>
              </m:oMath>
            </m:oMathPara>
          </w:p>
          <w:p w:rsidR="00783979" w:rsidRPr="00424914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3979" w:rsidRPr="00566E01" w:rsidTr="000B5A35">
        <w:trPr>
          <w:trHeight w:val="374"/>
        </w:trPr>
        <w:tc>
          <w:tcPr>
            <w:tcW w:w="8905" w:type="dxa"/>
            <w:gridSpan w:val="2"/>
          </w:tcPr>
          <w:p w:rsidR="00783979" w:rsidRDefault="00783979" w:rsidP="000B5A35">
            <w:pPr>
              <w:jc w:val="center"/>
              <w:rPr>
                <w:rFonts w:ascii="Times New Roman" w:hAnsi="Times New Roman" w:cs="Times New Roman"/>
              </w:rPr>
            </w:pPr>
            <w:r w:rsidRPr="00424914">
              <w:rPr>
                <w:rFonts w:ascii="Times New Roman" w:hAnsi="Times New Roman" w:cs="Times New Roman"/>
              </w:rPr>
              <w:t xml:space="preserve">Solve each expression for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 w:rsidRPr="00424914">
              <w:rPr>
                <w:rFonts w:ascii="Times New Roman" w:hAnsi="Times New Roman" w:cs="Times New Roman"/>
              </w:rPr>
              <w:t>:</w:t>
            </w:r>
          </w:p>
          <w:p w:rsidR="00783979" w:rsidRPr="00566E01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3979" w:rsidRPr="00566E01" w:rsidTr="000B5A35">
        <w:trPr>
          <w:trHeight w:val="787"/>
        </w:trPr>
        <w:tc>
          <w:tcPr>
            <w:tcW w:w="4135" w:type="dxa"/>
          </w:tcPr>
          <w:p w:rsidR="00783979" w:rsidRPr="00424914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p,F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∞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iωγ-ϵ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+ϵiωγ</m:t>
                    </m:r>
                  </m:e>
                </m:rad>
              </m:oMath>
            </m:oMathPara>
          </w:p>
          <w:p w:rsidR="00783979" w:rsidRPr="00566E01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:rsidR="00783979" w:rsidRPr="00424914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p,LR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∞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∞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iωγ-ϵ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+ϵiωγ</m:t>
                    </m:r>
                  </m:e>
                </m:rad>
              </m:oMath>
            </m:oMathPara>
          </w:p>
          <w:p w:rsidR="00783979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3979" w:rsidRPr="00566E01" w:rsidTr="000B5A35">
        <w:trPr>
          <w:trHeight w:val="998"/>
        </w:trPr>
        <w:tc>
          <w:tcPr>
            <w:tcW w:w="8905" w:type="dxa"/>
            <w:gridSpan w:val="2"/>
          </w:tcPr>
          <w:p w:rsidR="00783979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w:r w:rsidRPr="00424914">
              <w:rPr>
                <w:rFonts w:ascii="Times New Roman" w:hAnsi="Times New Roman" w:cs="Times New Roman"/>
              </w:rPr>
              <w:t>Therefore,</w:t>
            </w:r>
          </w:p>
          <w:p w:rsidR="00783979" w:rsidRDefault="00783979" w:rsidP="000B5A3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p, 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∞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p, LR</m:t>
                    </m:r>
                  </m:sub>
                </m:sSub>
              </m:oMath>
            </m:oMathPara>
          </w:p>
        </w:tc>
      </w:tr>
    </w:tbl>
    <w:p w:rsidR="00783979" w:rsidRPr="00424914" w:rsidRDefault="00783979" w:rsidP="00783979">
      <w:pPr>
        <w:jc w:val="both"/>
        <w:rPr>
          <w:rFonts w:ascii="Times New Roman" w:hAnsi="Times New Roman" w:cs="Times New Roman"/>
        </w:rPr>
      </w:pPr>
      <w:r w:rsidRPr="00424914">
        <w:rPr>
          <w:rFonts w:ascii="Times New Roman" w:hAnsi="Times New Roman" w:cs="Times New Roman"/>
        </w:rPr>
        <w:t xml:space="preserve">In this work, we have used the more common expression defined by </w:t>
      </w:r>
      <w:proofErr w:type="spellStart"/>
      <w:r w:rsidRPr="00424914">
        <w:rPr>
          <w:rFonts w:ascii="Times New Roman" w:hAnsi="Times New Roman" w:cs="Times New Roman"/>
        </w:rPr>
        <w:t>Franzen</w:t>
      </w:r>
      <w:proofErr w:type="spellEnd"/>
      <w:r w:rsidRPr="00424914">
        <w:rPr>
          <w:rFonts w:ascii="Times New Roman" w:hAnsi="Times New Roman" w:cs="Times New Roman"/>
        </w:rPr>
        <w:t xml:space="preserve">, and therefore all plasma frequencies are given </w:t>
      </w:r>
      <w:proofErr w:type="gramStart"/>
      <w:r w:rsidRPr="00424914">
        <w:rPr>
          <w:rFonts w:ascii="Times New Roman" w:hAnsi="Times New Roman" w:cs="Times New Roman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p, F</m:t>
            </m:r>
          </m:sub>
        </m:sSub>
      </m:oMath>
      <w:r w:rsidRPr="00424914">
        <w:rPr>
          <w:rFonts w:ascii="Times New Roman" w:hAnsi="Times New Roman" w:cs="Times New Roman"/>
        </w:rPr>
        <w:t xml:space="preserve"> , as defined above.</w:t>
      </w:r>
    </w:p>
    <w:p w:rsidR="00817F8F" w:rsidRDefault="00817F8F">
      <w:bookmarkStart w:id="1" w:name="_GoBack"/>
      <w:bookmarkEnd w:id="1"/>
    </w:p>
    <w:sectPr w:rsidR="0081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79"/>
    <w:rsid w:val="00783979"/>
    <w:rsid w:val="0081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6552C-8F36-4F38-92B5-FE7C936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979"/>
    <w:pPr>
      <w:jc w:val="both"/>
      <w:outlineLvl w:val="0"/>
    </w:pPr>
    <w:rPr>
      <w:rFonts w:ascii="Times New Roman" w:eastAsia="Times New Roman" w:hAnsi="Times New Roman" w:cs="Times New Roman"/>
      <w:b/>
      <w:bCs/>
      <w:i/>
      <w:color w:val="365F91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79"/>
    <w:rPr>
      <w:rFonts w:ascii="Times New Roman" w:eastAsia="Times New Roman" w:hAnsi="Times New Roman" w:cs="Times New Roman"/>
      <w:b/>
      <w:bCs/>
      <w:i/>
      <w:color w:val="365F91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78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Andvaag, Ian</dc:creator>
  <cp:keywords/>
  <dc:description/>
  <cp:lastModifiedBy>Andvaag, Ian</cp:lastModifiedBy>
  <cp:revision>1</cp:revision>
  <cp:lastPrinted>2019-07-10T15:07:00Z</cp:lastPrinted>
  <dcterms:created xsi:type="dcterms:W3CDTF">2019-07-10T15:06:00Z</dcterms:created>
  <dcterms:modified xsi:type="dcterms:W3CDTF">2019-07-10T15:11:00Z</dcterms:modified>
</cp:coreProperties>
</file>