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line="240" w:lineRule="auto"/>
        <w:jc w:val="center"/>
      </w:pPr>
    </w:p>
    <w:p>
      <w:pPr>
        <w:pStyle w:val="Body A"/>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 xml:space="preserve">U.S. Patent Fee </w:t>
      </w:r>
      <w:r>
        <w:rPr>
          <w:rFonts w:ascii="Times New Roman" w:hAnsi="Times New Roman"/>
          <w:b w:val="1"/>
          <w:bCs w:val="1"/>
          <w:sz w:val="24"/>
          <w:szCs w:val="24"/>
          <w:rtl w:val="0"/>
          <w:lang w:val="zh-CN" w:eastAsia="zh-CN"/>
        </w:rPr>
        <w:t>Estimate Report</w:t>
      </w:r>
    </w:p>
    <w:p>
      <w:pPr>
        <w:pStyle w:val="Body A"/>
        <w:spacing w:line="240" w:lineRule="auto"/>
        <w:jc w:val="center"/>
        <w:rPr>
          <w:rFonts w:ascii="Times New Roman" w:cs="Times New Roman" w:hAnsi="Times New Roman" w:eastAsia="Times New Roman"/>
          <w:b w:val="1"/>
          <w:bCs w:val="1"/>
          <w:sz w:val="24"/>
          <w:szCs w:val="24"/>
        </w:rPr>
      </w:pPr>
    </w:p>
    <w:p>
      <w:pPr>
        <w:pStyle w:val="Body A"/>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CN" w:eastAsia="zh-CN"/>
        </w:rPr>
        <w:t>Your Patent Cost</w:t>
      </w:r>
    </w:p>
    <w:tbl>
      <w:tblPr>
        <w:tblW w:w="9340" w:type="dxa"/>
        <w:jc w:val="center"/>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4670"/>
        <w:gridCol w:w="4670"/>
      </w:tblGrid>
      <w:tr>
        <w:tblPrEx>
          <w:shd w:val="clear" w:color="auto" w:fill="5b9bd5"/>
        </w:tblPrEx>
        <w:trPr>
          <w:trHeight w:val="330" w:hRule="atLeast"/>
          <w:tblHeader/>
        </w:trPr>
        <w:tc>
          <w:tcPr>
            <w:tcW w:type="dxa" w:w="46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ACTIVITY</w:t>
            </w:r>
          </w:p>
        </w:tc>
        <w:tc>
          <w:tcPr>
            <w:tcW w:type="dxa" w:w="4670"/>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5b9bd5"/>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FEE</w:t>
            </w:r>
          </w:p>
        </w:tc>
      </w:tr>
      <w:tr>
        <w:tblPrEx>
          <w:shd w:val="clear" w:color="auto" w:fill="d0ddef"/>
        </w:tblPrEx>
        <w:trPr>
          <w:trHeight w:val="352" w:hRule="atLeast"/>
        </w:trPr>
        <w:tc>
          <w:tcPr>
            <w:tcW w:type="dxa" w:w="46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xml:space="preserve">Filing official fee </w:t>
            </w:r>
          </w:p>
        </w:tc>
        <w:tc>
          <w:tcPr>
            <w:tcW w:type="dxa" w:w="4670"/>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filing_official_fee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Filing attorney fee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filing_attorney_fee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Drawing cost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drawing_cost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Cost of filing stage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 filing_cost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Examination official fee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exam_official_fee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Examination attorney fee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exam_attorney_fee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Cost of examination stage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 exam_cost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Granting official fee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granting_official_fee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Granting attorney fee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sz w:val="22"/>
                <w:szCs w:val="22"/>
                <w:shd w:val="nil" w:color="auto" w:fill="auto"/>
                <w:rtl w:val="0"/>
                <w:lang w:val="en-US"/>
                <w14:textOutline w14:w="12700" w14:cap="flat">
                  <w14:noFill/>
                  <w14:miter w14:lim="400000"/>
                </w14:textOutline>
              </w:rPr>
              <w:t>{{ granting_attorney_fee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Cost of granting stage</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9eef7"/>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 granting_cost }}</w:t>
            </w:r>
          </w:p>
        </w:tc>
      </w:tr>
      <w:tr>
        <w:tblPrEx>
          <w:shd w:val="clear" w:color="auto" w:fill="d0ddef"/>
        </w:tblPrEx>
        <w:trPr>
          <w:trHeight w:val="312" w:hRule="atLeast"/>
        </w:trPr>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Total cost for patent</w:t>
            </w:r>
          </w:p>
        </w:tc>
        <w:tc>
          <w:tcPr>
            <w:tcW w:type="dxa" w:w="46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d0ddef"/>
            <w:tcMar>
              <w:top w:type="dxa" w:w="80"/>
              <w:left w:type="dxa" w:w="80"/>
              <w:bottom w:type="dxa" w:w="80"/>
              <w:right w:type="dxa" w:w="80"/>
            </w:tcMar>
            <w:vAlign w:val="top"/>
          </w:tcPr>
          <w:p>
            <w:pPr>
              <w:pStyle w:val="Body"/>
              <w:tabs>
                <w:tab w:val="left" w:pos="1440"/>
                <w:tab w:val="left" w:pos="2880"/>
                <w:tab w:val="left" w:pos="4320"/>
              </w:tabs>
              <w:suppressAutoHyphens w:val="1"/>
              <w:outlineLvl w:val="0"/>
            </w:pPr>
            <w:r>
              <w:rPr>
                <w:rFonts w:ascii="Arial" w:hAnsi="Arial"/>
                <w:b w:val="1"/>
                <w:bCs w:val="1"/>
                <w:sz w:val="22"/>
                <w:szCs w:val="22"/>
                <w:shd w:val="nil" w:color="auto" w:fill="auto"/>
                <w:rtl w:val="0"/>
                <w:lang w:val="en-US"/>
                <w14:textOutline w14:w="12700" w14:cap="flat">
                  <w14:noFill/>
                  <w14:miter w14:lim="400000"/>
                </w14:textOutline>
              </w:rPr>
              <w:t>{{ total_cost }}</w:t>
            </w:r>
          </w:p>
        </w:tc>
      </w:tr>
    </w:tbl>
    <w:p>
      <w:pPr>
        <w:pStyle w:val="Body A"/>
        <w:widowControl w:val="0"/>
        <w:spacing w:line="240" w:lineRule="auto"/>
        <w:ind w:left="108" w:hanging="108"/>
        <w:jc w:val="center"/>
        <w:rPr>
          <w:rFonts w:ascii="Times New Roman" w:cs="Times New Roman" w:hAnsi="Times New Roman" w:eastAsia="Times New Roman"/>
          <w:b w:val="1"/>
          <w:bCs w:val="1"/>
          <w:sz w:val="24"/>
          <w:szCs w:val="24"/>
        </w:rPr>
      </w:pPr>
    </w:p>
    <w:p>
      <w:pPr>
        <w:pStyle w:val="Default"/>
        <w:bidi w:val="0"/>
        <w:spacing w:before="0" w:line="240" w:lineRule="auto"/>
        <w:ind w:left="0" w:right="0" w:firstLine="0"/>
        <w:jc w:val="left"/>
        <w:rPr>
          <w:rFonts w:ascii="Times New Roman" w:cs="Times New Roman" w:hAnsi="Times New Roman" w:eastAsia="Times New Roman"/>
          <w:outline w:val="0"/>
          <w:color w:val="222222"/>
          <w:sz w:val="24"/>
          <w:szCs w:val="24"/>
          <w:shd w:val="clear" w:color="auto" w:fill="ffffff"/>
          <w:rtl w:val="0"/>
          <w14:textFill>
            <w14:solidFill>
              <w14:srgbClr w14:val="222222"/>
            </w14:solidFill>
          </w14:textFill>
        </w:rPr>
      </w:pPr>
      <w:r>
        <w:rPr>
          <w:rFonts w:ascii="Times New Roman" w:hAnsi="Times New Roman"/>
          <w:outline w:val="0"/>
          <w:color w:val="222222"/>
          <w:sz w:val="24"/>
          <w:szCs w:val="24"/>
          <w:shd w:val="clear" w:color="auto" w:fill="ffffff"/>
          <w:rtl w:val="0"/>
          <w:lang w:val="zh-CN" w:eastAsia="zh-CN"/>
          <w14:textFill>
            <w14:solidFill>
              <w14:srgbClr w14:val="222222"/>
            </w14:solidFill>
          </w14:textFill>
        </w:rPr>
        <w:t>(</w:t>
      </w:r>
      <w:r>
        <w:rPr>
          <w:rFonts w:ascii="Times New Roman" w:hAnsi="Times New Roman"/>
          <w:outline w:val="0"/>
          <w:color w:val="222222"/>
          <w:sz w:val="24"/>
          <w:szCs w:val="24"/>
          <w:shd w:val="clear" w:color="auto" w:fill="ffffff"/>
          <w:rtl w:val="0"/>
          <w:lang w:val="en-US"/>
          <w14:textFill>
            <w14:solidFill>
              <w14:srgbClr w14:val="222222"/>
            </w14:solidFill>
          </w14:textFill>
        </w:rPr>
        <w:t>The above cost are merely estimates of the breakdown of patent costs</w:t>
      </w:r>
      <w:r>
        <w:rPr>
          <w:rFonts w:ascii="Times New Roman" w:hAnsi="Times New Roman"/>
          <w:outline w:val="0"/>
          <w:color w:val="222222"/>
          <w:sz w:val="24"/>
          <w:szCs w:val="24"/>
          <w:shd w:val="clear" w:color="auto" w:fill="ffffff"/>
          <w:rtl w:val="0"/>
          <w:lang w:val="zh-CN" w:eastAsia="zh-CN"/>
          <w14:textFill>
            <w14:solidFill>
              <w14:srgbClr w14:val="222222"/>
            </w14:solidFill>
          </w14:textFill>
        </w:rPr>
        <w:t xml:space="preserve"> based on the information you provided</w:t>
      </w:r>
      <w:r>
        <w:rPr>
          <w:rFonts w:ascii="Times New Roman" w:hAnsi="Times New Roman"/>
          <w:outline w:val="0"/>
          <w:color w:val="222222"/>
          <w:sz w:val="24"/>
          <w:szCs w:val="24"/>
          <w:shd w:val="clear" w:color="auto" w:fill="ffffff"/>
          <w:rtl w:val="0"/>
          <w:lang w:val="en-US"/>
          <w14:textFill>
            <w14:solidFill>
              <w14:srgbClr w14:val="222222"/>
            </w14:solidFill>
          </w14:textFill>
        </w:rPr>
        <w:t>. Your patent application and patent may cost more or less than the estimates provided above.</w:t>
      </w:r>
      <w:r>
        <w:rPr>
          <w:rFonts w:ascii="Times New Roman" w:hAnsi="Times New Roman"/>
          <w:outline w:val="0"/>
          <w:color w:val="222222"/>
          <w:sz w:val="24"/>
          <w:szCs w:val="24"/>
          <w:shd w:val="clear" w:color="auto" w:fill="ffffff"/>
          <w:rtl w:val="0"/>
          <w:lang w:val="zh-CN" w:eastAsia="zh-CN"/>
          <w14:textFill>
            <w14:solidFill>
              <w14:srgbClr w14:val="222222"/>
            </w14:solidFill>
          </w14:textFill>
        </w:rPr>
        <w:t>)</w:t>
      </w:r>
    </w:p>
    <w:p>
      <w:pPr>
        <w:pStyle w:val="Default"/>
        <w:bidi w:val="0"/>
        <w:spacing w:before="0" w:line="240" w:lineRule="auto"/>
        <w:ind w:left="0" w:right="0" w:firstLine="0"/>
        <w:jc w:val="left"/>
        <w:rPr>
          <w:rFonts w:ascii="Times New Roman" w:cs="Times New Roman" w:hAnsi="Times New Roman" w:eastAsia="Times New Roman"/>
          <w:b w:val="1"/>
          <w:bCs w:val="1"/>
          <w:outline w:val="0"/>
          <w:color w:val="222222"/>
          <w:sz w:val="24"/>
          <w:szCs w:val="24"/>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222222"/>
          <w:sz w:val="24"/>
          <w:szCs w:val="24"/>
          <w:shd w:val="clear" w:color="auto" w:fill="ffffff"/>
          <w:rtl w:val="0"/>
          <w14:textFill>
            <w14:solidFill>
              <w14:srgbClr w14:val="222222"/>
            </w14:solidFill>
          </w14:textFill>
        </w:rPr>
      </w:pPr>
      <w:r>
        <w:rPr>
          <w:rFonts w:ascii="Times New Roman" w:hAnsi="Times New Roman"/>
          <w:outline w:val="0"/>
          <w:color w:val="222222"/>
          <w:sz w:val="24"/>
          <w:szCs w:val="24"/>
          <w:shd w:val="clear" w:color="auto" w:fill="ffffff"/>
          <w:rtl w:val="0"/>
          <w:lang w:val="pt-PT"/>
          <w14:textFill>
            <w14:solidFill>
              <w14:srgbClr w14:val="222222"/>
            </w14:solidFill>
          </w14:textFill>
        </w:rPr>
        <w:t>USPTO Fees:</w:t>
      </w:r>
    </w:p>
    <w:p>
      <w:pPr>
        <w:pStyle w:val="Default"/>
        <w:bidi w:val="0"/>
        <w:spacing w:before="0" w:line="240" w:lineRule="auto"/>
        <w:ind w:left="0" w:right="0" w:firstLine="0"/>
        <w:jc w:val="left"/>
        <w:rPr>
          <w:rFonts w:ascii="Times New Roman" w:cs="Times New Roman" w:hAnsi="Times New Roman" w:eastAsia="Times New Roman"/>
          <w:outline w:val="0"/>
          <w:color w:val="222222"/>
          <w:sz w:val="24"/>
          <w:szCs w:val="24"/>
          <w:shd w:val="clear" w:color="auto" w:fill="ffffff"/>
          <w:rtl w:val="0"/>
          <w14:textFill>
            <w14:solidFill>
              <w14:srgbClr w14:val="222222"/>
            </w14:solidFill>
          </w14:textFill>
        </w:rPr>
      </w:pPr>
      <w:r>
        <w:rPr>
          <w:rFonts w:ascii="Times New Roman" w:hAnsi="Times New Roman"/>
          <w:outline w:val="0"/>
          <w:color w:val="222222"/>
          <w:sz w:val="24"/>
          <w:szCs w:val="24"/>
          <w:shd w:val="clear" w:color="auto" w:fill="ffffff"/>
          <w:rtl w:val="0"/>
          <w:lang w:val="en-US"/>
          <w14:textFill>
            <w14:solidFill>
              <w14:srgbClr w14:val="222222"/>
            </w14:solidFill>
          </w14:textFill>
        </w:rPr>
        <w:t>A complete copy of the USPTO's fee schedule is available</w:t>
      </w:r>
      <w:r>
        <w:rPr>
          <w:rFonts w:ascii="Times New Roman" w:hAnsi="Times New Roman"/>
          <w:outline w:val="0"/>
          <w:color w:val="222222"/>
          <w:sz w:val="24"/>
          <w:szCs w:val="24"/>
          <w:shd w:val="clear" w:color="auto" w:fill="ffffff"/>
          <w:rtl w:val="0"/>
          <w:lang w:val="zh-CN" w:eastAsia="zh-CN"/>
          <w14:textFill>
            <w14:solidFill>
              <w14:srgbClr w14:val="222222"/>
            </w14:solidFill>
          </w14:textFill>
        </w:rPr>
        <w:t xml:space="preserve"> </w:t>
      </w:r>
      <w:r>
        <w:rPr>
          <w:rFonts w:ascii="Times New Roman" w:hAnsi="Times New Roman"/>
          <w:outline w:val="0"/>
          <w:color w:val="222222"/>
          <w:sz w:val="24"/>
          <w:szCs w:val="24"/>
          <w:u w:val="single"/>
          <w:shd w:val="clear" w:color="auto" w:fill="ffffff"/>
          <w:rtl w:val="0"/>
          <w:lang w:val="zh-CN" w:eastAsia="zh-CN"/>
          <w14:textFill>
            <w14:solidFill>
              <w14:srgbClr w14:val="222222"/>
            </w14:solidFill>
          </w14:textFill>
        </w:rPr>
        <w:t>here.</w:t>
      </w:r>
      <w:r>
        <w:rPr>
          <w:rFonts w:ascii="Times New Roman" w:hAnsi="Times New Roman"/>
          <w:outline w:val="0"/>
          <w:color w:val="222222"/>
          <w:sz w:val="24"/>
          <w:szCs w:val="24"/>
          <w:u w:val="single"/>
          <w:shd w:val="clear" w:color="auto" w:fill="ffffff"/>
          <w:rtl w:val="0"/>
          <w:lang w:val="zh-CN" w:eastAsia="zh-CN"/>
          <w14:textFill>
            <w14:solidFill>
              <w14:srgbClr w14:val="222222"/>
            </w14:solidFill>
          </w14:textFill>
        </w:rPr>
        <w:t xml:space="preserve"> (</w:t>
      </w:r>
      <w:r>
        <w:rPr>
          <w:rStyle w:val="Hyperlink.0"/>
          <w:rFonts w:ascii="Times New Roman" w:cs="Times New Roman" w:hAnsi="Times New Roman" w:eastAsia="Times New Roman"/>
          <w:outline w:val="0"/>
          <w:color w:val="0000ff"/>
          <w:sz w:val="24"/>
          <w:szCs w:val="24"/>
          <w:u w:val="single" w:color="0000ff"/>
          <w:shd w:val="clear" w:color="auto" w:fill="ffffff"/>
          <w:rtl w:val="0"/>
          <w14:textFill>
            <w14:solidFill>
              <w14:srgbClr w14:val="0000FF"/>
            </w14:solidFill>
          </w14:textFill>
        </w:rPr>
        <w:fldChar w:fldCharType="begin" w:fldLock="0"/>
      </w:r>
      <w:r>
        <w:rPr>
          <w:rStyle w:val="Hyperlink.0"/>
          <w:rFonts w:ascii="Times New Roman" w:cs="Times New Roman" w:hAnsi="Times New Roman" w:eastAsia="Times New Roman"/>
          <w:outline w:val="0"/>
          <w:color w:val="0000ff"/>
          <w:sz w:val="24"/>
          <w:szCs w:val="24"/>
          <w:u w:val="single" w:color="0000ff"/>
          <w:shd w:val="clear" w:color="auto" w:fill="ffffff"/>
          <w:rtl w:val="0"/>
          <w14:textFill>
            <w14:solidFill>
              <w14:srgbClr w14:val="0000FF"/>
            </w14:solidFill>
          </w14:textFill>
        </w:rPr>
        <w:instrText xml:space="preserve"> HYPERLINK "https://www.uspto.gov/learning-and-resources/fees-and-payment/uspto-fee-schedule"</w:instrText>
      </w:r>
      <w:r>
        <w:rPr>
          <w:rStyle w:val="Hyperlink.0"/>
          <w:rFonts w:ascii="Times New Roman" w:cs="Times New Roman" w:hAnsi="Times New Roman" w:eastAsia="Times New Roman"/>
          <w:outline w:val="0"/>
          <w:color w:val="0000ff"/>
          <w:sz w:val="24"/>
          <w:szCs w:val="24"/>
          <w:u w:val="single" w:color="0000ff"/>
          <w:shd w:val="clear" w:color="auto" w:fill="ffffff"/>
          <w:rtl w:val="0"/>
          <w14:textFill>
            <w14:solidFill>
              <w14:srgbClr w14:val="0000FF"/>
            </w14:solidFill>
          </w14:textFill>
        </w:rPr>
        <w:fldChar w:fldCharType="separate" w:fldLock="0"/>
      </w:r>
      <w:r>
        <w:rPr>
          <w:rStyle w:val="Hyperlink.0"/>
          <w:rFonts w:ascii="Times New Roman" w:hAnsi="Times New Roman"/>
          <w:outline w:val="0"/>
          <w:color w:val="0000ff"/>
          <w:sz w:val="24"/>
          <w:szCs w:val="24"/>
          <w:u w:val="single" w:color="0000ff"/>
          <w:shd w:val="clear" w:color="auto" w:fill="ffffff"/>
          <w:rtl w:val="0"/>
          <w:lang w:val="en-US"/>
          <w14:textFill>
            <w14:solidFill>
              <w14:srgbClr w14:val="0000FF"/>
            </w14:solidFill>
          </w14:textFill>
        </w:rPr>
        <w:t>https://www.uspto.gov/learning-and-resources/fees-and-payment/uspto-fee-schedule</w:t>
      </w:r>
      <w:r>
        <w:rPr>
          <w:rFonts w:ascii="Helvetica Light" w:cs="Helvetica Light" w:hAnsi="Helvetica Light" w:eastAsia="Helvetica Light"/>
          <w:outline w:val="0"/>
          <w:color w:val="222222"/>
          <w:sz w:val="32"/>
          <w:szCs w:val="32"/>
          <w:shd w:val="clear" w:color="auto" w:fill="ffffff"/>
          <w:rtl w:val="0"/>
          <w14:textFill>
            <w14:solidFill>
              <w14:srgbClr w14:val="222222"/>
            </w14:solidFill>
          </w14:textFill>
        </w:rPr>
        <w:fldChar w:fldCharType="end" w:fldLock="0"/>
      </w:r>
      <w:r>
        <w:rPr>
          <w:rFonts w:ascii="Times New Roman" w:hAnsi="Times New Roman"/>
          <w:outline w:val="0"/>
          <w:color w:val="222222"/>
          <w:sz w:val="24"/>
          <w:szCs w:val="24"/>
          <w:u w:val="single"/>
          <w:shd w:val="clear" w:color="auto" w:fill="ffffff"/>
          <w:rtl w:val="0"/>
          <w:lang w:val="zh-CN" w:eastAsia="zh-CN"/>
          <w14:textFill>
            <w14:solidFill>
              <w14:srgbClr w14:val="222222"/>
            </w14:solidFill>
          </w14:textFill>
        </w:rPr>
        <w:t>)</w:t>
      </w:r>
    </w:p>
    <w:p>
      <w:pPr>
        <w:pStyle w:val="Default"/>
        <w:bidi w:val="0"/>
        <w:spacing w:before="0" w:line="240" w:lineRule="auto"/>
        <w:ind w:left="0" w:right="0" w:firstLine="0"/>
        <w:jc w:val="left"/>
        <w:rPr>
          <w:rFonts w:ascii="Times New Roman" w:cs="Times New Roman" w:hAnsi="Times New Roman" w:eastAsia="Times New Roman"/>
          <w:b w:val="1"/>
          <w:bCs w:val="1"/>
          <w:outline w:val="0"/>
          <w:color w:val="222222"/>
          <w:sz w:val="24"/>
          <w:szCs w:val="24"/>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Times New Roman" w:cs="Times New Roman" w:hAnsi="Times New Roman" w:eastAsia="Times New Roman"/>
          <w:b w:val="1"/>
          <w:bCs w:val="1"/>
          <w:outline w:val="0"/>
          <w:color w:val="222222"/>
          <w:sz w:val="24"/>
          <w:szCs w:val="24"/>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Times New Roman" w:cs="Times New Roman" w:hAnsi="Times New Roman" w:eastAsia="Times New Roman"/>
          <w:b w:val="1"/>
          <w:bCs w:val="1"/>
          <w:outline w:val="0"/>
          <w:color w:val="222222"/>
          <w:sz w:val="24"/>
          <w:szCs w:val="24"/>
          <w:shd w:val="clear" w:color="auto" w:fill="ffffff"/>
          <w:rtl w:val="0"/>
          <w14:textFill>
            <w14:solidFill>
              <w14:srgbClr w14:val="222222"/>
            </w14:solidFill>
          </w14:textFill>
        </w:rPr>
      </w:pPr>
    </w:p>
    <w:p>
      <w:pPr>
        <w:pStyle w:val="Default"/>
        <w:bidi w:val="0"/>
        <w:spacing w:before="0" w:line="240" w:lineRule="auto"/>
        <w:ind w:left="0" w:right="0" w:firstLine="0"/>
        <w:jc w:val="left"/>
        <w:rPr>
          <w:rFonts w:ascii="Times New Roman" w:cs="Times New Roman" w:hAnsi="Times New Roman" w:eastAsia="Times New Roman"/>
          <w:outline w:val="0"/>
          <w:color w:val="222222"/>
          <w:sz w:val="32"/>
          <w:szCs w:val="32"/>
          <w:shd w:val="clear" w:color="auto" w:fill="ffffff"/>
          <w:rtl w:val="0"/>
          <w14:textFill>
            <w14:solidFill>
              <w14:srgbClr w14:val="222222"/>
            </w14:solidFill>
          </w14:textFill>
        </w:rPr>
      </w:pPr>
    </w:p>
    <w:p>
      <w:pPr>
        <w:pStyle w:val="Body A"/>
        <w:spacing w:line="240" w:lineRule="auto"/>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zh-CN" w:eastAsia="zh-CN"/>
        </w:rPr>
        <w:t>Post file procedures</w:t>
      </w:r>
      <w:r>
        <w:rPr>
          <w:rFonts w:ascii="Times New Roman" w:hAnsi="Times New Roman"/>
          <w:b w:val="1"/>
          <w:bCs w:val="1"/>
          <w:sz w:val="24"/>
          <w:szCs w:val="24"/>
          <w:rtl w:val="0"/>
          <w:lang w:val="en-US"/>
        </w:rPr>
        <w:t xml:space="preserve">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After your application is filed, your patent will be in the status of </w:t>
      </w:r>
      <w:r>
        <w:rPr>
          <w:rFonts w:ascii="Times New Roman" w:hAnsi="Times New Roman"/>
          <w:sz w:val="24"/>
          <w:szCs w:val="24"/>
          <w:rtl w:val="0"/>
          <w:lang w:val="de-DE"/>
        </w:rPr>
        <w:t>"Patent Pending":</w:t>
      </w:r>
      <w:r>
        <w:rPr>
          <w:rFonts w:ascii="Times New Roman" w:hAnsi="Times New Roman" w:hint="default"/>
          <w:sz w:val="24"/>
          <w:szCs w:val="24"/>
          <w:rtl w:val="0"/>
          <w:lang w:val="en-US"/>
        </w:rPr>
        <w:t> </w:t>
      </w:r>
      <w:r>
        <w:rPr>
          <w:rFonts w:ascii="Times New Roman" w:hAnsi="Times New Roman"/>
          <w:sz w:val="24"/>
          <w:szCs w:val="24"/>
          <w:rtl w:val="0"/>
          <w:lang w:val="en-US"/>
        </w:rPr>
        <w:t>Total elapsed time from application to issued patent is currently averaging about 18-24 months. During that time you can claim "patent pending" status.</w:t>
      </w:r>
      <w:r>
        <w:rPr>
          <w:rFonts w:ascii="Times New Roman" w:hAnsi="Times New Roman" w:hint="default"/>
          <w:sz w:val="24"/>
          <w:szCs w:val="24"/>
          <w:rtl w:val="0"/>
          <w:lang w:val="en-US"/>
        </w:rPr>
        <w:t>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Supplying "Prior Art" to the USPTO - the Information Disclosure Statement:</w:t>
      </w:r>
      <w:r>
        <w:rPr>
          <w:rFonts w:ascii="Times New Roman" w:hAnsi="Times New Roman" w:hint="default"/>
          <w:sz w:val="24"/>
          <w:szCs w:val="24"/>
          <w:rtl w:val="0"/>
          <w:lang w:val="en-US"/>
        </w:rPr>
        <w:t> </w:t>
      </w:r>
      <w:r>
        <w:rPr>
          <w:rFonts w:ascii="Times New Roman" w:hAnsi="Times New Roman"/>
          <w:sz w:val="24"/>
          <w:szCs w:val="24"/>
          <w:rtl w:val="0"/>
          <w:lang w:val="en-US"/>
        </w:rPr>
        <w:t>The USPTO requires the filing of an Information Disclosure Statement (IDS) with copies of all relevant publications (patents or otherwise) known to the inventor. The IDS is usually filed after receiving the official filing receipt from the USPTO, about three months after filing the application.</w:t>
      </w:r>
      <w:r>
        <w:rPr>
          <w:rFonts w:ascii="Times New Roman" w:hAnsi="Times New Roman" w:hint="default"/>
          <w:sz w:val="24"/>
          <w:szCs w:val="24"/>
          <w:rtl w:val="0"/>
          <w:lang w:val="en-US"/>
        </w:rPr>
        <w:t>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Note that a Supplemental IDS should be filed with the references if you become aware of any references which are relevant to patentability during the pendency of the patent - for example if a foreign patent office cites patents against a foreign counterpart of the US application or if the USPTO cites art in a related US application.</w:t>
      </w:r>
      <w:r>
        <w:rPr>
          <w:rFonts w:ascii="Times New Roman" w:hAnsi="Times New Roman" w:hint="default"/>
          <w:sz w:val="24"/>
          <w:szCs w:val="24"/>
          <w:rtl w:val="0"/>
          <w:lang w:val="en-US"/>
        </w:rPr>
        <w:t>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Office Actions:</w:t>
      </w:r>
      <w:r>
        <w:rPr>
          <w:rFonts w:ascii="Times New Roman" w:hAnsi="Times New Roman" w:hint="default"/>
          <w:sz w:val="24"/>
          <w:szCs w:val="24"/>
          <w:rtl w:val="0"/>
          <w:lang w:val="en-US"/>
        </w:rPr>
        <w:t> </w:t>
      </w:r>
      <w:r>
        <w:rPr>
          <w:rFonts w:ascii="Times New Roman" w:hAnsi="Times New Roman"/>
          <w:sz w:val="24"/>
          <w:szCs w:val="24"/>
          <w:rtl w:val="0"/>
          <w:lang w:val="en-US"/>
        </w:rPr>
        <w:t>About 18-24 months after you file your application, your application will be examined by a Patent Examiner, and almost always will be rejected to some extent (85-90% of applications receive at least one office action). The rejections may be as to matters of form, or the Examiner may have found patents in his search which he feels are identical to your invention, or which might render your invention obvious.</w:t>
      </w:r>
      <w:r>
        <w:rPr>
          <w:rFonts w:ascii="Times New Roman" w:hAnsi="Times New Roman" w:hint="default"/>
          <w:sz w:val="24"/>
          <w:szCs w:val="24"/>
          <w:rtl w:val="0"/>
          <w:lang w:val="en-US"/>
        </w:rPr>
        <w:t>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You will have 3 months to respond to the Office Action by amending the claims, arguing against the rejections, or both - this time period can be extended up to a total of six months from the date of the Office Action by paying extension fees. It is not possible to have a set fee for such responses, because the office actions vary so widely in content.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Issue:</w:t>
      </w:r>
      <w:r>
        <w:rPr>
          <w:rFonts w:ascii="Times New Roman" w:hAnsi="Times New Roman" w:hint="default"/>
          <w:sz w:val="24"/>
          <w:szCs w:val="24"/>
          <w:rtl w:val="0"/>
          <w:lang w:val="en-US"/>
        </w:rPr>
        <w:t> </w:t>
      </w:r>
      <w:r>
        <w:rPr>
          <w:rFonts w:ascii="Times New Roman" w:hAnsi="Times New Roman"/>
          <w:sz w:val="24"/>
          <w:szCs w:val="24"/>
          <w:rtl w:val="0"/>
          <w:lang w:val="en-US"/>
        </w:rPr>
        <w:t>Once the examiner has determined that the application may issue as a patent, you will have 3 months to pay an issue fee. Legal Fees are $500 for preparation and filing of papers with the issue fee, reviewing the claims in the issued patent for errors, and docketing and reminding you of payment for the first maintenance fee. Allow 3-4 months after paying the issue fee for the patent to issue.</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Maintenance Fees:</w:t>
      </w:r>
      <w:r>
        <w:rPr>
          <w:rFonts w:ascii="Times New Roman" w:hAnsi="Times New Roman" w:hint="default"/>
          <w:sz w:val="24"/>
          <w:szCs w:val="24"/>
          <w:rtl w:val="0"/>
          <w:lang w:val="en-US"/>
        </w:rPr>
        <w:t> </w:t>
      </w:r>
      <w:r>
        <w:rPr>
          <w:rFonts w:ascii="Times New Roman" w:hAnsi="Times New Roman"/>
          <w:b w:val="1"/>
          <w:bCs w:val="1"/>
          <w:sz w:val="24"/>
          <w:szCs w:val="24"/>
          <w:rtl w:val="0"/>
          <w:lang w:val="en-US"/>
        </w:rPr>
        <w:t>This fee is not included in our estimation report.</w:t>
      </w:r>
      <w:r>
        <w:rPr>
          <w:rFonts w:ascii="Times New Roman" w:hAnsi="Times New Roman"/>
          <w:sz w:val="24"/>
          <w:szCs w:val="24"/>
          <w:rtl w:val="0"/>
          <w:lang w:val="en-US"/>
        </w:rPr>
        <w:t xml:space="preserve"> Once the patent issues, it will be valid for up to 20 years from the date of filing the application (from the date of the earliest non-provisional application in the chain, if this is a continuation, continuation in part or divisional application). During the life of the patent, you have to pay periodic maintenance fees to keep the patent from expiring. These fees are currently as follows, but of course, you will have to pay the fees which are in effect when the payment is due. The currently applicable</w:t>
      </w:r>
      <w:r>
        <w:rPr>
          <w:rFonts w:ascii="Times New Roman" w:hAnsi="Times New Roman"/>
          <w:sz w:val="24"/>
          <w:szCs w:val="24"/>
          <w:rtl w:val="0"/>
          <w:lang w:val="zh-CN" w:eastAsia="zh-CN"/>
        </w:rPr>
        <w:t xml:space="preserve"> </w:t>
      </w:r>
      <w:r>
        <w:rPr>
          <w:rFonts w:ascii="Times New Roman" w:hAnsi="Times New Roman"/>
          <w:sz w:val="24"/>
          <w:szCs w:val="24"/>
          <w:rtl w:val="0"/>
          <w:lang w:val="en-US"/>
        </w:rPr>
        <w:t>maintenance fees are as follows:</w:t>
      </w:r>
      <w:r>
        <w:rPr>
          <w:rFonts w:ascii="Times New Roman" w:hAnsi="Times New Roman" w:hint="default"/>
          <w:sz w:val="24"/>
          <w:szCs w:val="24"/>
          <w:rtl w:val="0"/>
          <w:lang w:val="en-US"/>
        </w:rPr>
        <w:t> </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3.5 years after patent date:</w:t>
      </w:r>
      <w:r>
        <w:rPr>
          <w:rFonts w:ascii="Times New Roman" w:hAnsi="Times New Roman" w:hint="default"/>
          <w:sz w:val="24"/>
          <w:szCs w:val="24"/>
          <w:rtl w:val="0"/>
          <w:lang w:val="en-US"/>
        </w:rPr>
        <w:t> </w:t>
      </w:r>
      <w:r>
        <w:rPr>
          <w:rFonts w:ascii="Times New Roman" w:hAnsi="Times New Roman"/>
          <w:sz w:val="24"/>
          <w:szCs w:val="24"/>
          <w:rtl w:val="0"/>
          <w:lang w:val="en-US"/>
        </w:rPr>
        <w:t>$1,000</w:t>
      </w:r>
    </w:p>
    <w:p>
      <w:pPr>
        <w:pStyle w:val="Body A"/>
        <w:spacing w:line="240" w:lineRule="auto"/>
        <w:rPr>
          <w:rFonts w:ascii="Times New Roman" w:cs="Times New Roman" w:hAnsi="Times New Roman" w:eastAsia="Times New Roman"/>
          <w:sz w:val="24"/>
          <w:szCs w:val="24"/>
        </w:rPr>
      </w:pPr>
      <w:r>
        <w:rPr>
          <w:rFonts w:ascii="Times New Roman" w:hAnsi="Times New Roman"/>
          <w:sz w:val="24"/>
          <w:szCs w:val="24"/>
          <w:rtl w:val="0"/>
          <w:lang w:val="en-US"/>
        </w:rPr>
        <w:t>7.5 years after patent date:</w:t>
      </w:r>
      <w:r>
        <w:rPr>
          <w:rFonts w:ascii="Times New Roman" w:hAnsi="Times New Roman" w:hint="default"/>
          <w:sz w:val="24"/>
          <w:szCs w:val="24"/>
          <w:rtl w:val="0"/>
          <w:lang w:val="en-US"/>
        </w:rPr>
        <w:t> </w:t>
      </w:r>
      <w:r>
        <w:rPr>
          <w:rFonts w:ascii="Times New Roman" w:hAnsi="Times New Roman"/>
          <w:sz w:val="24"/>
          <w:szCs w:val="24"/>
          <w:rtl w:val="0"/>
          <w:lang w:val="en-US"/>
        </w:rPr>
        <w:t>$1,880</w:t>
      </w:r>
    </w:p>
    <w:p>
      <w:pPr>
        <w:pStyle w:val="Body A"/>
        <w:spacing w:line="240" w:lineRule="auto"/>
      </w:pPr>
      <w:r>
        <w:rPr>
          <w:rFonts w:ascii="Times New Roman" w:hAnsi="Times New Roman"/>
          <w:sz w:val="24"/>
          <w:szCs w:val="24"/>
          <w:rtl w:val="0"/>
          <w:lang w:val="en-US"/>
        </w:rPr>
        <w:t>11.5 years after patent date:</w:t>
      </w:r>
      <w:r>
        <w:rPr>
          <w:rFonts w:ascii="Times New Roman" w:hAnsi="Times New Roman" w:hint="default"/>
          <w:sz w:val="24"/>
          <w:szCs w:val="24"/>
          <w:rtl w:val="0"/>
          <w:lang w:val="en-US"/>
        </w:rPr>
        <w:t> </w:t>
      </w:r>
      <w:r>
        <w:rPr>
          <w:rFonts w:ascii="Times New Roman" w:hAnsi="Times New Roman"/>
          <w:sz w:val="24"/>
          <w:szCs w:val="24"/>
          <w:rtl w:val="0"/>
          <w:lang w:val="en-US"/>
        </w:rPr>
        <w:t>$3,850</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Helvetica Light">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zh-CN" w:eastAsia="zh-CN"/>
      <w14:textOutline>
        <w14:noFill/>
      </w14:textOutline>
      <w14:textFill>
        <w14:solidFill>
          <w14:srgbClr w14:val="000000"/>
        </w14:solidFill>
      </w14:textFill>
    </w:r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Times New Roman" w:cs="Times New Roman" w:hAnsi="Times New Roman" w:eastAsia="Times New Roman"/>
      <w:sz w:val="24"/>
      <w:szCs w:val="24"/>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