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proofErr w:type="gramStart"/>
      <w:r w:rsidR="00E564F3">
        <w:rPr>
          <w:rFonts w:ascii="Times New Roman" w:hAnsi="Times New Roman" w:cs="Times New Roman"/>
        </w:rPr>
        <w:t>replication</w:t>
      </w:r>
      <w:proofErr w:type="gramEnd"/>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commentRangeStart w:id="2"/>
      <w:r w:rsidRPr="00223AD2">
        <w:rPr>
          <w:rFonts w:ascii="Times New Roman" w:hAnsi="Times New Roman" w:cs="Times New Roman"/>
          <w:u w:val="single"/>
        </w:rPr>
        <w:t>Data collection</w:t>
      </w:r>
      <w:commentRangeEnd w:id="2"/>
      <w:r w:rsidR="00490299">
        <w:rPr>
          <w:rStyle w:val="CommentReference"/>
        </w:rPr>
        <w:commentReference w:id="2"/>
      </w:r>
    </w:p>
    <w:p w14:paraId="3D66562D" w14:textId="1A04D8A9" w:rsidR="00190EE3" w:rsidRPr="00223AD2" w:rsidRDefault="00190EE3">
      <w:pPr>
        <w:rPr>
          <w:rFonts w:ascii="Times New Roman" w:hAnsi="Times New Roman" w:cs="Times New Roman"/>
          <w:u w:val="single"/>
        </w:rPr>
      </w:pPr>
    </w:p>
    <w:p w14:paraId="46F89CD7" w14:textId="59A6D9BE" w:rsidR="00190EE3" w:rsidRPr="00223AD2" w:rsidRDefault="00190EE3">
      <w:pPr>
        <w:rPr>
          <w:rFonts w:ascii="Times New Roman" w:hAnsi="Times New Roman" w:cs="Times New Roman"/>
          <w:i/>
          <w:iCs/>
        </w:rPr>
      </w:pPr>
      <w:r w:rsidRPr="00223AD2">
        <w:rPr>
          <w:rFonts w:ascii="Times New Roman" w:hAnsi="Times New Roman" w:cs="Times New Roman"/>
          <w:i/>
          <w:iCs/>
        </w:rPr>
        <w:t>a. study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3"/>
      <w:r w:rsidR="00C11565" w:rsidRPr="00223AD2">
        <w:rPr>
          <w:rFonts w:ascii="Times New Roman" w:hAnsi="Times New Roman" w:cs="Times New Roman"/>
        </w:rPr>
        <w:t xml:space="preserve">(ref) </w:t>
      </w:r>
      <w:commentRangeEnd w:id="3"/>
      <w:r w:rsidR="00C11565" w:rsidRPr="00223AD2">
        <w:rPr>
          <w:rStyle w:val="CommentReference"/>
          <w:rFonts w:ascii="Times New Roman" w:hAnsi="Times New Roman" w:cs="Times New Roman"/>
        </w:rPr>
        <w:commentReference w:id="3"/>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4"/>
      <w:r w:rsidR="00C11565" w:rsidRPr="00223AD2">
        <w:rPr>
          <w:rFonts w:ascii="Times New Roman" w:hAnsi="Times New Roman" w:cs="Times New Roman"/>
        </w:rPr>
        <w:t>(ref)</w:t>
      </w:r>
      <w:commentRangeEnd w:id="4"/>
      <w:r w:rsidR="00C11565" w:rsidRPr="00223AD2">
        <w:rPr>
          <w:rStyle w:val="CommentReference"/>
          <w:rFonts w:ascii="Times New Roman" w:hAnsi="Times New Roman" w:cs="Times New Roman"/>
        </w:rPr>
        <w:commentReference w:id="4"/>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5"/>
      <w:r w:rsidR="00DD5BEF" w:rsidRPr="00223AD2">
        <w:rPr>
          <w:rFonts w:ascii="Times New Roman" w:hAnsi="Times New Roman" w:cs="Times New Roman"/>
        </w:rPr>
        <w:t>(ref).</w:t>
      </w:r>
      <w:commentRangeEnd w:id="5"/>
      <w:r w:rsidR="00DD5BEF" w:rsidRPr="00223AD2">
        <w:rPr>
          <w:rStyle w:val="CommentReference"/>
          <w:rFonts w:ascii="Times New Roman" w:hAnsi="Times New Roman" w:cs="Times New Roman"/>
        </w:rPr>
        <w:commentReference w:id="5"/>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E419F" w:rsidR="00190EE3" w:rsidRPr="00223AD2" w:rsidRDefault="00190EE3">
      <w:pPr>
        <w:rPr>
          <w:rFonts w:ascii="Times New Roman" w:hAnsi="Times New Roman" w:cs="Times New Roman"/>
          <w:i/>
          <w:iCs/>
        </w:rPr>
      </w:pPr>
      <w:r w:rsidRPr="00223AD2">
        <w:rPr>
          <w:rFonts w:ascii="Times New Roman" w:hAnsi="Times New Roman" w:cs="Times New Roman"/>
          <w:i/>
          <w:iCs/>
        </w:rPr>
        <w:t>b. environmental condition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71A87947" w:rsidR="00190EE3" w:rsidRPr="00223AD2" w:rsidRDefault="00190EE3">
      <w:pPr>
        <w:rPr>
          <w:rFonts w:ascii="Times New Roman" w:hAnsi="Times New Roman" w:cs="Times New Roman"/>
          <w:i/>
          <w:iCs/>
        </w:rPr>
      </w:pPr>
      <w:r w:rsidRPr="00223AD2">
        <w:rPr>
          <w:rFonts w:ascii="Times New Roman" w:hAnsi="Times New Roman" w:cs="Times New Roman"/>
          <w:i/>
          <w:iCs/>
        </w:rPr>
        <w:t>c. population mapping</w:t>
      </w:r>
    </w:p>
    <w:p w14:paraId="7627476E" w14:textId="268269CA" w:rsidR="00D41AC6" w:rsidRPr="00223AD2" w:rsidRDefault="00C27D9B">
      <w:pPr>
        <w:rPr>
          <w:rFonts w:ascii="Times New Roman" w:hAnsi="Times New Roman" w:cs="Times New Roman"/>
        </w:rPr>
      </w:pPr>
      <w:r w:rsidRPr="00223AD2">
        <w:rPr>
          <w:rFonts w:ascii="Times New Roman" w:hAnsi="Times New Roman" w:cs="Times New Roman"/>
          <w:i/>
          <w:iCs/>
        </w:rPr>
        <w:tab/>
      </w:r>
      <w:proofErr w:type="gramStart"/>
      <w:r w:rsidR="0010146B" w:rsidRPr="00223AD2">
        <w:rPr>
          <w:rFonts w:ascii="Times New Roman" w:hAnsi="Times New Roman" w:cs="Times New Roman"/>
        </w:rPr>
        <w:t>In order to</w:t>
      </w:r>
      <w:proofErr w:type="gramEnd"/>
      <w:r w:rsidR="0010146B" w:rsidRPr="00223AD2">
        <w:rPr>
          <w:rFonts w:ascii="Times New Roman" w:hAnsi="Times New Roman" w:cs="Times New Roman"/>
        </w:rPr>
        <w:t xml:space="preserve">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77DDA887" w:rsidR="00190EE3" w:rsidRPr="00223AD2" w:rsidRDefault="00190EE3">
      <w:pPr>
        <w:rPr>
          <w:rFonts w:ascii="Times New Roman" w:hAnsi="Times New Roman" w:cs="Times New Roman"/>
          <w:i/>
          <w:iCs/>
        </w:rPr>
      </w:pPr>
      <w:r w:rsidRPr="00223AD2">
        <w:rPr>
          <w:rFonts w:ascii="Times New Roman" w:hAnsi="Times New Roman" w:cs="Times New Roman"/>
          <w:i/>
          <w:iCs/>
        </w:rPr>
        <w:t>d. epidemiological surveillance</w:t>
      </w:r>
    </w:p>
    <w:p w14:paraId="23B7B1A1" w14:textId="109715CA"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1EBA5E9B" w:rsidR="00190EE3" w:rsidRPr="00223AD2" w:rsidRDefault="00190EE3">
      <w:pPr>
        <w:rPr>
          <w:rFonts w:ascii="Times New Roman" w:hAnsi="Times New Roman" w:cs="Times New Roman"/>
          <w:i/>
          <w:iCs/>
        </w:rPr>
      </w:pPr>
      <w:r w:rsidRPr="00223AD2">
        <w:rPr>
          <w:rFonts w:ascii="Times New Roman" w:hAnsi="Times New Roman" w:cs="Times New Roman"/>
          <w:i/>
          <w:iCs/>
        </w:rPr>
        <w:t>e. diseased focal plants</w:t>
      </w:r>
    </w:p>
    <w:p w14:paraId="10C0E32A" w14:textId="19D4FBA6"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esignation to newly diseased plants until we obtained approximately 25 infected focal diseased plants per site</w:t>
      </w:r>
      <w:r w:rsidR="00EC7BF6" w:rsidRPr="00223AD2">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To enable the size of individual pustules to be tracked across observations, each measured pustules in each 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w:t>
      </w:r>
      <w:r w:rsidR="001E3D0D" w:rsidRPr="00223AD2">
        <w:rPr>
          <w:rFonts w:ascii="Times New Roman" w:hAnsi="Times New Roman" w:cs="Times New Roman"/>
        </w:rPr>
        <w:lastRenderedPageBreak/>
        <w:t xml:space="preserve">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w:t>
      </w:r>
      <w:r w:rsidR="00F25C92" w:rsidRPr="00223AD2">
        <w:rPr>
          <w:rFonts w:ascii="Times New Roman" w:hAnsi="Times New Roman" w:cs="Times New Roman"/>
        </w:rPr>
        <w:lastRenderedPageBreak/>
        <w:t>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 xml:space="preserve">matched descriptions in the literature (refs).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F868DDF" w:rsidR="00190EE3" w:rsidRPr="00223AD2" w:rsidRDefault="00303009">
      <w:pPr>
        <w:rPr>
          <w:rFonts w:ascii="Times New Roman" w:hAnsi="Times New Roman" w:cs="Times New Roman"/>
          <w:u w:val="single"/>
        </w:rPr>
      </w:pPr>
      <w:r>
        <w:rPr>
          <w:rFonts w:ascii="Times New Roman" w:hAnsi="Times New Roman" w:cs="Times New Roman"/>
          <w:u w:val="single"/>
        </w:rPr>
        <w:t xml:space="preserve">Statistical </w:t>
      </w:r>
      <w:r w:rsidR="000E575D">
        <w:rPr>
          <w:rFonts w:ascii="Times New Roman" w:hAnsi="Times New Roman" w:cs="Times New Roman"/>
          <w:u w:val="single"/>
        </w:rPr>
        <w:t>Analyses</w:t>
      </w:r>
    </w:p>
    <w:p w14:paraId="33C8B275" w14:textId="77777777" w:rsidR="00824AE5" w:rsidRDefault="00824AE5">
      <w:pPr>
        <w:rPr>
          <w:rFonts w:ascii="Times New Roman" w:hAnsi="Times New Roman" w:cs="Times New Roman"/>
        </w:rPr>
      </w:pPr>
    </w:p>
    <w:p w14:paraId="3FD8D2BC" w14:textId="6DD68C3C" w:rsidR="00190EE3" w:rsidRDefault="00A65ECA">
      <w:pPr>
        <w:rPr>
          <w:rFonts w:ascii="Times New Roman" w:hAnsi="Times New Roman" w:cs="Times New Roman"/>
          <w:i/>
          <w:iCs/>
        </w:rPr>
      </w:pPr>
      <w:r>
        <w:rPr>
          <w:rFonts w:ascii="Times New Roman" w:hAnsi="Times New Roman" w:cs="Times New Roman"/>
          <w:i/>
          <w:iCs/>
        </w:rPr>
        <w:t>a</w:t>
      </w:r>
      <w:r w:rsidR="00190EE3" w:rsidRPr="00223AD2">
        <w:rPr>
          <w:rFonts w:ascii="Times New Roman" w:hAnsi="Times New Roman" w:cs="Times New Roman"/>
          <w:i/>
          <w:iCs/>
        </w:rPr>
        <w:t>.</w:t>
      </w:r>
      <w:r w:rsidR="006F0AE3">
        <w:rPr>
          <w:rFonts w:ascii="Times New Roman" w:hAnsi="Times New Roman" w:cs="Times New Roman"/>
          <w:i/>
          <w:iCs/>
        </w:rPr>
        <w:t xml:space="preserve"> </w:t>
      </w:r>
      <w:r w:rsidR="00CF1F50">
        <w:rPr>
          <w:rFonts w:ascii="Times New Roman" w:hAnsi="Times New Roman" w:cs="Times New Roman"/>
          <w:i/>
          <w:iCs/>
        </w:rPr>
        <w:t>Plant growth and w</w:t>
      </w:r>
      <w:r w:rsidR="00F456EE">
        <w:rPr>
          <w:rFonts w:ascii="Times New Roman" w:hAnsi="Times New Roman" w:cs="Times New Roman"/>
          <w:i/>
          <w:iCs/>
        </w:rPr>
        <w:t>ithin-host disease spread</w:t>
      </w:r>
    </w:p>
    <w:p w14:paraId="5E9C2B5B" w14:textId="2C1A1D44" w:rsidR="006F0AE3" w:rsidRDefault="00DD53B8">
      <w:pPr>
        <w:rPr>
          <w:rFonts w:ascii="Times New Roman" w:hAnsi="Times New Roman" w:cs="Times New Roman"/>
        </w:rPr>
      </w:pPr>
      <w:r>
        <w:rPr>
          <w:rFonts w:ascii="Times New Roman" w:hAnsi="Times New Roman" w:cs="Times New Roman"/>
        </w:rPr>
        <w:t xml:space="preserve">To infer how different weather factors affect </w:t>
      </w:r>
      <w:r w:rsidR="00CF1F50">
        <w:rPr>
          <w:rFonts w:ascii="Times New Roman" w:hAnsi="Times New Roman" w:cs="Times New Roman"/>
        </w:rPr>
        <w:t xml:space="preserve">plant growth, </w:t>
      </w:r>
      <w:r>
        <w:rPr>
          <w:rFonts w:ascii="Times New Roman" w:hAnsi="Times New Roman" w:cs="Times New Roman"/>
        </w:rPr>
        <w:t>pustule growth</w:t>
      </w:r>
      <w:r w:rsidR="00F456EE">
        <w:rPr>
          <w:rFonts w:ascii="Times New Roman" w:hAnsi="Times New Roman" w:cs="Times New Roman"/>
        </w:rPr>
        <w:t xml:space="preserve">, </w:t>
      </w:r>
      <w:r w:rsidR="00B5480C">
        <w:rPr>
          <w:rFonts w:ascii="Times New Roman" w:hAnsi="Times New Roman" w:cs="Times New Roman"/>
        </w:rPr>
        <w:t>pustule establishment, and changes in infection intensity, we</w:t>
      </w:r>
      <w:r w:rsidR="006F0AE3">
        <w:rPr>
          <w:rFonts w:ascii="Times New Roman" w:hAnsi="Times New Roman" w:cs="Times New Roman"/>
        </w:rPr>
        <w:t xml:space="preserve"> </w:t>
      </w:r>
      <w:r w:rsidR="00B5480C">
        <w:rPr>
          <w:rFonts w:ascii="Times New Roman" w:hAnsi="Times New Roman" w:cs="Times New Roman"/>
        </w:rPr>
        <w:t xml:space="preserve">fit generalized additive models. </w:t>
      </w:r>
      <w:r w:rsidR="00193AD8">
        <w:rPr>
          <w:rFonts w:ascii="Times New Roman" w:hAnsi="Times New Roman" w:cs="Times New Roman"/>
        </w:rPr>
        <w:t xml:space="preserve">We used longitudinal observations of plant height in healthy and diseased focal plants to fit the model of plant growth, and longitudinal observations of within-host disease spread at various scales in focal diseased plants to fit all other models. </w:t>
      </w:r>
      <w:r w:rsidR="0008412D">
        <w:rPr>
          <w:rFonts w:ascii="Times New Roman" w:hAnsi="Times New Roman" w:cs="Times New Roman"/>
        </w:rPr>
        <w:t xml:space="preserve">Because the observation periods associated with our measurements </w:t>
      </w:r>
      <w:r w:rsidR="00CF1F50">
        <w:rPr>
          <w:rFonts w:ascii="Times New Roman" w:hAnsi="Times New Roman" w:cs="Times New Roman"/>
        </w:rPr>
        <w:t>of</w:t>
      </w:r>
      <w:r w:rsidR="00B5480C">
        <w:rPr>
          <w:rFonts w:ascii="Times New Roman" w:hAnsi="Times New Roman" w:cs="Times New Roman"/>
        </w:rPr>
        <w:t xml:space="preserve"> these processes varied, we </w:t>
      </w:r>
      <w:r w:rsidR="006F0AE3">
        <w:rPr>
          <w:rFonts w:ascii="Times New Roman" w:hAnsi="Times New Roman" w:cs="Times New Roman"/>
        </w:rPr>
        <w:t>formatted the response variables in change-per-day units</w:t>
      </w:r>
      <w:r w:rsidR="00965FEB">
        <w:rPr>
          <w:rFonts w:ascii="Times New Roman" w:hAnsi="Times New Roman" w:cs="Times New Roman"/>
        </w:rPr>
        <w:t>:</w:t>
      </w:r>
      <w:r w:rsidR="006F0AE3">
        <w:rPr>
          <w:rFonts w:ascii="Times New Roman" w:hAnsi="Times New Roman" w:cs="Times New Roman"/>
        </w:rPr>
        <w:t xml:space="preserve"> For our analyses of</w:t>
      </w:r>
      <w:r w:rsidR="00CF1F50">
        <w:rPr>
          <w:rFonts w:ascii="Times New Roman" w:hAnsi="Times New Roman" w:cs="Times New Roman"/>
        </w:rPr>
        <w:t xml:space="preserve"> plant growth,</w:t>
      </w:r>
      <w:r w:rsidR="006F0AE3">
        <w:rPr>
          <w:rFonts w:ascii="Times New Roman" w:hAnsi="Times New Roman" w:cs="Times New Roman"/>
        </w:rPr>
        <w:t xml:space="preserve"> pustule growth, pustule establishment, and infection intensity progression we used </w:t>
      </w:r>
      <w:r w:rsidR="00CF1F50">
        <w:rPr>
          <w:rFonts w:ascii="Times New Roman" w:hAnsi="Times New Roman" w:cs="Times New Roman"/>
        </w:rPr>
        <w:t xml:space="preserve">change in plant height per day, </w:t>
      </w:r>
      <w:r w:rsidR="006F0AE3">
        <w:rPr>
          <w:rFonts w:ascii="Times New Roman" w:hAnsi="Times New Roman" w:cs="Times New Roman"/>
        </w:rPr>
        <w:t xml:space="preserve">change in pustule area per day, change in the number of pustules present on a leaf per day, and change in infection intensity per day respectively as the response variables. </w:t>
      </w:r>
    </w:p>
    <w:p w14:paraId="58CA84C3" w14:textId="73613B19" w:rsidR="00F74C97" w:rsidRDefault="006F0AE3" w:rsidP="00F74C97">
      <w:pPr>
        <w:ind w:firstLine="720"/>
        <w:rPr>
          <w:rFonts w:ascii="Times New Roman" w:hAnsi="Times New Roman" w:cs="Times New Roman"/>
        </w:rPr>
      </w:pPr>
      <w:r>
        <w:rPr>
          <w:rFonts w:ascii="Times New Roman" w:hAnsi="Times New Roman" w:cs="Times New Roman"/>
        </w:rPr>
        <w:t>To infer the effects of weather variables, we included smooth terms for these factors as predictors</w:t>
      </w:r>
      <w:r w:rsidR="008E0722">
        <w:rPr>
          <w:rFonts w:ascii="Times New Roman" w:hAnsi="Times New Roman" w:cs="Times New Roman"/>
        </w:rPr>
        <w:t xml:space="preserve"> in each model</w:t>
      </w:r>
      <w:r>
        <w:rPr>
          <w:rFonts w:ascii="Times New Roman" w:hAnsi="Times New Roman" w:cs="Times New Roman"/>
        </w:rPr>
        <w:t xml:space="preserve">. </w:t>
      </w:r>
      <w:r w:rsidR="008E0722">
        <w:rPr>
          <w:rFonts w:ascii="Times New Roman" w:hAnsi="Times New Roman" w:cs="Times New Roman"/>
        </w:rPr>
        <w:t xml:space="preserve">For each observation of change in </w:t>
      </w:r>
      <w:r w:rsidR="008425CA">
        <w:rPr>
          <w:rFonts w:ascii="Times New Roman" w:hAnsi="Times New Roman" w:cs="Times New Roman"/>
        </w:rPr>
        <w:t xml:space="preserve">plant height, </w:t>
      </w:r>
      <w:r w:rsidR="008E0722">
        <w:rPr>
          <w:rFonts w:ascii="Times New Roman" w:hAnsi="Times New Roman" w:cs="Times New Roman"/>
        </w:rPr>
        <w:t xml:space="preserve">pustule area, pustule number, or infection intensity, we determined the start and end timepoints of the observation period to extract the corresponding weather data. </w:t>
      </w:r>
      <w:r w:rsidR="00A65ECA">
        <w:rPr>
          <w:rFonts w:ascii="Times New Roman" w:hAnsi="Times New Roman" w:cs="Times New Roman"/>
        </w:rPr>
        <w:t xml:space="preserve">For observations of plant height, we used 12:00 P.M. on the day of the observation as the start/end timepoints of the observation period. </w:t>
      </w:r>
      <w:r w:rsidR="008E0722">
        <w:rPr>
          <w:rFonts w:ascii="Times New Roman" w:hAnsi="Times New Roman" w:cs="Times New Roman"/>
        </w:rPr>
        <w:t xml:space="preserve">For observations of pustule area and pustule number, we used photograph timestamps as the start and end timepoints. For observations of infection intensity, we used the </w:t>
      </w:r>
      <w:r w:rsidR="0040793D">
        <w:rPr>
          <w:rFonts w:ascii="Times New Roman" w:hAnsi="Times New Roman" w:cs="Times New Roman"/>
        </w:rPr>
        <w:t xml:space="preserve">average of the </w:t>
      </w:r>
      <w:r w:rsidR="008E0722">
        <w:rPr>
          <w:rFonts w:ascii="Times New Roman" w:hAnsi="Times New Roman" w:cs="Times New Roman"/>
        </w:rPr>
        <w:t xml:space="preserve">timestamps of photographs taken of </w:t>
      </w:r>
      <w:r w:rsidR="00F74C97">
        <w:rPr>
          <w:rFonts w:ascii="Times New Roman" w:hAnsi="Times New Roman" w:cs="Times New Roman"/>
        </w:rPr>
        <w:t>pustules on that</w:t>
      </w:r>
      <w:r w:rsidR="008E0722">
        <w:rPr>
          <w:rFonts w:ascii="Times New Roman" w:hAnsi="Times New Roman" w:cs="Times New Roman"/>
        </w:rPr>
        <w:t xml:space="preserve"> plant’s leaves as </w:t>
      </w:r>
      <w:r w:rsidR="00F74C97">
        <w:rPr>
          <w:rFonts w:ascii="Times New Roman" w:hAnsi="Times New Roman" w:cs="Times New Roman"/>
        </w:rPr>
        <w:t>the start and/or end timepoint</w:t>
      </w:r>
      <w:r w:rsidR="00965FEB">
        <w:rPr>
          <w:rFonts w:ascii="Times New Roman" w:hAnsi="Times New Roman" w:cs="Times New Roman"/>
        </w:rPr>
        <w:t>s</w:t>
      </w:r>
      <w:r w:rsidR="00F74C97">
        <w:rPr>
          <w:rFonts w:ascii="Times New Roman" w:hAnsi="Times New Roman" w:cs="Times New Roman"/>
        </w:rPr>
        <w:t xml:space="preserve"> if such photographs were taken</w:t>
      </w:r>
      <w:r w:rsidR="00A65ECA">
        <w:rPr>
          <w:rFonts w:ascii="Times New Roman" w:hAnsi="Times New Roman" w:cs="Times New Roman"/>
        </w:rPr>
        <w:t>, because all data for an individual diseased focal plant was generally collected at once</w:t>
      </w:r>
      <w:r w:rsidR="00F74C97">
        <w:rPr>
          <w:rFonts w:ascii="Times New Roman" w:hAnsi="Times New Roman" w:cs="Times New Roman"/>
        </w:rPr>
        <w:t xml:space="preserve">. If </w:t>
      </w:r>
      <w:r w:rsidR="00965FEB">
        <w:rPr>
          <w:rFonts w:ascii="Times New Roman" w:hAnsi="Times New Roman" w:cs="Times New Roman"/>
        </w:rPr>
        <w:t>such photographs</w:t>
      </w:r>
      <w:r w:rsidR="00F74C97">
        <w:rPr>
          <w:rFonts w:ascii="Times New Roman" w:hAnsi="Times New Roman" w:cs="Times New Roman"/>
        </w:rPr>
        <w:t xml:space="preserve"> were not</w:t>
      </w:r>
      <w:r w:rsidR="00965FEB">
        <w:rPr>
          <w:rFonts w:ascii="Times New Roman" w:hAnsi="Times New Roman" w:cs="Times New Roman"/>
        </w:rPr>
        <w:t xml:space="preserve"> taken</w:t>
      </w:r>
      <w:r w:rsidR="00F74C97">
        <w:rPr>
          <w:rFonts w:ascii="Times New Roman" w:hAnsi="Times New Roman" w:cs="Times New Roman"/>
        </w:rPr>
        <w:t xml:space="preserve">, we used the mean timestamp of all photographs taken at that plant’s site on the observation date as the start and/or end timepoint. </w:t>
      </w:r>
      <w:r w:rsidR="00CF1F50">
        <w:rPr>
          <w:rFonts w:ascii="Times New Roman" w:hAnsi="Times New Roman" w:cs="Times New Roman"/>
        </w:rPr>
        <w:t>To focus our analysis on fine-grained relationships between weather and within-host disease spread, we discarded data corresponding to observation windows of eight or more days</w:t>
      </w:r>
      <w:r w:rsidR="00965FEB">
        <w:rPr>
          <w:rFonts w:ascii="Times New Roman" w:hAnsi="Times New Roman" w:cs="Times New Roman"/>
        </w:rPr>
        <w:t>. Using the start and end timepoints of the observation period as bounds, we</w:t>
      </w:r>
      <w:r w:rsidR="00EE0F52">
        <w:rPr>
          <w:rFonts w:ascii="Times New Roman" w:hAnsi="Times New Roman" w:cs="Times New Roman"/>
        </w:rPr>
        <w:t xml:space="preserve"> extracted the following </w:t>
      </w:r>
      <w:r w:rsidR="00227957">
        <w:rPr>
          <w:rFonts w:ascii="Times New Roman" w:hAnsi="Times New Roman" w:cs="Times New Roman"/>
        </w:rPr>
        <w:t>covariates</w:t>
      </w:r>
      <w:r w:rsidR="00EE0F52">
        <w:rPr>
          <w:rFonts w:ascii="Times New Roman" w:hAnsi="Times New Roman" w:cs="Times New Roman"/>
        </w:rPr>
        <w:t xml:space="preserve"> from the weather data: temperature (mean, maximum, and minimum), absolute humidity (mean, maximum, and minimum), mean solar radiation, </w:t>
      </w:r>
      <w:r w:rsidR="00227957">
        <w:rPr>
          <w:rFonts w:ascii="Times New Roman" w:hAnsi="Times New Roman" w:cs="Times New Roman"/>
        </w:rPr>
        <w:t xml:space="preserve">mean </w:t>
      </w:r>
      <w:r w:rsidR="00EE0F52">
        <w:rPr>
          <w:rFonts w:ascii="Times New Roman" w:hAnsi="Times New Roman" w:cs="Times New Roman"/>
        </w:rPr>
        <w:t>rain</w:t>
      </w:r>
      <w:r w:rsidR="00227957">
        <w:rPr>
          <w:rFonts w:ascii="Times New Roman" w:hAnsi="Times New Roman" w:cs="Times New Roman"/>
        </w:rPr>
        <w:t>fall</w:t>
      </w:r>
      <w:r w:rsidR="00EE0F52">
        <w:rPr>
          <w:rFonts w:ascii="Times New Roman" w:hAnsi="Times New Roman" w:cs="Times New Roman"/>
        </w:rPr>
        <w:t xml:space="preserve">, and mean leaf wetness. </w:t>
      </w:r>
    </w:p>
    <w:p w14:paraId="3F3E94EE" w14:textId="7B18E6FD" w:rsidR="00F74C97" w:rsidRDefault="00F74C97" w:rsidP="00CF1F50">
      <w:pPr>
        <w:ind w:firstLine="720"/>
        <w:rPr>
          <w:rFonts w:ascii="Times New Roman" w:hAnsi="Times New Roman" w:cs="Times New Roman"/>
        </w:rPr>
      </w:pPr>
      <w:r>
        <w:rPr>
          <w:rFonts w:ascii="Times New Roman" w:hAnsi="Times New Roman" w:cs="Times New Roman"/>
        </w:rPr>
        <w:t>We</w:t>
      </w:r>
      <w:r w:rsidR="00EE0F52">
        <w:rPr>
          <w:rFonts w:ascii="Times New Roman" w:hAnsi="Times New Roman" w:cs="Times New Roman"/>
        </w:rPr>
        <w:t xml:space="preserve"> included smooth terms for all these </w:t>
      </w:r>
      <w:r>
        <w:rPr>
          <w:rFonts w:ascii="Times New Roman" w:hAnsi="Times New Roman" w:cs="Times New Roman"/>
        </w:rPr>
        <w:t xml:space="preserve">weather </w:t>
      </w:r>
      <w:r w:rsidR="00EE0F52">
        <w:rPr>
          <w:rFonts w:ascii="Times New Roman" w:hAnsi="Times New Roman" w:cs="Times New Roman"/>
        </w:rPr>
        <w:t>variables</w:t>
      </w:r>
      <w:r>
        <w:rPr>
          <w:rFonts w:ascii="Times New Roman" w:hAnsi="Times New Roman" w:cs="Times New Roman"/>
        </w:rPr>
        <w:t xml:space="preserve"> as predictors in each model, along with </w:t>
      </w:r>
      <w:r w:rsidR="00173CC2">
        <w:rPr>
          <w:rFonts w:ascii="Times New Roman" w:hAnsi="Times New Roman" w:cs="Times New Roman"/>
        </w:rPr>
        <w:t xml:space="preserve">smooth terms </w:t>
      </w:r>
      <w:r>
        <w:rPr>
          <w:rFonts w:ascii="Times New Roman" w:hAnsi="Times New Roman" w:cs="Times New Roman"/>
        </w:rPr>
        <w:t>study site and plant identity (</w:t>
      </w:r>
      <w:proofErr w:type="gramStart"/>
      <w:r w:rsidR="00173CC2">
        <w:rPr>
          <w:rFonts w:ascii="Times New Roman" w:hAnsi="Times New Roman" w:cs="Times New Roman"/>
        </w:rPr>
        <w:t>i.e.</w:t>
      </w:r>
      <w:proofErr w:type="gramEnd"/>
      <w:r w:rsidR="00173CC2">
        <w:rPr>
          <w:rFonts w:ascii="Times New Roman" w:hAnsi="Times New Roman" w:cs="Times New Roman"/>
        </w:rPr>
        <w:t xml:space="preserve"> the plant on which the pustule or pustules were observed in the case of the analyses of pustule growth and establishment) as random effects </w:t>
      </w:r>
      <w:r w:rsidR="00173CC2">
        <w:rPr>
          <w:rFonts w:ascii="Times New Roman" w:hAnsi="Times New Roman" w:cs="Times New Roman"/>
        </w:rPr>
        <w:t>(</w:t>
      </w:r>
      <w:r w:rsidR="00173CC2">
        <w:rPr>
          <w:rFonts w:ascii="Times New Roman" w:hAnsi="Times New Roman" w:cs="Times New Roman"/>
        </w:rPr>
        <w:t xml:space="preserve">accomplished </w:t>
      </w:r>
      <w:r w:rsidR="00173CC2">
        <w:rPr>
          <w:rFonts w:ascii="Times New Roman" w:hAnsi="Times New Roman" w:cs="Times New Roman"/>
        </w:rPr>
        <w:t>by setting bs=”re” in the s() function in mgcv).</w:t>
      </w:r>
      <w:r>
        <w:rPr>
          <w:rFonts w:ascii="Times New Roman" w:hAnsi="Times New Roman" w:cs="Times New Roman"/>
        </w:rPr>
        <w:t xml:space="preserve"> </w:t>
      </w:r>
      <w:r w:rsidR="00173CC2">
        <w:rPr>
          <w:rFonts w:ascii="Times New Roman" w:hAnsi="Times New Roman" w:cs="Times New Roman"/>
        </w:rPr>
        <w:t>In each model w</w:t>
      </w:r>
      <w:r>
        <w:rPr>
          <w:rFonts w:ascii="Times New Roman" w:hAnsi="Times New Roman" w:cs="Times New Roman"/>
        </w:rPr>
        <w:t>e also included a term that accounted for the value of the previous observation to capture any ‘allometric’ effects.</w:t>
      </w:r>
      <w:r w:rsidR="00173CC2">
        <w:rPr>
          <w:rFonts w:ascii="Times New Roman" w:hAnsi="Times New Roman" w:cs="Times New Roman"/>
        </w:rPr>
        <w:t xml:space="preserve"> In the model of </w:t>
      </w:r>
      <w:r w:rsidR="008425CA">
        <w:rPr>
          <w:rFonts w:ascii="Times New Roman" w:hAnsi="Times New Roman" w:cs="Times New Roman"/>
        </w:rPr>
        <w:t xml:space="preserve">change in plant height per day, this term was a </w:t>
      </w:r>
      <w:r w:rsidR="00A867CB">
        <w:rPr>
          <w:rFonts w:ascii="Times New Roman" w:hAnsi="Times New Roman" w:cs="Times New Roman"/>
        </w:rPr>
        <w:t xml:space="preserve">full tensor </w:t>
      </w:r>
      <w:r w:rsidR="00A867CB">
        <w:rPr>
          <w:rFonts w:ascii="Times New Roman" w:hAnsi="Times New Roman" w:cs="Times New Roman"/>
        </w:rPr>
        <w:lastRenderedPageBreak/>
        <w:t xml:space="preserve">smooth product of </w:t>
      </w:r>
      <w:r w:rsidR="008425CA">
        <w:rPr>
          <w:rFonts w:ascii="Times New Roman" w:hAnsi="Times New Roman" w:cs="Times New Roman"/>
        </w:rPr>
        <w:t>last observed height</w:t>
      </w:r>
      <w:r w:rsidR="00A867CB">
        <w:rPr>
          <w:rFonts w:ascii="Times New Roman" w:hAnsi="Times New Roman" w:cs="Times New Roman"/>
        </w:rPr>
        <w:t xml:space="preserve"> and infection intensity</w:t>
      </w:r>
      <w:r w:rsidR="008425CA">
        <w:rPr>
          <w:rFonts w:ascii="Times New Roman" w:hAnsi="Times New Roman" w:cs="Times New Roman"/>
        </w:rPr>
        <w:t xml:space="preserve">. In the model of </w:t>
      </w:r>
      <w:r w:rsidR="00173CC2">
        <w:rPr>
          <w:rFonts w:ascii="Times New Roman" w:hAnsi="Times New Roman" w:cs="Times New Roman"/>
        </w:rPr>
        <w:t>change in pustule area per day, this term was a smooth of last observed pustule area. In the model of change in the number of pustules on a leaf per day, this term was a smooth of the last observed number of pustules on that leaf. In the model of change in infection intensity per day, this term was a full tensor smooth product of last observed infection intensity and last observed maximum plant height</w:t>
      </w:r>
      <w:r w:rsidR="00CF1F50">
        <w:rPr>
          <w:rFonts w:ascii="Times New Roman" w:hAnsi="Times New Roman" w:cs="Times New Roman"/>
        </w:rPr>
        <w:t>.</w:t>
      </w:r>
    </w:p>
    <w:p w14:paraId="34598A4D" w14:textId="175446E1" w:rsidR="00C2128E" w:rsidRDefault="008468BF" w:rsidP="00C2128E">
      <w:pPr>
        <w:ind w:firstLine="720"/>
        <w:rPr>
          <w:rFonts w:ascii="Times New Roman" w:hAnsi="Times New Roman" w:cs="Times New Roman"/>
        </w:rPr>
      </w:pPr>
      <w:r>
        <w:rPr>
          <w:rFonts w:ascii="Times New Roman" w:hAnsi="Times New Roman" w:cs="Times New Roman"/>
        </w:rPr>
        <w:t>We fit</w:t>
      </w:r>
      <w:r w:rsidR="00CF1F50">
        <w:rPr>
          <w:rFonts w:ascii="Times New Roman" w:hAnsi="Times New Roman" w:cs="Times New Roman"/>
        </w:rPr>
        <w:t xml:space="preserve"> these </w:t>
      </w:r>
      <w:r>
        <w:rPr>
          <w:rFonts w:ascii="Times New Roman" w:hAnsi="Times New Roman" w:cs="Times New Roman"/>
        </w:rPr>
        <w:t>model</w:t>
      </w:r>
      <w:r w:rsidR="00CF1F50">
        <w:rPr>
          <w:rFonts w:ascii="Times New Roman" w:hAnsi="Times New Roman" w:cs="Times New Roman"/>
        </w:rPr>
        <w:t>s</w:t>
      </w:r>
      <w:r>
        <w:rPr>
          <w:rFonts w:ascii="Times New Roman" w:hAnsi="Times New Roman" w:cs="Times New Roman"/>
        </w:rPr>
        <w:t xml:space="preserve"> </w:t>
      </w:r>
      <w:r w:rsidR="00227957">
        <w:rPr>
          <w:rFonts w:ascii="Times New Roman" w:hAnsi="Times New Roman" w:cs="Times New Roman"/>
        </w:rPr>
        <w:t xml:space="preserve">using </w:t>
      </w:r>
      <w:r w:rsidR="00CF1F50">
        <w:rPr>
          <w:rFonts w:ascii="Times New Roman" w:hAnsi="Times New Roman" w:cs="Times New Roman"/>
        </w:rPr>
        <w:t>the gam() function in the mgcv R package</w:t>
      </w:r>
      <w:r w:rsidR="006465BD">
        <w:rPr>
          <w:rFonts w:ascii="Times New Roman" w:hAnsi="Times New Roman" w:cs="Times New Roman"/>
        </w:rPr>
        <w:t xml:space="preserve"> and the </w:t>
      </w:r>
      <w:r w:rsidR="006465BD">
        <w:rPr>
          <w:rFonts w:ascii="Times New Roman" w:hAnsi="Times New Roman" w:cs="Times New Roman"/>
        </w:rPr>
        <w:t>restricted maximum likelihood parameter estimation</w:t>
      </w:r>
      <w:r w:rsidR="006465BD">
        <w:rPr>
          <w:rFonts w:ascii="Times New Roman" w:hAnsi="Times New Roman" w:cs="Times New Roman"/>
        </w:rPr>
        <w:t xml:space="preserve"> method</w:t>
      </w:r>
      <w:r w:rsidR="00CF1F50">
        <w:rPr>
          <w:rFonts w:ascii="Times New Roman" w:hAnsi="Times New Roman" w:cs="Times New Roman"/>
        </w:rPr>
        <w:t xml:space="preserve">. </w:t>
      </w:r>
      <w:r w:rsidR="001506A1">
        <w:rPr>
          <w:rFonts w:ascii="Times New Roman" w:hAnsi="Times New Roman" w:cs="Times New Roman"/>
        </w:rPr>
        <w:t xml:space="preserve">We used  gaussian response distributions with identity link functions. </w:t>
      </w:r>
      <w:r w:rsidR="00CF1F50">
        <w:rPr>
          <w:rFonts w:ascii="Times New Roman" w:hAnsi="Times New Roman" w:cs="Times New Roman"/>
        </w:rPr>
        <w:t>T</w:t>
      </w:r>
      <w:r w:rsidR="00CF1F50">
        <w:rPr>
          <w:rFonts w:ascii="Times New Roman" w:hAnsi="Times New Roman" w:cs="Times New Roman"/>
        </w:rPr>
        <w:t>o implement variable selection so that insignificant predictor terms would be effectively removed from the mode</w:t>
      </w:r>
      <w:r w:rsidR="00CF1F50">
        <w:rPr>
          <w:rFonts w:ascii="Times New Roman" w:hAnsi="Times New Roman" w:cs="Times New Roman"/>
        </w:rPr>
        <w:t xml:space="preserve">s, we used </w:t>
      </w:r>
      <w:r w:rsidR="000E575D">
        <w:rPr>
          <w:rFonts w:ascii="Times New Roman" w:hAnsi="Times New Roman" w:cs="Times New Roman"/>
        </w:rPr>
        <w:t>the</w:t>
      </w:r>
      <w:r w:rsidR="006465BD">
        <w:rPr>
          <w:rFonts w:ascii="Times New Roman" w:hAnsi="Times New Roman" w:cs="Times New Roman"/>
        </w:rPr>
        <w:t xml:space="preserve"> </w:t>
      </w:r>
      <w:r w:rsidR="002770E4">
        <w:rPr>
          <w:rFonts w:ascii="Times New Roman" w:hAnsi="Times New Roman" w:cs="Times New Roman"/>
        </w:rPr>
        <w:t>double penalty approach of Mara and Wood (</w:t>
      </w:r>
      <w:r w:rsidR="006465BD">
        <w:rPr>
          <w:rFonts w:ascii="Times New Roman" w:hAnsi="Times New Roman" w:cs="Times New Roman"/>
        </w:rPr>
        <w:t>via the</w:t>
      </w:r>
      <w:r w:rsidR="002770E4">
        <w:rPr>
          <w:rFonts w:ascii="Times New Roman" w:hAnsi="Times New Roman" w:cs="Times New Roman"/>
        </w:rPr>
        <w:t xml:space="preserve"> ‘select=TRUE’ option in the mgcv gam() function)</w:t>
      </w:r>
      <w:r w:rsidR="00CF1F50">
        <w:rPr>
          <w:rFonts w:ascii="Times New Roman" w:hAnsi="Times New Roman" w:cs="Times New Roman"/>
        </w:rPr>
        <w:t>.</w:t>
      </w:r>
    </w:p>
    <w:p w14:paraId="25D397D7" w14:textId="5C7E1C31" w:rsidR="000E575D" w:rsidRDefault="00C2128E" w:rsidP="00C2128E">
      <w:pPr>
        <w:ind w:firstLine="720"/>
        <w:rPr>
          <w:rFonts w:ascii="Times New Roman" w:hAnsi="Times New Roman" w:cs="Times New Roman"/>
        </w:rPr>
      </w:pPr>
      <w:r>
        <w:rPr>
          <w:rFonts w:ascii="Times New Roman" w:hAnsi="Times New Roman" w:cs="Times New Roman"/>
        </w:rPr>
        <w:t>The coefficients of the fit models can be used to infer the effects of weather factors on plant growth and within host disease spread. To translate these inferences into predictions about how climate change might affect plant growth and within-host disease spread, we simulated trajectories of plant growth, pustule area, number of pustules on a leaf, and infection intensity under various climate conditions. F</w:t>
      </w:r>
      <w:r w:rsidR="004903F6">
        <w:rPr>
          <w:rFonts w:ascii="Times New Roman" w:hAnsi="Times New Roman" w:cs="Times New Roman"/>
        </w:rPr>
        <w:t>or each class of simulation,</w:t>
      </w:r>
      <w:r>
        <w:rPr>
          <w:rFonts w:ascii="Times New Roman" w:hAnsi="Times New Roman" w:cs="Times New Roman"/>
        </w:rPr>
        <w:t xml:space="preserve"> we</w:t>
      </w:r>
      <w:r w:rsidR="004903F6">
        <w:rPr>
          <w:rFonts w:ascii="Times New Roman" w:hAnsi="Times New Roman" w:cs="Times New Roman"/>
        </w:rPr>
        <w:t xml:space="preserve"> started by defined a hypothetical starting state. </w:t>
      </w:r>
      <w:r w:rsidR="002B097F">
        <w:rPr>
          <w:rFonts w:ascii="Times New Roman" w:hAnsi="Times New Roman" w:cs="Times New Roman"/>
        </w:rPr>
        <w:t>For simulations of plant growth, this was a 15cm tall uninfected plant (the plant was assumed to remain uninfected for the entire simulation). For simulations of pustule growth, this was a pustule with area .1cm</w:t>
      </w:r>
      <w:r w:rsidR="002B097F">
        <w:rPr>
          <w:rFonts w:ascii="Times New Roman" w:hAnsi="Times New Roman" w:cs="Times New Roman"/>
          <w:vertAlign w:val="superscript"/>
        </w:rPr>
        <w:t>2</w:t>
      </w:r>
      <w:r w:rsidR="002B097F">
        <w:rPr>
          <w:rFonts w:ascii="Times New Roman" w:hAnsi="Times New Roman" w:cs="Times New Roman"/>
        </w:rPr>
        <w:t xml:space="preserve">. For simulations of number of pustules per leaf, this was a leaf with one pustule. For simulations of infection intensity, this was a 15 cm tall plant with infection intensity 0.1. </w:t>
      </w:r>
      <w:r w:rsidR="004903F6">
        <w:rPr>
          <w:rFonts w:ascii="Times New Roman" w:hAnsi="Times New Roman" w:cs="Times New Roman"/>
        </w:rPr>
        <w:t xml:space="preserve">Next, we </w:t>
      </w:r>
      <w:r>
        <w:rPr>
          <w:rFonts w:ascii="Times New Roman" w:hAnsi="Times New Roman" w:cs="Times New Roman"/>
        </w:rPr>
        <w:t xml:space="preserve">simulated </w:t>
      </w:r>
      <w:r w:rsidR="002B097F">
        <w:rPr>
          <w:rFonts w:ascii="Times New Roman" w:hAnsi="Times New Roman" w:cs="Times New Roman"/>
        </w:rPr>
        <w:t>100</w:t>
      </w:r>
      <w:r>
        <w:rPr>
          <w:rFonts w:ascii="Times New Roman" w:hAnsi="Times New Roman" w:cs="Times New Roman"/>
        </w:rPr>
        <w:t xml:space="preserve"> trajectories using </w:t>
      </w:r>
      <w:r w:rsidR="009F2965">
        <w:rPr>
          <w:rFonts w:ascii="Times New Roman" w:hAnsi="Times New Roman" w:cs="Times New Roman"/>
        </w:rPr>
        <w:t>observed weather data</w:t>
      </w:r>
      <w:r w:rsidR="004903F6">
        <w:rPr>
          <w:rFonts w:ascii="Times New Roman" w:hAnsi="Times New Roman" w:cs="Times New Roman"/>
        </w:rPr>
        <w:t xml:space="preserve"> for each site. </w:t>
      </w:r>
      <w:r w:rsidR="002B097F">
        <w:rPr>
          <w:rFonts w:ascii="Times New Roman" w:hAnsi="Times New Roman" w:cs="Times New Roman"/>
        </w:rPr>
        <w:t>After confirming that these simulation results qualitatively recapitulated observed patterns</w:t>
      </w:r>
      <w:r w:rsidR="004903F6">
        <w:rPr>
          <w:rFonts w:ascii="Times New Roman" w:hAnsi="Times New Roman" w:cs="Times New Roman"/>
        </w:rPr>
        <w:t xml:space="preserve">, we simulated trajectories </w:t>
      </w:r>
      <w:r w:rsidR="002B097F">
        <w:rPr>
          <w:rFonts w:ascii="Times New Roman" w:hAnsi="Times New Roman" w:cs="Times New Roman"/>
        </w:rPr>
        <w:t xml:space="preserve">for two climate change scenarios. In the mitigated climate change scenario, we added </w:t>
      </w:r>
      <w:r w:rsidR="004903F6">
        <w:rPr>
          <w:rFonts w:ascii="Times New Roman" w:hAnsi="Times New Roman" w:cs="Times New Roman"/>
        </w:rPr>
        <w:t>1.8 degrees Celsius</w:t>
      </w:r>
      <w:r w:rsidR="004903F6">
        <w:rPr>
          <w:rFonts w:ascii="Times New Roman" w:hAnsi="Times New Roman" w:cs="Times New Roman"/>
        </w:rPr>
        <w:t xml:space="preserve"> added to temperature readings of observed weather data at each site. </w:t>
      </w:r>
      <w:r w:rsidR="002B097F">
        <w:rPr>
          <w:rFonts w:ascii="Times New Roman" w:hAnsi="Times New Roman" w:cs="Times New Roman"/>
        </w:rPr>
        <w:t xml:space="preserve">Likewise, for the unmitigated climate change scenario, we added 3.7 degrees Celsius to observed weather data. </w:t>
      </w:r>
      <w:r w:rsidR="004903F6">
        <w:rPr>
          <w:rFonts w:ascii="Times New Roman" w:hAnsi="Times New Roman" w:cs="Times New Roman"/>
        </w:rPr>
        <w:t xml:space="preserve">These temperature additions correspond to the predicted change in temperatures corresponding to mitigated and unmitigated climate change scenarios </w:t>
      </w:r>
      <w:r w:rsidR="004903F6" w:rsidRPr="004903F6">
        <w:rPr>
          <w:rFonts w:ascii="Times New Roman" w:hAnsi="Times New Roman" w:cs="Times New Roman"/>
          <w:highlight w:val="yellow"/>
        </w:rPr>
        <w:t>(source).</w:t>
      </w:r>
      <w:r w:rsidR="004903F6">
        <w:rPr>
          <w:rFonts w:ascii="Times New Roman" w:hAnsi="Times New Roman" w:cs="Times New Roman"/>
        </w:rPr>
        <w:t xml:space="preserve"> </w:t>
      </w:r>
      <w:r w:rsidR="002B097F">
        <w:rPr>
          <w:rFonts w:ascii="Times New Roman" w:hAnsi="Times New Roman" w:cs="Times New Roman"/>
        </w:rPr>
        <w:t xml:space="preserve">Simulations were performed via bootstrap simulations of </w:t>
      </w:r>
      <w:r w:rsidR="00621965">
        <w:rPr>
          <w:rFonts w:ascii="Times New Roman" w:hAnsi="Times New Roman" w:cs="Times New Roman"/>
        </w:rPr>
        <w:t xml:space="preserve">fit models. We simulated trajectories in time steps of one day. </w:t>
      </w:r>
    </w:p>
    <w:p w14:paraId="6D0C77F0" w14:textId="77777777" w:rsidR="00621965" w:rsidRDefault="00621965" w:rsidP="00C2128E">
      <w:pPr>
        <w:ind w:firstLine="720"/>
        <w:rPr>
          <w:rFonts w:ascii="Times New Roman" w:hAnsi="Times New Roman" w:cs="Times New Roman"/>
        </w:rPr>
      </w:pPr>
    </w:p>
    <w:p w14:paraId="7D5902DC" w14:textId="702A7A58" w:rsidR="00190EE3" w:rsidRDefault="00190EE3">
      <w:pPr>
        <w:rPr>
          <w:rFonts w:ascii="Times New Roman" w:hAnsi="Times New Roman" w:cs="Times New Roman"/>
          <w:i/>
          <w:iCs/>
        </w:rPr>
      </w:pPr>
      <w:r w:rsidRPr="00223AD2">
        <w:rPr>
          <w:rFonts w:ascii="Times New Roman" w:hAnsi="Times New Roman" w:cs="Times New Roman"/>
          <w:i/>
          <w:iCs/>
        </w:rPr>
        <w:t xml:space="preserve">e. </w:t>
      </w:r>
      <w:r w:rsidR="00303009">
        <w:rPr>
          <w:rFonts w:ascii="Times New Roman" w:hAnsi="Times New Roman" w:cs="Times New Roman"/>
          <w:i/>
          <w:iCs/>
        </w:rPr>
        <w:t>S</w:t>
      </w:r>
      <w:r w:rsidRPr="00223AD2">
        <w:rPr>
          <w:rFonts w:ascii="Times New Roman" w:hAnsi="Times New Roman" w:cs="Times New Roman"/>
          <w:i/>
          <w:iCs/>
        </w:rPr>
        <w:t xml:space="preserve">pore </w:t>
      </w:r>
      <w:r w:rsidR="00303009">
        <w:rPr>
          <w:rFonts w:ascii="Times New Roman" w:hAnsi="Times New Roman" w:cs="Times New Roman"/>
          <w:i/>
          <w:iCs/>
        </w:rPr>
        <w:t>dispersal</w:t>
      </w:r>
    </w:p>
    <w:p w14:paraId="28A463E7" w14:textId="5B7E79A7" w:rsidR="00FD3BD7" w:rsidRDefault="00FD3BD7">
      <w:pPr>
        <w:rPr>
          <w:rFonts w:ascii="Times New Roman" w:hAnsi="Times New Roman" w:cs="Times New Roman"/>
        </w:rPr>
      </w:pPr>
      <w:r>
        <w:rPr>
          <w:rFonts w:ascii="Times New Roman" w:hAnsi="Times New Roman" w:cs="Times New Roman"/>
        </w:rPr>
        <w:t xml:space="preserve">To infer how spore deposition is related to source plant infection intensity, wind speed, and wind direction, we fit a tilted gaussian plume model </w:t>
      </w:r>
      <w:commentRangeStart w:id="6"/>
      <w:r>
        <w:rPr>
          <w:rFonts w:ascii="Times New Roman" w:hAnsi="Times New Roman" w:cs="Times New Roman"/>
        </w:rPr>
        <w:t>(</w:t>
      </w:r>
      <w:r w:rsidRPr="00F721F5">
        <w:rPr>
          <w:rFonts w:ascii="Times New Roman" w:hAnsi="Times New Roman" w:cs="Times New Roman"/>
        </w:rPr>
        <w:t>source</w:t>
      </w:r>
      <w:r>
        <w:rPr>
          <w:rFonts w:ascii="Times New Roman" w:hAnsi="Times New Roman" w:cs="Times New Roman"/>
        </w:rPr>
        <w:t xml:space="preserve">) </w:t>
      </w:r>
      <w:commentRangeEnd w:id="6"/>
      <w:r w:rsidR="00F721F5">
        <w:rPr>
          <w:rStyle w:val="CommentReference"/>
        </w:rPr>
        <w:commentReference w:id="6"/>
      </w:r>
      <w:r>
        <w:rPr>
          <w:rFonts w:ascii="Times New Roman" w:hAnsi="Times New Roman" w:cs="Times New Roman"/>
        </w:rPr>
        <w:t xml:space="preserve">to our spore deposition data. The </w:t>
      </w:r>
      <w:r w:rsidR="002F5856">
        <w:rPr>
          <w:rFonts w:ascii="Times New Roman" w:hAnsi="Times New Roman" w:cs="Times New Roman"/>
        </w:rPr>
        <w:t>equation specifying the</w:t>
      </w:r>
      <w:r w:rsidR="002F5856">
        <w:rPr>
          <w:rFonts w:ascii="Times New Roman" w:eastAsiaTheme="minorEastAsia" w:hAnsi="Times New Roman" w:cs="Times New Roman"/>
        </w:rPr>
        <w:t xml:space="preserve"> </w:t>
      </w:r>
      <w:r>
        <w:rPr>
          <w:rFonts w:ascii="Times New Roman" w:hAnsi="Times New Roman" w:cs="Times New Roman"/>
        </w:rPr>
        <w:t xml:space="preserve">tilted gaussian plume model is </w:t>
      </w:r>
      <w:r w:rsidR="002F5856">
        <w:rPr>
          <w:rFonts w:ascii="Times New Roman" w:hAnsi="Times New Roman" w:cs="Times New Roman"/>
        </w:rPr>
        <w:t>as follows</w:t>
      </w:r>
      <w:r>
        <w:rPr>
          <w:rFonts w:ascii="Times New Roman" w:hAnsi="Times New Roman" w:cs="Times New Roman"/>
        </w:rPr>
        <w:t>:</w:t>
      </w:r>
    </w:p>
    <w:p w14:paraId="680A26E8" w14:textId="5DCDB79D" w:rsidR="00FD3BD7" w:rsidRPr="002F5856" w:rsidRDefault="002F5856">
      <w:pPr>
        <w:rPr>
          <w:rFonts w:ascii="Times New Roman" w:eastAsiaTheme="minorEastAsia" w:hAnsi="Times New Roman" w:cs="Times New Roman"/>
        </w:rPr>
      </w:pPr>
      <m:oMathPara>
        <m:oMath>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s,X,Y</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I k</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num>
            <m:den>
              <m:r>
                <w:rPr>
                  <w:rFonts w:ascii="Cambria Math" w:hAnsi="Cambria Math" w:cs="Times New Roman"/>
                </w:rPr>
                <m:t xml:space="preserve">2 π s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s </m:t>
                              </m:r>
                            </m:sub>
                          </m:sSub>
                          <m:r>
                            <w:rPr>
                              <w:rFonts w:ascii="Cambria Math" w:hAnsi="Cambria Math" w:cs="Times New Roman"/>
                            </w:rPr>
                            <m:t>X</m:t>
                          </m:r>
                        </m:num>
                        <m:den>
                          <m:r>
                            <w:rPr>
                              <w:rFonts w:ascii="Cambria Math" w:hAnsi="Cambria Math" w:cs="Times New Roman"/>
                            </w:rPr>
                            <m:t>s</m:t>
                          </m:r>
                        </m:den>
                      </m:f>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oMath>
      </m:oMathPara>
    </w:p>
    <w:p w14:paraId="587EECF8" w14:textId="77777777" w:rsidR="002F5856" w:rsidRPr="00FD3BD7" w:rsidRDefault="002F5856">
      <w:pPr>
        <w:rPr>
          <w:rFonts w:ascii="Times New Roman" w:hAnsi="Times New Roman" w:cs="Times New Roman"/>
        </w:rPr>
      </w:pPr>
    </w:p>
    <w:p w14:paraId="4D21BED4" w14:textId="276B7CC7" w:rsidR="00303009" w:rsidRPr="00017642" w:rsidRDefault="002F5856">
      <w:pPr>
        <w:rPr>
          <w:rFonts w:ascii="Times New Roman" w:hAnsi="Times New Roman" w:cs="Times New Roman"/>
        </w:rPr>
      </w:pPr>
      <w:r>
        <w:rPr>
          <w:rFonts w:ascii="Times New Roman" w:hAnsi="Times New Roman" w:cs="Times New Roman"/>
        </w:rPr>
        <w:t xml:space="preserve">This equation describes </w:t>
      </w:r>
      <w:r w:rsidR="00850B05">
        <w:rPr>
          <w:rFonts w:ascii="Times New Roman" w:hAnsi="Times New Roman" w:cs="Times New Roman"/>
        </w:rPr>
        <w:t>the concentration of spores deposited at a given point (</w:t>
      </w:r>
      <m:oMath>
        <m:r>
          <w:rPr>
            <w:rFonts w:ascii="Cambria Math" w:hAnsi="Cambria Math" w:cs="Times New Roman"/>
          </w:rPr>
          <m:t>d</m:t>
        </m:r>
      </m:oMath>
      <w:r w:rsidR="00850B05">
        <w:rPr>
          <w:rFonts w:ascii="Times New Roman" w:eastAsiaTheme="minorEastAsia" w:hAnsi="Times New Roman" w:cs="Times New Roman"/>
        </w:rPr>
        <w:t>)</w:t>
      </w:r>
      <w:r>
        <w:rPr>
          <w:rFonts w:ascii="Times New Roman" w:eastAsiaTheme="minorEastAsia" w:hAnsi="Times New Roman" w:cs="Times New Roman"/>
        </w:rPr>
        <w:t xml:space="preserve"> </w:t>
      </w:r>
      <w:r w:rsidR="00850B05">
        <w:rPr>
          <w:rFonts w:ascii="Times New Roman" w:eastAsiaTheme="minorEastAsia" w:hAnsi="Times New Roman" w:cs="Times New Roman"/>
        </w:rPr>
        <w:t>as a function of wind speed (</w:t>
      </w:r>
      <m:oMath>
        <m:r>
          <w:rPr>
            <w:rFonts w:ascii="Cambria Math" w:eastAsiaTheme="minorEastAsia" w:hAnsi="Cambria Math" w:cs="Times New Roman"/>
          </w:rPr>
          <m:t>s</m:t>
        </m:r>
      </m:oMath>
      <w:r w:rsidR="00850B05">
        <w:rPr>
          <w:rFonts w:ascii="Times New Roman" w:eastAsiaTheme="minorEastAsia" w:hAnsi="Times New Roman" w:cs="Times New Roman"/>
        </w:rPr>
        <w:t xml:space="preserve">), the </w:t>
      </w:r>
      <w:r w:rsidR="00BF4721">
        <w:rPr>
          <w:rFonts w:ascii="Times New Roman" w:eastAsiaTheme="minorEastAsia" w:hAnsi="Times New Roman" w:cs="Times New Roman"/>
        </w:rPr>
        <w:t>source concentration of spores (</w:t>
      </w:r>
      <w:r w:rsidR="00F721F5">
        <w:rPr>
          <w:rFonts w:ascii="Times New Roman" w:eastAsiaTheme="minorEastAsia" w:hAnsi="Times New Roman" w:cs="Times New Roman"/>
        </w:rPr>
        <w:t>I</w:t>
      </w:r>
      <w:r w:rsidR="00BF4721">
        <w:rPr>
          <w:rFonts w:ascii="Times New Roman" w:eastAsiaTheme="minorEastAsia" w:hAnsi="Times New Roman" w:cs="Times New Roman"/>
        </w:rPr>
        <w:t xml:space="preserve">), and the coordinates of the point (X,Y), relative to the source. </w:t>
      </w:r>
      <w:r w:rsidR="00017642">
        <w:rPr>
          <w:rFonts w:ascii="Times New Roman" w:eastAsiaTheme="minorEastAsia" w:hAnsi="Times New Roman" w:cs="Times New Roman"/>
        </w:rPr>
        <w:t>The coordinate system has the source at the origin, the X-axis parallel to the wind direction (with wind flowing in a positive direction), the Y-axis</w:t>
      </w:r>
      <w:r w:rsidR="00017642">
        <w:rPr>
          <w:rFonts w:ascii="Times New Roman" w:eastAsiaTheme="minorEastAsia" w:hAnsi="Times New Roman" w:cs="Times New Roman"/>
        </w:rPr>
        <w:t xml:space="preserve"> </w:t>
      </w:r>
      <w:r w:rsidR="00017642">
        <w:rPr>
          <w:rFonts w:ascii="Times New Roman" w:eastAsiaTheme="minorEastAsia" w:hAnsi="Times New Roman" w:cs="Times New Roman"/>
        </w:rPr>
        <w:t>perpendicular to the X-axis on the plane defined by the ground (assumed to be flat), and the vertical Z-axis orthogonal to the X and Y axes</w:t>
      </w:r>
      <w:r w:rsidR="00017642">
        <w:rPr>
          <w:rFonts w:ascii="Times New Roman" w:eastAsiaTheme="minorEastAsia" w:hAnsi="Times New Roman" w:cs="Times New Roman"/>
        </w:rPr>
        <w:t xml:space="preserve">. </w:t>
      </w:r>
      <w:r w:rsidR="00755CA8">
        <w:rPr>
          <w:rFonts w:ascii="Times New Roman" w:eastAsiaTheme="minorEastAsia" w:hAnsi="Times New Roman" w:cs="Times New Roman"/>
        </w:rPr>
        <w:t xml:space="preserve">The shape of the three dimensional spore </w:t>
      </w:r>
      <w:proofErr w:type="gramStart"/>
      <w:r w:rsidR="00755CA8">
        <w:rPr>
          <w:rFonts w:ascii="Times New Roman" w:eastAsiaTheme="minorEastAsia" w:hAnsi="Times New Roman" w:cs="Times New Roman"/>
        </w:rPr>
        <w:t>plume</w:t>
      </w:r>
      <w:proofErr w:type="gramEnd"/>
      <w:r w:rsidR="00755CA8">
        <w:rPr>
          <w:rFonts w:ascii="Times New Roman" w:eastAsiaTheme="minorEastAsia" w:hAnsi="Times New Roman" w:cs="Times New Roman"/>
        </w:rPr>
        <w:t xml:space="preserve"> emanating from the source is defined by </w:t>
      </w:r>
      <m:oMath>
        <m:r>
          <w:rPr>
            <w:rFonts w:ascii="Cambria Math" w:eastAsiaTheme="minorEastAsia" w:hAnsi="Cambria Math" w:cs="Times New Roman"/>
          </w:rPr>
          <m:t>s</m:t>
        </m:r>
      </m:oMath>
      <w:r w:rsidR="00755CA8">
        <w:rPr>
          <w:rFonts w:ascii="Times New Roman" w:eastAsiaTheme="minorEastAsia" w:hAnsi="Times New Roman" w:cs="Times New Roman"/>
        </w:rPr>
        <w:t xml:space="preserve">, along with constants specifying the falling velocity of spores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755CA8">
        <w:rPr>
          <w:rFonts w:ascii="Times New Roman" w:eastAsiaTheme="minorEastAsia" w:hAnsi="Times New Roman" w:cs="Times New Roman"/>
        </w:rPr>
        <w:t>, the height of the source (</w:t>
      </w:r>
      <m:oMath>
        <m:r>
          <w:rPr>
            <w:rFonts w:ascii="Cambria Math" w:eastAsiaTheme="minorEastAsia" w:hAnsi="Cambria Math" w:cs="Times New Roman"/>
          </w:rPr>
          <m:t>H</m:t>
        </m:r>
      </m:oMath>
      <w:r w:rsidR="00755CA8">
        <w:rPr>
          <w:rFonts w:ascii="Times New Roman" w:eastAsiaTheme="minorEastAsia" w:hAnsi="Times New Roman" w:cs="Times New Roman"/>
        </w:rPr>
        <w:t>), an</w:t>
      </w:r>
      <w:r w:rsidR="00F721F5">
        <w:rPr>
          <w:rFonts w:ascii="Times New Roman" w:eastAsiaTheme="minorEastAsia" w:hAnsi="Times New Roman" w:cs="Times New Roman"/>
        </w:rPr>
        <w:t xml:space="preserve">d </w:t>
      </w:r>
      <w:r w:rsidR="00E23040">
        <w:rPr>
          <w:rFonts w:ascii="Times New Roman" w:eastAsiaTheme="minorEastAsia" w:hAnsi="Times New Roman" w:cs="Times New Roman"/>
        </w:rPr>
        <w:t xml:space="preserve">the standard </w:t>
      </w:r>
      <w:r w:rsidR="00F721F5">
        <w:rPr>
          <w:rFonts w:ascii="Times New Roman" w:eastAsiaTheme="minorEastAsia" w:hAnsi="Times New Roman" w:cs="Times New Roman"/>
        </w:rPr>
        <w:t>deviation of spore dispersion</w:t>
      </w:r>
      <w:r w:rsidR="00E23040">
        <w:rPr>
          <w:rFonts w:ascii="Times New Roman" w:eastAsiaTheme="minorEastAsia" w:hAnsi="Times New Roman" w:cs="Times New Roman"/>
        </w:rPr>
        <w:t xml:space="preserve"> is the horizontal (Y) and vertical (Z) directions</w:t>
      </w:r>
      <w:r w:rsidR="00E23040">
        <w:rPr>
          <w:rFonts w:ascii="Times New Roman" w:eastAsiaTheme="minorEastAsia" w:hAnsi="Times New Roman" w:cs="Times New Roman"/>
        </w:rPr>
        <w:softHyphen/>
      </w:r>
      <w:r w:rsidR="00E23040">
        <w:rPr>
          <w:rFonts w:ascii="Times New Roman" w:eastAsiaTheme="minorEastAsia" w:hAnsi="Times New Roman" w:cs="Times New Roman"/>
        </w:rPr>
        <w:softHyphen/>
      </w:r>
      <w:r w:rsidR="00F721F5">
        <w:rPr>
          <w:rFonts w:ascii="Times New Roman" w:eastAsiaTheme="minorEastAsia" w:hAnsi="Times New Roman" w:cs="Times New Roman"/>
        </w:rPr>
        <w:t>.</w:t>
      </w:r>
      <w:r w:rsidR="00017642">
        <w:rPr>
          <w:rFonts w:ascii="Times New Roman" w:eastAsiaTheme="minorEastAsia" w:hAnsi="Times New Roman" w:cs="Times New Roman"/>
        </w:rPr>
        <w:t xml:space="preserve"> </w:t>
      </w:r>
    </w:p>
    <w:p w14:paraId="7DFC7FF9" w14:textId="77777777" w:rsidR="00F721F5" w:rsidRDefault="00F721F5">
      <w:pPr>
        <w:rPr>
          <w:rFonts w:ascii="Times New Roman" w:eastAsiaTheme="minorEastAsia" w:hAnsi="Times New Roman" w:cs="Times New Roman"/>
        </w:rPr>
      </w:pPr>
    </w:p>
    <w:p w14:paraId="55FFA731" w14:textId="4AEE58B1" w:rsidR="00303009" w:rsidRPr="00223AD2" w:rsidRDefault="00303009">
      <w:pPr>
        <w:rPr>
          <w:rFonts w:ascii="Times New Roman" w:hAnsi="Times New Roman" w:cs="Times New Roman"/>
          <w:i/>
          <w:iCs/>
        </w:rPr>
      </w:pPr>
      <w:r>
        <w:rPr>
          <w:rFonts w:ascii="Times New Roman" w:hAnsi="Times New Roman" w:cs="Times New Roman"/>
          <w:i/>
          <w:iCs/>
        </w:rPr>
        <w:t>f. Infection</w:t>
      </w:r>
    </w:p>
    <w:p w14:paraId="3CBD2C20" w14:textId="4052A343" w:rsidR="00190EE3" w:rsidRPr="00223AD2" w:rsidRDefault="00190EE3">
      <w:pPr>
        <w:rPr>
          <w:rFonts w:ascii="Times New Roman" w:hAnsi="Times New Roman" w:cs="Times New Roman"/>
        </w:rPr>
      </w:pPr>
    </w:p>
    <w:p w14:paraId="3D4E20CD" w14:textId="35946DC0" w:rsidR="00190EE3" w:rsidRPr="00303009" w:rsidRDefault="00190EE3">
      <w:pPr>
        <w:rPr>
          <w:rFonts w:ascii="Times New Roman" w:hAnsi="Times New Roman" w:cs="Times New Roman"/>
          <w:i/>
          <w:iCs/>
          <w:u w:val="single"/>
        </w:rPr>
      </w:pPr>
      <w:r w:rsidRPr="00303009">
        <w:rPr>
          <w:rFonts w:ascii="Times New Roman" w:hAnsi="Times New Roman" w:cs="Times New Roman"/>
          <w:i/>
          <w:iCs/>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lastRenderedPageBreak/>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7"/>
      <w:r w:rsidR="0092392F">
        <w:rPr>
          <w:rFonts w:ascii="Times New Roman" w:eastAsiaTheme="minorEastAsia" w:hAnsi="Times New Roman" w:cs="Times New Roman"/>
        </w:rPr>
        <w:t xml:space="preserve">(ref) </w:t>
      </w:r>
      <w:commentRangeEnd w:id="7"/>
      <w:r w:rsidR="0092392F">
        <w:rPr>
          <w:rStyle w:val="CommentReference"/>
        </w:rPr>
        <w:commentReference w:id="7"/>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77777777" w:rsidR="00E82433" w:rsidRPr="00E82433" w:rsidRDefault="00E82433">
      <w:pPr>
        <w:rPr>
          <w:rFonts w:ascii="Times New Roman" w:eastAsiaTheme="minorEastAsia" w:hAnsi="Times New Roman" w:cs="Times New Roman"/>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77777777" w:rsidR="00F56AE1" w:rsidRPr="00223AD2" w:rsidRDefault="00F56AE1">
      <w:pPr>
        <w:rPr>
          <w:rFonts w:ascii="Times New Roman" w:hAnsi="Times New Roman" w:cs="Times New Roman"/>
        </w:rPr>
      </w:pPr>
    </w:p>
    <w:sectPr w:rsidR="00F56AE1" w:rsidRPr="00223AD2"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2-15T20:35:00Z" w:initials="IFM">
    <w:p w14:paraId="68FFBAE8" w14:textId="5A216E52" w:rsidR="00490299" w:rsidRDefault="00490299">
      <w:pPr>
        <w:pStyle w:val="CommentText"/>
      </w:pPr>
      <w:r>
        <w:rPr>
          <w:rStyle w:val="CommentReference"/>
        </w:rPr>
        <w:annotationRef/>
      </w:r>
      <w:r>
        <w:t>Discuss dates of first and last observations here (including screw up w/ HM data)</w:t>
      </w:r>
    </w:p>
  </w:comment>
  <w:comment w:id="3"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4"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5"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6" w:author="Ian F. Miller" w:date="2021-12-16T17:30:00Z" w:initials="IFM">
    <w:p w14:paraId="1AA94DC7" w14:textId="56CEFBA6" w:rsidR="00F721F5" w:rsidRDefault="00F721F5">
      <w:pPr>
        <w:pStyle w:val="CommentText"/>
      </w:pPr>
      <w:r>
        <w:rPr>
          <w:rStyle w:val="CommentReference"/>
        </w:rPr>
        <w:annotationRef/>
      </w:r>
      <w:r w:rsidRPr="00F721F5">
        <w:t>https://biomath.usu.edu/files/7pd.pdf</w:t>
      </w:r>
    </w:p>
  </w:comment>
  <w:comment w:id="7"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68FFBAE8" w15:done="0"/>
  <w15:commentEx w15:paraId="49AE1E52" w15:done="0"/>
  <w15:commentEx w15:paraId="0AA7EBF2" w15:done="0"/>
  <w15:commentEx w15:paraId="626DCB7D" w15:done="0"/>
  <w15:commentEx w15:paraId="1AA94DC7" w15:done="0"/>
  <w15:commentEx w15:paraId="3639E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64CFFB" w16cex:dateUtc="2021-12-16T01:35:00Z"/>
  <w16cex:commentExtensible w16cex:durableId="254F7709" w16cex:dateUtc="2021-11-29T20:58:00Z"/>
  <w16cex:commentExtensible w16cex:durableId="254F768E" w16cex:dateUtc="2021-11-29T20:55:00Z"/>
  <w16cex:commentExtensible w16cex:durableId="254F7AA3" w16cex:dateUtc="2021-11-29T21:13:00Z"/>
  <w16cex:commentExtensible w16cex:durableId="2565F62A" w16cex:dateUtc="2021-12-16T22:30:00Z"/>
  <w16cex:commentExtensible w16cex:durableId="2554C225" w16cex:dateUtc="2021-12-03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68FFBAE8" w16cid:durableId="2564CFFB"/>
  <w16cid:commentId w16cid:paraId="49AE1E52" w16cid:durableId="254F7709"/>
  <w16cid:commentId w16cid:paraId="0AA7EBF2" w16cid:durableId="254F768E"/>
  <w16cid:commentId w16cid:paraId="626DCB7D" w16cid:durableId="254F7AA3"/>
  <w16cid:commentId w16cid:paraId="1AA94DC7" w16cid:durableId="2565F62A"/>
  <w16cid:commentId w16cid:paraId="3639EAC8" w16cid:durableId="2554C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17642"/>
    <w:rsid w:val="00023271"/>
    <w:rsid w:val="0003106D"/>
    <w:rsid w:val="00051AD9"/>
    <w:rsid w:val="00060C01"/>
    <w:rsid w:val="00061A17"/>
    <w:rsid w:val="0008412D"/>
    <w:rsid w:val="000D1782"/>
    <w:rsid w:val="000E575D"/>
    <w:rsid w:val="000F562D"/>
    <w:rsid w:val="000F7768"/>
    <w:rsid w:val="0010146B"/>
    <w:rsid w:val="001506A1"/>
    <w:rsid w:val="00173CC2"/>
    <w:rsid w:val="00175F57"/>
    <w:rsid w:val="00181A66"/>
    <w:rsid w:val="00190EE3"/>
    <w:rsid w:val="0019125E"/>
    <w:rsid w:val="00192A08"/>
    <w:rsid w:val="00193AD8"/>
    <w:rsid w:val="001E3D0D"/>
    <w:rsid w:val="00223AD2"/>
    <w:rsid w:val="00224DA4"/>
    <w:rsid w:val="00226EA9"/>
    <w:rsid w:val="00227957"/>
    <w:rsid w:val="002730CA"/>
    <w:rsid w:val="002770E4"/>
    <w:rsid w:val="002837E2"/>
    <w:rsid w:val="00297629"/>
    <w:rsid w:val="002A0344"/>
    <w:rsid w:val="002B097F"/>
    <w:rsid w:val="002C0ACF"/>
    <w:rsid w:val="002E3E55"/>
    <w:rsid w:val="002F5856"/>
    <w:rsid w:val="00303009"/>
    <w:rsid w:val="00380C3E"/>
    <w:rsid w:val="003A21BF"/>
    <w:rsid w:val="003E5507"/>
    <w:rsid w:val="003E6FB2"/>
    <w:rsid w:val="0040793D"/>
    <w:rsid w:val="00490299"/>
    <w:rsid w:val="004903F6"/>
    <w:rsid w:val="004A31EA"/>
    <w:rsid w:val="004B11BD"/>
    <w:rsid w:val="0054348F"/>
    <w:rsid w:val="00560851"/>
    <w:rsid w:val="00561702"/>
    <w:rsid w:val="00582274"/>
    <w:rsid w:val="005B2D4A"/>
    <w:rsid w:val="005C4CA5"/>
    <w:rsid w:val="005E4EF0"/>
    <w:rsid w:val="005E7B85"/>
    <w:rsid w:val="006200B1"/>
    <w:rsid w:val="00621965"/>
    <w:rsid w:val="006465BD"/>
    <w:rsid w:val="00690957"/>
    <w:rsid w:val="006B1AAE"/>
    <w:rsid w:val="006B3FF3"/>
    <w:rsid w:val="006D543E"/>
    <w:rsid w:val="006E7716"/>
    <w:rsid w:val="006F0AE3"/>
    <w:rsid w:val="00701194"/>
    <w:rsid w:val="00705B5C"/>
    <w:rsid w:val="0072050A"/>
    <w:rsid w:val="007402DC"/>
    <w:rsid w:val="00755CA8"/>
    <w:rsid w:val="00777589"/>
    <w:rsid w:val="007D7F28"/>
    <w:rsid w:val="007E230B"/>
    <w:rsid w:val="007E2F24"/>
    <w:rsid w:val="007F6925"/>
    <w:rsid w:val="008142F1"/>
    <w:rsid w:val="00814B14"/>
    <w:rsid w:val="00821D8F"/>
    <w:rsid w:val="00824AE5"/>
    <w:rsid w:val="008425CA"/>
    <w:rsid w:val="008468BF"/>
    <w:rsid w:val="00846A1A"/>
    <w:rsid w:val="00850B05"/>
    <w:rsid w:val="00851EE8"/>
    <w:rsid w:val="00852922"/>
    <w:rsid w:val="00860274"/>
    <w:rsid w:val="00861CF0"/>
    <w:rsid w:val="00891305"/>
    <w:rsid w:val="008953B7"/>
    <w:rsid w:val="008C41B8"/>
    <w:rsid w:val="008C7C1D"/>
    <w:rsid w:val="008E0722"/>
    <w:rsid w:val="008F0BCC"/>
    <w:rsid w:val="0091065A"/>
    <w:rsid w:val="00914479"/>
    <w:rsid w:val="009176B1"/>
    <w:rsid w:val="0092392F"/>
    <w:rsid w:val="00956D03"/>
    <w:rsid w:val="00965FEB"/>
    <w:rsid w:val="0096721C"/>
    <w:rsid w:val="0097235F"/>
    <w:rsid w:val="00985E8F"/>
    <w:rsid w:val="00996317"/>
    <w:rsid w:val="009C0007"/>
    <w:rsid w:val="009F2965"/>
    <w:rsid w:val="009F33B0"/>
    <w:rsid w:val="00A16251"/>
    <w:rsid w:val="00A2326E"/>
    <w:rsid w:val="00A30531"/>
    <w:rsid w:val="00A65ECA"/>
    <w:rsid w:val="00A867CB"/>
    <w:rsid w:val="00A87BCE"/>
    <w:rsid w:val="00AF0EF1"/>
    <w:rsid w:val="00B17FFA"/>
    <w:rsid w:val="00B2444B"/>
    <w:rsid w:val="00B4438F"/>
    <w:rsid w:val="00B515BC"/>
    <w:rsid w:val="00B5480C"/>
    <w:rsid w:val="00B570EC"/>
    <w:rsid w:val="00B86D62"/>
    <w:rsid w:val="00B95AB8"/>
    <w:rsid w:val="00BF4721"/>
    <w:rsid w:val="00BF5E4C"/>
    <w:rsid w:val="00C11565"/>
    <w:rsid w:val="00C2128E"/>
    <w:rsid w:val="00C27D9B"/>
    <w:rsid w:val="00C34D55"/>
    <w:rsid w:val="00C65F00"/>
    <w:rsid w:val="00C875F3"/>
    <w:rsid w:val="00C91397"/>
    <w:rsid w:val="00CB3A47"/>
    <w:rsid w:val="00CB5458"/>
    <w:rsid w:val="00CE604A"/>
    <w:rsid w:val="00CF1F50"/>
    <w:rsid w:val="00D30C23"/>
    <w:rsid w:val="00D41AC6"/>
    <w:rsid w:val="00D7176D"/>
    <w:rsid w:val="00DD53B8"/>
    <w:rsid w:val="00DD5BEF"/>
    <w:rsid w:val="00DE15B3"/>
    <w:rsid w:val="00DF628D"/>
    <w:rsid w:val="00E0110A"/>
    <w:rsid w:val="00E04A11"/>
    <w:rsid w:val="00E22DD8"/>
    <w:rsid w:val="00E23040"/>
    <w:rsid w:val="00E26C76"/>
    <w:rsid w:val="00E564F3"/>
    <w:rsid w:val="00E82433"/>
    <w:rsid w:val="00E87ADC"/>
    <w:rsid w:val="00E924DC"/>
    <w:rsid w:val="00EA44DF"/>
    <w:rsid w:val="00EA792C"/>
    <w:rsid w:val="00EB581C"/>
    <w:rsid w:val="00EC7BF6"/>
    <w:rsid w:val="00EE0F52"/>
    <w:rsid w:val="00EF52C9"/>
    <w:rsid w:val="00F25732"/>
    <w:rsid w:val="00F25C92"/>
    <w:rsid w:val="00F30EFD"/>
    <w:rsid w:val="00F456EE"/>
    <w:rsid w:val="00F56AE1"/>
    <w:rsid w:val="00F721F5"/>
    <w:rsid w:val="00F74C97"/>
    <w:rsid w:val="00FB64CC"/>
    <w:rsid w:val="00FD3BD7"/>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 w:type="paragraph" w:styleId="Revision">
    <w:name w:val="Revision"/>
    <w:hidden/>
    <w:uiPriority w:val="99"/>
    <w:semiHidden/>
    <w:rsid w:val="0049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0AC2-3ACA-DA4C-828C-E23D3B0E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43</cp:revision>
  <dcterms:created xsi:type="dcterms:W3CDTF">2021-11-29T17:38:00Z</dcterms:created>
  <dcterms:modified xsi:type="dcterms:W3CDTF">2021-12-17T02:42:00Z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