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Empirical</w:t>
      </w:r>
      <w:r>
        <w:t xml:space="preserve"> </w:t>
      </w:r>
      <w:r>
        <w:t xml:space="preserve">Research</w:t>
      </w:r>
      <w:r>
        <w:t xml:space="preserve"> </w:t>
      </w:r>
      <w:r>
        <w:t xml:space="preserve">in</w:t>
      </w:r>
      <w:r>
        <w:t xml:space="preserve"> </w:t>
      </w:r>
      <w:r>
        <w:t xml:space="preserve">Accounting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D.</w:t>
      </w:r>
      <w:r>
        <w:t xml:space="preserve"> </w:t>
      </w:r>
      <w:r>
        <w:t xml:space="preserve">Gow</w:t>
      </w:r>
      <w:r>
        <w:rPr>
          <w:rStyle w:val="FootnoteReference"/>
        </w:rPr>
        <w:footnoteReference w:id="20"/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December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Recent</w:t>
      </w:r>
      <w:r>
        <w:t xml:space="preserve"> </w:t>
      </w:r>
      <w:r>
        <w:t xml:space="preserve">developments</w:t>
      </w:r>
      <w:r>
        <w:t xml:space="preserve"> </w:t>
      </w:r>
      <w:r>
        <w:t xml:space="preserve">in</w:t>
      </w:r>
      <w:r>
        <w:t xml:space="preserve"> </w:t>
      </w:r>
      <w:r>
        <w:t xml:space="preserve">Python</w:t>
      </w:r>
      <w:r>
        <w:t xml:space="preserve"> </w:t>
      </w:r>
      <w:r>
        <w:t xml:space="preserve">led</w:t>
      </w:r>
      <w:r>
        <w:t xml:space="preserve"> </w:t>
      </w:r>
      <w:r>
        <w:t xml:space="preserve">me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some</w:t>
      </w:r>
      <w:r>
        <w:t xml:space="preserve"> </w:t>
      </w:r>
      <w:r>
        <w:t xml:space="preserve">research</w:t>
      </w:r>
      <w: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t xml:space="preserve"> </w:t>
      </w:r>
      <w:r>
        <w:t xml:space="preserve">possibility</w:t>
      </w:r>
      <w:r>
        <w:t xml:space="preserve"> </w:t>
      </w:r>
      <w:r>
        <w:t xml:space="preserve">of</w:t>
      </w:r>
      <w:r>
        <w:t xml:space="preserve"> </w:t>
      </w:r>
      <w:r>
        <w:t xml:space="preserve">translating</w:t>
      </w:r>
      <w:r>
        <w:t xml:space="preserve"> </w:t>
      </w:r>
      <w:r>
        <w:rPr>
          <w:iCs/>
          <w:i/>
        </w:rPr>
        <w:t xml:space="preserve">Empirical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Accounting:</w:t>
      </w:r>
      <w:r>
        <w:rPr>
          <w:iCs/>
          <w:i/>
        </w:rPr>
        <w:t xml:space="preserve"> </w:t>
      </w:r>
      <w:r>
        <w:rPr>
          <w:iCs/>
          <w:i/>
        </w:rPr>
        <w:t xml:space="preserve">Tools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Methods</w:t>
      </w:r>
      <w:r>
        <w:t xml:space="preserve"> </w:t>
      </w:r>
      <w:r>
        <w:t xml:space="preserve">from</w:t>
      </w:r>
      <w:r>
        <w:t xml:space="preserve"> </w:t>
      </w:r>
      <w:r>
        <w:t xml:space="preserve">R</w:t>
      </w:r>
      <w:r>
        <w:t xml:space="preserve"> </w:t>
      </w:r>
      <w:r>
        <w:t xml:space="preserve">to</w:t>
      </w:r>
      <w:r>
        <w:t xml:space="preserve"> </w:t>
      </w:r>
      <w:r>
        <w:t xml:space="preserve">Python.</w:t>
      </w:r>
      <w:r>
        <w:t xml:space="preserve"> </w:t>
      </w:r>
      <w:r>
        <w:t xml:space="preserve">As</w:t>
      </w:r>
      <w:r>
        <w:t xml:space="preserve"> </w:t>
      </w:r>
      <w:r>
        <w:t xml:space="preserve">discussed</w:t>
      </w:r>
      <w:r>
        <w:t xml:space="preserve"> </w:t>
      </w:r>
      <w:r>
        <w:t xml:space="preserve">below,</w:t>
      </w:r>
      <w:r>
        <w:t xml:space="preserve"> </w:t>
      </w:r>
      <w:r>
        <w:t xml:space="preserve">I</w:t>
      </w:r>
      <w:r>
        <w:t xml:space="preserve"> </w:t>
      </w:r>
      <w:r>
        <w:t xml:space="preserve">think</w:t>
      </w:r>
      <w:r>
        <w:t xml:space="preserve"> </w:t>
      </w:r>
      <w:r>
        <w:t xml:space="preserve">it</w:t>
      </w:r>
      <w:r>
        <w:t xml:space="preserve"> </w:t>
      </w:r>
      <w:r>
        <w:t xml:space="preserve">would</w:t>
      </w:r>
      <w:r>
        <w:t xml:space="preserve"> </w:t>
      </w:r>
      <w:r>
        <w:t xml:space="preserve">be</w:t>
      </w:r>
      <w:r>
        <w:t xml:space="preserve"> </w:t>
      </w:r>
      <w:r>
        <w:t xml:space="preserve">possible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this</w:t>
      </w:r>
      <w:r>
        <w:t xml:space="preserve"> </w:t>
      </w:r>
      <w:r>
        <w:t xml:space="preserve">without</w:t>
      </w:r>
      <w:r>
        <w:t xml:space="preserve"> </w:t>
      </w:r>
      <w:r>
        <w:t xml:space="preserve">completely</w:t>
      </w:r>
      <w:r>
        <w:t xml:space="preserve"> </w:t>
      </w:r>
      <w:r>
        <w:t xml:space="preserve">losing</w:t>
      </w:r>
      <w:r>
        <w:t xml:space="preserve"> </w:t>
      </w:r>
      <w:r>
        <w:t xml:space="preserve">the</w:t>
      </w:r>
      <w:r>
        <w:t xml:space="preserve"> </w:t>
      </w:r>
      <w:r>
        <w:t xml:space="preserve">elegance</w:t>
      </w:r>
      <w:r>
        <w:t xml:space="preserve"> </w:t>
      </w:r>
      <w:r>
        <w:t xml:space="preserve">and</w:t>
      </w:r>
      <w:r>
        <w:t xml:space="preserve"> </w:t>
      </w:r>
      <w:r>
        <w:t xml:space="preserve">efficiency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approach.</w:t>
      </w:r>
      <w:r>
        <w:t xml:space="preserve"> </w:t>
      </w:r>
      <w:r>
        <w:t xml:space="preserve">Nonetheless,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amount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would</w:t>
      </w:r>
      <w:r>
        <w:t xml:space="preserve"> </w:t>
      </w:r>
      <w:r>
        <w:t xml:space="preserve">be</w:t>
      </w:r>
      <w:r>
        <w:t xml:space="preserve"> </w:t>
      </w:r>
      <w:r>
        <w:t xml:space="preserve">required</w:t>
      </w:r>
      <w:r>
        <w:t xml:space="preserve"> </w:t>
      </w:r>
      <w:r>
        <w:t xml:space="preserve">and</w:t>
      </w:r>
      <w:r>
        <w:t xml:space="preserve"> </w:t>
      </w:r>
      <w:r>
        <w:t xml:space="preserve">this</w:t>
      </w:r>
      <w:r>
        <w:t xml:space="preserve"> </w:t>
      </w:r>
      <w:r>
        <w:t xml:space="preserve">could</w:t>
      </w:r>
      <w:r>
        <w:t xml:space="preserve"> </w:t>
      </w:r>
      <w:r>
        <w:t xml:space="preserve">not</w:t>
      </w:r>
      <w:r>
        <w:t xml:space="preserve"> </w:t>
      </w:r>
      <w:r>
        <w:t xml:space="preserve">happen</w:t>
      </w:r>
      <w:r>
        <w:t xml:space="preserve"> </w:t>
      </w:r>
      <w:r>
        <w:t xml:space="preserve">before</w:t>
      </w:r>
      <w:r>
        <w:t xml:space="preserve"> </w:t>
      </w:r>
      <w:r>
        <w:t xml:space="preserve">2024.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meantime,</w:t>
      </w:r>
      <w:r>
        <w:t xml:space="preserve"> </w:t>
      </w:r>
      <w:r>
        <w:t xml:space="preserve">I</w:t>
      </w:r>
      <w:r>
        <w:t xml:space="preserve"> </w:t>
      </w:r>
      <w:r>
        <w:t xml:space="preserve">recommend</w:t>
      </w:r>
      <w:r>
        <w:t xml:space="preserve"> </w:t>
      </w:r>
      <w:r>
        <w:t xml:space="preserve">Python</w:t>
      </w:r>
      <w:r>
        <w:t xml:space="preserve"> </w:t>
      </w:r>
      <w:r>
        <w:t xml:space="preserve">users</w:t>
      </w:r>
      <w:r>
        <w:t xml:space="preserve"> </w:t>
      </w:r>
      <w:r>
        <w:t xml:space="preserve">interested</w:t>
      </w:r>
      <w:r>
        <w:t xml:space="preserve"> </w:t>
      </w:r>
      <w:r>
        <w:t xml:space="preserve">in</w:t>
      </w:r>
      <w:r>
        <w:t xml:space="preserve"> </w:t>
      </w:r>
      <w:r>
        <w:t xml:space="preserve">our</w:t>
      </w:r>
      <w:r>
        <w:t xml:space="preserve"> </w:t>
      </w:r>
      <w:r>
        <w:t xml:space="preserve">book</w:t>
      </w:r>
      <w:r>
        <w:t xml:space="preserve"> </w:t>
      </w:r>
      <w:r>
        <w:t xml:space="preserve">to</w:t>
      </w:r>
      <w:r>
        <w:t xml:space="preserve"> </w:t>
      </w:r>
      <w:r>
        <w:t xml:space="preserve">consider</w:t>
      </w:r>
      <w:r>
        <w:t xml:space="preserve"> </w:t>
      </w:r>
      <w:r>
        <w:t xml:space="preserve">learning</w:t>
      </w:r>
      <w:r>
        <w:t xml:space="preserve"> </w:t>
      </w:r>
      <w:r>
        <w:t xml:space="preserve">a</w:t>
      </w:r>
      <w:r>
        <w:t xml:space="preserve"> </w:t>
      </w:r>
      <w:r>
        <w:t xml:space="preserve">little</w:t>
      </w:r>
      <w:r>
        <w:t xml:space="preserve"> </w:t>
      </w:r>
      <w:r>
        <w:t xml:space="preserve">R.</w:t>
      </w:r>
    </w:p>
    <w:p>
      <w:pPr>
        <w:pStyle w:val="FirstParagraph"/>
      </w:pPr>
      <w:r>
        <w:t xml:space="preserve">The code used to produce this note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It should be straightforward to compile this document using RStudio.</w:t>
      </w:r>
    </w:p>
    <w:p>
      <w:pPr>
        <w:pStyle w:val="BodyText"/>
      </w:pPr>
      <w:r>
        <w:t xml:space="preserve">Our book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Empirical Research in Accounting: Tools and Methods</w:t>
        </w:r>
      </w:hyperlink>
      <w:r>
        <w:t xml:space="preserve"> </w:t>
      </w:r>
      <w:r>
        <w:t xml:space="preserve">incorporates an extensive amount of code for a few reasons.</w:t>
      </w:r>
      <w:r>
        <w:t xml:space="preserve"> </w:t>
      </w:r>
      <w:r>
        <w:t xml:space="preserve">One reason is that one’s understanding of a paper can be much deeper if one can get one’s</w:t>
      </w:r>
      <w:r>
        <w:t xml:space="preserve"> </w:t>
      </w:r>
      <w:r>
        <w:t xml:space="preserve">“</w:t>
      </w:r>
      <w:r>
        <w:t xml:space="preserve">hands dirty</w:t>
      </w:r>
      <w:r>
        <w:t xml:space="preserve">”</w:t>
      </w:r>
      <w:r>
        <w:t xml:space="preserve"> </w:t>
      </w:r>
      <w:r>
        <w:t xml:space="preserve">with the analysis in a paper, including identifying and executing variants on the analysis in the paper.</w:t>
      </w:r>
      <w:r>
        <w:t xml:space="preserve"> </w:t>
      </w:r>
      <w:r>
        <w:t xml:space="preserve">Another reason is that a core goal is to provide readers with the data analysis skills needed to do their own research.</w:t>
      </w:r>
    </w:p>
    <w:p>
      <w:pPr>
        <w:pStyle w:val="BodyText"/>
      </w:pPr>
      <w:r>
        <w:t xml:space="preserve">Another book taking a similar approach, but perhaps more focused on the coding, is</w:t>
      </w:r>
      <w:r>
        <w:t xml:space="preserve"> </w:t>
      </w:r>
      <w:hyperlink r:id="rId24">
        <w:r>
          <w:rPr>
            <w:rStyle w:val="Hyperlink"/>
            <w:iCs/>
            <w:i/>
          </w:rPr>
          <w:t xml:space="preserve">Tidy Finance with R</w:t>
        </w:r>
      </w:hyperlink>
      <w:r>
        <w:t xml:space="preserve">.</w:t>
      </w:r>
      <w:r>
        <w:t xml:space="preserve"> </w:t>
      </w:r>
      <w:r>
        <w:t xml:space="preserve">Since</w:t>
      </w:r>
      <w:r>
        <w:t xml:space="preserve"> </w:t>
      </w:r>
      <w:r>
        <w:rPr>
          <w:iCs/>
          <w:i/>
        </w:rPr>
        <w:t xml:space="preserve">Tidy Finance with R</w:t>
      </w:r>
      <w:r>
        <w:t xml:space="preserve"> </w:t>
      </w:r>
      <w:r>
        <w:t xml:space="preserve">was released earlier in 2023, the author team has added a fourth member to create a Python version of the book, which can be found on the book’s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pStyle w:val="BodyText"/>
      </w:pPr>
      <w:r>
        <w:t xml:space="preserve">Suppressing some messy details, translation of either</w:t>
      </w:r>
      <w:r>
        <w:t xml:space="preserve"> </w:t>
      </w:r>
      <w:r>
        <w:rPr>
          <w:iCs/>
          <w:i/>
        </w:rPr>
        <w:t xml:space="preserve">Empirical Research in Accounting: Tools and Methods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Tidy Finance with R</w:t>
      </w:r>
      <w:r>
        <w:t xml:space="preserve"> </w:t>
      </w:r>
      <w:r>
        <w:t xml:space="preserve">from R to Python using standard tools like SQLAchemy and Pandas involves two main steps.</w:t>
      </w:r>
    </w:p>
    <w:p>
      <w:pPr>
        <w:numPr>
          <w:ilvl w:val="0"/>
          <w:numId w:val="1001"/>
        </w:numPr>
        <w:pStyle w:val="Compact"/>
      </w:pPr>
      <w:r>
        <w:t xml:space="preserve">Translating</w:t>
      </w:r>
      <w:r>
        <w:t xml:space="preserve"> </w:t>
      </w:r>
      <w:r>
        <w:rPr>
          <w:rStyle w:val="VerbatimChar"/>
        </w:rPr>
        <w:t xml:space="preserve">dbplyr</w:t>
      </w:r>
      <w:r>
        <w:t xml:space="preserve"> </w:t>
      </w:r>
      <w:r>
        <w:t xml:space="preserve">code that operates on remote data frames to SQL.</w:t>
      </w:r>
    </w:p>
    <w:p>
      <w:pPr>
        <w:numPr>
          <w:ilvl w:val="0"/>
          <w:numId w:val="1001"/>
        </w:numPr>
        <w:pStyle w:val="Compact"/>
      </w:pPr>
      <w:r>
        <w:t xml:space="preserve">Translating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code that operates on local data frames to Pandas code.</w:t>
      </w:r>
      <w:r>
        <w:rPr>
          <w:rStyle w:val="FootnoteReference"/>
        </w:rPr>
        <w:footnoteReference w:id="25"/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iCs/>
          <w:i/>
        </w:rPr>
        <w:t xml:space="preserve">Tidy Finance with R</w:t>
      </w:r>
      <w:r>
        <w:t xml:space="preserve">, almost all of the first step is concentrated in Part II of their book,</w:t>
      </w:r>
      <w:r>
        <w:t xml:space="preserve"> </w:t>
      </w:r>
      <w:hyperlink r:id="rId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Financial Data</w:t>
        </w:r>
        <w:r>
          <w:rPr>
            <w:rStyle w:val="Hyperlink"/>
          </w:rPr>
          <w:t xml:space="preserve">”</w:t>
        </w:r>
      </w:hyperlink>
      <w:r>
        <w:t xml:space="preserve">.</w:t>
      </w:r>
      <w:r>
        <w:t xml:space="preserve"> </w:t>
      </w:r>
      <w:r>
        <w:t xml:space="preserve">While the data sets created in Part II are stored in an SQLite database, the remainder of the book uses SQLite largely as a simple data store.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All analyses involve loading entire tables from SQLite and processing the data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BodyText"/>
      </w:pPr>
      <w:r>
        <w:t xml:space="preserve">In contrast, the approach in</w:t>
      </w:r>
      <w:r>
        <w:t xml:space="preserve"> </w:t>
      </w:r>
      <w:r>
        <w:rPr>
          <w:iCs/>
          <w:i/>
        </w:rPr>
        <w:t xml:space="preserve">Empirical Research in Accounting: Tools and Methods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dbplyr</w:t>
      </w:r>
      <w:r>
        <w:t xml:space="preserve"> </w:t>
      </w:r>
      <w:r>
        <w:t xml:space="preserve">throughout.</w:t>
      </w:r>
      <w:r>
        <w:t xml:space="preserve"> </w:t>
      </w:r>
      <w:r>
        <w:t xml:space="preserve">So the first step of this approach to a Python translation of the current book would mean that SQL strings appeared throughout the book.</w:t>
      </w:r>
      <w:r>
        <w:t xml:space="preserve"> </w:t>
      </w:r>
      <w:r>
        <w:t xml:space="preserve">While it would be possible to move to the data-management approach used by the Tidy Finance team, this would involve costs.</w:t>
      </w:r>
      <w:r>
        <w:t xml:space="preserve"> </w:t>
      </w:r>
      <w:r>
        <w:t xml:space="preserve">First, the chapters would no longer be independent.</w:t>
      </w:r>
      <w:r>
        <w:t xml:space="preserve"> </w:t>
      </w:r>
      <w:r>
        <w:t xml:space="preserve">Some code would depend on data sets created in a portion of the book largely dedicated to extracting data from the WRDS database.</w:t>
      </w:r>
      <w:r>
        <w:t xml:space="preserve"> </w:t>
      </w:r>
      <w:r>
        <w:t xml:space="preserve">Second, users would need to think about managing a local database.</w:t>
      </w:r>
      <w:r>
        <w:t xml:space="preserve"> </w:t>
      </w:r>
      <w:r>
        <w:t xml:space="preserve">While not a huge task,</w:t>
      </w:r>
      <w:r>
        <w:t xml:space="preserve"> </w:t>
      </w:r>
      <w:r>
        <w:rPr>
          <w:iCs/>
          <w:i/>
        </w:rPr>
        <w:t xml:space="preserve">Empirical Research in Accounting: Tools and Methods</w:t>
      </w:r>
      <w:r>
        <w:t xml:space="preserve"> </w:t>
      </w:r>
      <w:r>
        <w:t xml:space="preserve">does not ask users to maintain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persistent data storage.</w:t>
      </w:r>
      <w:r>
        <w:t xml:space="preserve"> </w:t>
      </w:r>
      <w:r>
        <w:t xml:space="preserve">Third, there can be real benefits to executing data analysis steps in a database.</w:t>
      </w:r>
      <w:r>
        <w:t xml:space="preserve"> </w:t>
      </w:r>
      <w:r>
        <w:t xml:space="preserve">For example, the code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that creates the</w:t>
      </w:r>
      <w:r>
        <w:t xml:space="preserve"> </w:t>
      </w:r>
      <w:r>
        <w:rPr>
          <w:rStyle w:val="VerbatimChar"/>
        </w:rPr>
        <w:t xml:space="preserve">risk_asymmetry</w:t>
      </w:r>
      <w:r>
        <w:t xml:space="preserve"> </w:t>
      </w:r>
      <w:r>
        <w:t xml:space="preserve">data frame takes about one second to run, but would take many minutes using an approach that loaded data into a data frame and ran regressions in R or Python.</w:t>
      </w:r>
      <w:r>
        <w:rPr>
          <w:rStyle w:val="FootnoteReference"/>
        </w:rPr>
        <w:footnoteReference w:id="30"/>
      </w:r>
    </w:p>
    <w:p>
      <w:pPr>
        <w:pStyle w:val="BodyText"/>
      </w:pPr>
      <w:r>
        <w:t xml:space="preserve">Beyond these reasons, there are additional complications with moving</w:t>
      </w:r>
      <w:r>
        <w:t xml:space="preserve"> </w:t>
      </w:r>
      <w:r>
        <w:rPr>
          <w:iCs/>
          <w:i/>
        </w:rPr>
        <w:t xml:space="preserve">Empirical Research in Accounting: Tools and Methods</w:t>
      </w:r>
      <w:r>
        <w:t xml:space="preserve"> </w:t>
      </w:r>
      <w:r>
        <w:t xml:space="preserve">to Python.</w:t>
      </w:r>
      <w:r>
        <w:t xml:space="preserve"> </w:t>
      </w:r>
      <w:r>
        <w:t xml:space="preserve">First, we assume very little of our readers.</w:t>
      </w:r>
      <w:r>
        <w:t xml:space="preserve"> </w:t>
      </w:r>
      <w:r>
        <w:t xml:space="preserve">While the much shorter</w:t>
      </w:r>
      <w:r>
        <w:t xml:space="preserve"> </w:t>
      </w:r>
      <w:r>
        <w:rPr>
          <w:iCs/>
          <w:i/>
        </w:rPr>
        <w:t xml:space="preserve">Tidy Finance with R</w:t>
      </w:r>
      <w:r>
        <w:t xml:space="preserve"> </w:t>
      </w:r>
      <w:r>
        <w:t xml:space="preserve">elects to dive in head-first, we have a chapter providing</w:t>
      </w:r>
      <w:r>
        <w:t xml:space="preserve"> </w:t>
      </w:r>
      <w:hyperlink r:id="rId31">
        <w:r>
          <w:rPr>
            <w:rStyle w:val="Hyperlink"/>
          </w:rPr>
          <w:t xml:space="preserve">a tutorial on R</w:t>
        </w:r>
      </w:hyperlink>
      <w:r>
        <w:t xml:space="preserve"> </w:t>
      </w:r>
      <w:r>
        <w:t xml:space="preserve">and another chapter</w:t>
      </w:r>
      <w:r>
        <w:t xml:space="preserve"> </w:t>
      </w:r>
      <w:hyperlink r:id="rId32">
        <w:r>
          <w:rPr>
            <w:rStyle w:val="Hyperlink"/>
          </w:rPr>
          <w:t xml:space="preserve">introducing users to regression analysis</w:t>
        </w:r>
      </w:hyperlink>
      <w:r>
        <w:t xml:space="preserve"> </w:t>
      </w:r>
      <w:r>
        <w:t xml:space="preserve">using R.</w:t>
      </w:r>
      <w:r>
        <w:t xml:space="preserve"> </w:t>
      </w:r>
      <w:r>
        <w:t xml:space="preserve">These chapters would require more than a simple code translation.</w:t>
      </w:r>
      <w:r>
        <w:t xml:space="preserve"> </w:t>
      </w:r>
      <w:r>
        <w:t xml:space="preserve">Second, our book leans heavily on the companion</w:t>
      </w:r>
      <w:r>
        <w:t xml:space="preserve"> </w:t>
      </w:r>
      <w:hyperlink r:id="rId33">
        <w:r>
          <w:rPr>
            <w:rStyle w:val="Hyperlink"/>
          </w:rPr>
          <w:t xml:space="preserve">R package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farr</w:t>
        </w:r>
      </w:hyperlink>
      <w:r>
        <w:t xml:space="preserve"> </w:t>
      </w:r>
      <w:r>
        <w:t xml:space="preserve">for data sets and functions and we would have to work out how to replicate elements of this in a Python version.</w:t>
      </w:r>
    </w:p>
    <w:p>
      <w:pPr>
        <w:pStyle w:val="BodyText"/>
      </w:pPr>
      <w:r>
        <w:t xml:space="preserve">Given our desire to retain the core approach used in</w:t>
      </w:r>
      <w:r>
        <w:t xml:space="preserve"> </w:t>
      </w:r>
      <w:r>
        <w:rPr>
          <w:iCs/>
          <w:i/>
        </w:rPr>
        <w:t xml:space="preserve">Empirical Research in Accounting: Tools and Methods</w:t>
      </w:r>
      <w:r>
        <w:t xml:space="preserve">, translation of our book to Python has had to wait for a more</w:t>
      </w:r>
      <w:r>
        <w:t xml:space="preserve"> </w:t>
      </w:r>
      <w:r>
        <w:rPr>
          <w:rStyle w:val="VerbatimChar"/>
        </w:rPr>
        <w:t xml:space="preserve">dbplyr</w:t>
      </w:r>
      <w:r>
        <w:t xml:space="preserve">-like approach to emerge.</w:t>
      </w:r>
      <w:r>
        <w:t xml:space="preserve"> </w:t>
      </w:r>
      <w:r>
        <w:t xml:space="preserve">(This is apart from the fact that we still need to finish the R version!)</w:t>
      </w:r>
      <w:r>
        <w:t xml:space="preserve"> </w:t>
      </w:r>
      <w:r>
        <w:t xml:space="preserve">I recently noted that Wes McKinney, the creator of Pandas, has joined Posit, the firm once known as RStudio.</w:t>
      </w:r>
      <w:r>
        <w:t xml:space="preserve"> </w:t>
      </w:r>
      <w:r>
        <w:t xml:space="preserve">In</w:t>
      </w:r>
      <w:r>
        <w:t xml:space="preserve"> </w:t>
      </w:r>
      <w:hyperlink r:id="rId34">
        <w:r>
          <w:rPr>
            <w:rStyle w:val="Hyperlink"/>
          </w:rPr>
          <w:t xml:space="preserve">his blog</w:t>
        </w:r>
      </w:hyperlink>
      <w:r>
        <w:t xml:space="preserve">, he discusses Ibis,</w:t>
      </w:r>
      <w:r>
        <w:t xml:space="preserve"> </w:t>
      </w:r>
      <w:r>
        <w:t xml:space="preserve">“</w:t>
      </w:r>
      <w:r>
        <w:t xml:space="preserve">a lazily-evaluated expression system that is pleasant to use, extensible, and can support a broad set of SQL-like and non-SQL-like data processing use cases.</w:t>
      </w:r>
      <w:r>
        <w:t xml:space="preserve">”</w:t>
      </w:r>
    </w:p>
    <w:p>
      <w:pPr>
        <w:pStyle w:val="BodyText"/>
      </w:pPr>
      <w:r>
        <w:t xml:space="preserve">As outlined below, I think it is broadly feasible to move to a Python-based approach without completely forgoing the elegance and performance of the R-based approach.</w:t>
      </w:r>
      <w:r>
        <w:t xml:space="preserve"> </w:t>
      </w:r>
      <w:r>
        <w:t xml:space="preserve">While a Tidyverse user will find that some things are missing in Python with Ibis, these don’t seem to be deal-breakers.</w:t>
      </w:r>
      <w:r>
        <w:t xml:space="preserve"> </w:t>
      </w:r>
      <w:r>
        <w:t xml:space="preserve">For example, Python doesn’t have pipes (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in R), but the chaining of methods gives something similar.</w:t>
      </w:r>
      <w:r>
        <w:t xml:space="preserve"> </w:t>
      </w:r>
      <w:r>
        <w:t xml:space="preserve">Also, Python lacks the</w:t>
      </w:r>
      <w:r>
        <w:t xml:space="preserve"> </w:t>
      </w:r>
      <w:hyperlink r:id="rId35">
        <w:r>
          <w:rPr>
            <w:rStyle w:val="Hyperlink"/>
            <w:bCs/>
            <w:b/>
          </w:rPr>
          <w:t xml:space="preserve">non-standard evaluation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goodies</w:t>
        </w:r>
      </w:hyperlink>
      <w:r>
        <w:t xml:space="preserve"> </w:t>
      </w:r>
      <w:r>
        <w:t xml:space="preserve">provided by R.</w:t>
      </w:r>
    </w:p>
    <w:bookmarkStart w:id="44" w:name="X9d44dd486066f5b0fbb06491afd61bdceb12800"/>
    <w:p>
      <w:pPr>
        <w:pStyle w:val="Heading2"/>
      </w:pPr>
      <w:r>
        <w:t xml:space="preserve">1 Translating from R to Python: A case study</w:t>
      </w:r>
    </w:p>
    <w:p>
      <w:pPr>
        <w:pStyle w:val="FirstParagraph"/>
      </w:pPr>
      <w:r>
        <w:t xml:space="preserve">In this note, I translate code from the</w:t>
      </w:r>
      <w:r>
        <w:t xml:space="preserve"> </w:t>
      </w:r>
      <w:r>
        <w:rPr>
          <w:rStyle w:val="VerbatimChar"/>
        </w:rPr>
        <w:t xml:space="preserve">dbplyr</w:t>
      </w:r>
      <w:r>
        <w:t xml:space="preserve"> </w:t>
      </w:r>
      <w:r>
        <w:t xml:space="preserve">form it takes in</w:t>
      </w:r>
      <w:r>
        <w:t xml:space="preserve"> </w:t>
      </w:r>
      <w:r>
        <w:rPr>
          <w:iCs/>
          <w:i/>
        </w:rPr>
        <w:t xml:space="preserve">Empirical Research in Accounting: Tools and Methods</w:t>
      </w:r>
      <w:r>
        <w:t xml:space="preserve"> </w:t>
      </w:r>
      <w:r>
        <w:t xml:space="preserve">into equivalent Ibis code.</w:t>
      </w:r>
      <w:r>
        <w:t xml:space="preserve"> </w:t>
      </w: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code I chose</w:t>
        </w:r>
      </w:hyperlink>
      <w:r>
        <w:t xml:space="preserve"> </w:t>
      </w:r>
      <w:r>
        <w:t xml:space="preserve">for translation uses</w:t>
      </w:r>
      <w:r>
        <w:t xml:space="preserve"> </w:t>
      </w:r>
      <w:r>
        <w:rPr>
          <w:rStyle w:val="VerbatimChar"/>
        </w:rPr>
        <w:t xml:space="preserve">crsp.dsf</w:t>
      </w:r>
      <w:r>
        <w:t xml:space="preserve">, a relatively large table that illustrates nicely the benefits of working with remote data.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Apart from importing Ibis, I also set</w:t>
      </w:r>
      <w:r>
        <w:t xml:space="preserve"> </w:t>
      </w:r>
      <w:r>
        <w:rPr>
          <w:rStyle w:val="VerbatimChar"/>
        </w:rPr>
        <w:t xml:space="preserve">ibis.options.interactive</w:t>
      </w:r>
      <w:r>
        <w:t xml:space="preserve"> </w:t>
      </w:r>
      <w:r>
        <w:t xml:space="preserve">so that displayed output from data frames is limited to ten rows.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ibis</w:t>
      </w:r>
      <w:r>
        <w:br/>
      </w:r>
      <w:r>
        <w:rPr>
          <w:rStyle w:val="NormalTok"/>
        </w:rPr>
        <w:t xml:space="preserve">ibis.options.interactive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FirstParagraph"/>
      </w:pPr>
      <w:r>
        <w:t xml:space="preserve">On my computers, I store my WRDS ID in an environment variable</w:t>
      </w:r>
      <w:r>
        <w:t xml:space="preserve"> </w:t>
      </w:r>
      <w:r>
        <w:rPr>
          <w:rStyle w:val="VerbatimChar"/>
        </w:rPr>
        <w:t xml:space="preserve">WRDS_ID</w:t>
      </w:r>
      <w:r>
        <w:t xml:space="preserve">.</w:t>
      </w:r>
      <w:r>
        <w:t xml:space="preserve"> </w:t>
      </w:r>
      <w:r>
        <w:t xml:space="preserve">You could replace the following lines with</w:t>
      </w:r>
      <w:r>
        <w:t xml:space="preserve"> </w:t>
      </w:r>
      <w:r>
        <w:rPr>
          <w:rStyle w:val="VerbatimChar"/>
        </w:rPr>
        <w:t xml:space="preserve">wrds_id = "your_wrds_id"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wrds_id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'WRDS_ID'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Now I connect to the WRDS PostgreSQL database and establish variables representing</w:t>
      </w:r>
      <w:r>
        <w:t xml:space="preserve"> </w:t>
      </w:r>
      <w:r>
        <w:rPr>
          <w:rStyle w:val="VerbatimChar"/>
        </w:rPr>
        <w:t xml:space="preserve">crsp.dsf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crsp.stocknames</w:t>
      </w:r>
      <w:r>
        <w:t xml:space="preserve">.</w:t>
      </w:r>
      <w:r>
        <w:t xml:space="preserve"> </w:t>
      </w:r>
      <w:r>
        <w:t xml:space="preserve">Note that these are effectively</w:t>
      </w:r>
      <w:r>
        <w:t xml:space="preserve"> </w:t>
      </w:r>
      <w:r>
        <w:rPr>
          <w:bCs/>
          <w:b/>
        </w:rPr>
        <w:t xml:space="preserve">remote</w:t>
      </w:r>
      <w:r>
        <w:t xml:space="preserve"> </w:t>
      </w:r>
      <w:r>
        <w:t xml:space="preserve">data frames, as no data is brought into memory.</w:t>
      </w:r>
      <w:r>
        <w:t xml:space="preserve"> </w:t>
      </w:r>
      <w:r>
        <w:t xml:space="preserve">As such these lines take almost no time to run.</w:t>
      </w:r>
    </w:p>
    <w:p>
      <w:pPr>
        <w:pStyle w:val="SourceCode"/>
      </w:pPr>
      <w:r>
        <w:rPr>
          <w:rStyle w:val="NormalTok"/>
        </w:rPr>
        <w:t xml:space="preserve">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ibis.postgres.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wrds_id, </w:t>
      </w:r>
      <w:r>
        <w:br/>
      </w:r>
      <w:r>
        <w:rPr>
          <w:rStyle w:val="NormalTok"/>
        </w:rPr>
        <w:t xml:space="preserve">                           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"wrds-pgdata.wharton.upenn.edu"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9737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database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dsf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con.table(</w:t>
      </w:r>
      <w:r>
        <w:rPr>
          <w:rStyle w:val="StringTok"/>
        </w:rPr>
        <w:t xml:space="preserve">"dsf"</w:t>
      </w:r>
      <w:r>
        <w:rPr>
          <w:rStyle w:val="NormalTok"/>
        </w:rPr>
        <w:t xml:space="preserve">, 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"crsp"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con.table(</w:t>
      </w:r>
      <w:r>
        <w:rPr>
          <w:rStyle w:val="StringTok"/>
        </w:rPr>
        <w:t xml:space="preserve">"stocknames"</w:t>
      </w:r>
      <w:r>
        <w:rPr>
          <w:rStyle w:val="NormalTok"/>
        </w:rPr>
        <w:t xml:space="preserve">, schema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"crsp"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our remote data frames set up, we can begin to interrogate the data.</w:t>
      </w:r>
      <w:r>
        <w:t xml:space="preserve"> </w:t>
      </w:r>
      <w:r>
        <w:t xml:space="preserve">First we ask how many rows are in the</w:t>
      </w:r>
      <w:r>
        <w:t xml:space="preserve"> </w:t>
      </w:r>
      <w:r>
        <w:rPr>
          <w:rStyle w:val="VerbatimChar"/>
        </w:rPr>
        <w:t xml:space="preserve">crsp.dsf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NormalTok"/>
        </w:rPr>
        <w:t xml:space="preserve">dsf.count().to_pandas()</w:t>
      </w:r>
    </w:p>
    <w:p>
      <w:pPr>
        <w:pStyle w:val="SourceCode"/>
      </w:pPr>
      <w:r>
        <w:rPr>
          <w:rStyle w:val="VerbatimChar"/>
        </w:rPr>
        <w:t xml:space="preserve">102905313</w:t>
      </w:r>
    </w:p>
    <w:p>
      <w:pPr>
        <w:pStyle w:val="FirstParagraph"/>
      </w:pPr>
      <w:r>
        <w:t xml:space="preserve">Ibis takes a different approach from</w:t>
      </w:r>
      <w:r>
        <w:t xml:space="preserve"> </w:t>
      </w:r>
      <w:r>
        <w:rPr>
          <w:rStyle w:val="VerbatimChar"/>
        </w:rPr>
        <w:t xml:space="preserve">dbplyr</w:t>
      </w:r>
      <w:r>
        <w:t xml:space="preserve"> </w:t>
      </w:r>
      <w:r>
        <w:t xml:space="preserve">in translating code to SQL.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dbplyr</w:t>
      </w:r>
      <w:r>
        <w:t xml:space="preserve">, many commonly used functions available to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are translated to SQL equivalents in the dialect matching the connection supplied.</w:t>
      </w:r>
      <w:r>
        <w:t xml:space="preserve"> </w:t>
      </w:r>
      <w:r>
        <w:t xml:space="preserve">For example</w:t>
      </w:r>
      <w:r>
        <w:t xml:space="preserve"> </w:t>
      </w:r>
      <w:r>
        <w:rPr>
          <w:rStyle w:val="VerbatimChar"/>
        </w:rPr>
        <w:t xml:space="preserve">year(date)</w:t>
      </w:r>
      <w:r>
        <w:t xml:space="preserve"> </w:t>
      </w:r>
      <w:r>
        <w:t xml:space="preserve">is translated to</w:t>
      </w:r>
      <w:r>
        <w:t xml:space="preserve"> </w:t>
      </w:r>
      <w:r>
        <w:rPr>
          <w:rStyle w:val="VerbatimChar"/>
        </w:rPr>
        <w:t xml:space="preserve">EXTRACT(year FROM "date")</w:t>
      </w:r>
      <w:r>
        <w:t xml:space="preserve"> </w:t>
      </w:r>
      <w:r>
        <w:t xml:space="preserve">in PostgreSQL’s dialect of SQL.</w:t>
      </w:r>
      <w:r>
        <w:t xml:space="preserve"> </w:t>
      </w:r>
      <w:r>
        <w:t xml:space="preserve">If no translation is found, then the function is passed along for the SQL query engine to interpret.</w:t>
      </w:r>
      <w:r>
        <w:t xml:space="preserve"> </w:t>
      </w:r>
      <w:r>
        <w:t xml:space="preserve">An example of this is seen in</w:t>
      </w:r>
      <w:r>
        <w:t xml:space="preserve"> </w:t>
      </w:r>
      <w:r>
        <w:rPr>
          <w:rStyle w:val="VerbatimChar"/>
        </w:rPr>
        <w:t xml:space="preserve">date_part('year', date)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(RPostgres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Postgres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dsf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schema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"crsp"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dsf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year_alt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date_part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date))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(permno, date, year, year_alt)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show_query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&lt;SQL&gt;</w:t>
      </w:r>
      <w:r>
        <w:br/>
      </w:r>
      <w:r>
        <w:rPr>
          <w:rStyle w:val="VerbatimChar"/>
        </w:rPr>
        <w:t xml:space="preserve">SELECT</w:t>
      </w:r>
      <w:r>
        <w:br/>
      </w:r>
      <w:r>
        <w:rPr>
          <w:rStyle w:val="VerbatimChar"/>
        </w:rPr>
        <w:t xml:space="preserve">  "permno",</w:t>
      </w:r>
      <w:r>
        <w:br/>
      </w:r>
      <w:r>
        <w:rPr>
          <w:rStyle w:val="VerbatimChar"/>
        </w:rPr>
        <w:t xml:space="preserve">  "date",</w:t>
      </w:r>
      <w:r>
        <w:br/>
      </w:r>
      <w:r>
        <w:rPr>
          <w:rStyle w:val="VerbatimChar"/>
        </w:rPr>
        <w:t xml:space="preserve">  EXTRACT(year FROM "date") AS "year",</w:t>
      </w:r>
      <w:r>
        <w:br/>
      </w:r>
      <w:r>
        <w:rPr>
          <w:rStyle w:val="VerbatimChar"/>
        </w:rPr>
        <w:t xml:space="preserve">  date_part('year', "date") AS "year_alt"</w:t>
      </w:r>
      <w:r>
        <w:br/>
      </w:r>
      <w:r>
        <w:rPr>
          <w:rStyle w:val="VerbatimChar"/>
        </w:rPr>
        <w:t xml:space="preserve">FROM "crsp"."dsf"</w:t>
      </w:r>
    </w:p>
    <w:p>
      <w:pPr>
        <w:pStyle w:val="FirstParagraph"/>
      </w:pPr>
      <w:r>
        <w:t xml:space="preserve">It seems that Ibis takes a different approach that is more like the second of these two options in most cases.</w:t>
      </w:r>
      <w:r>
        <w:t xml:space="preserve"> </w:t>
      </w:r>
      <w:r>
        <w:t xml:space="preserve">However, Ibis requires that we register each function that we want to use as a user-defined function (UDF).</w:t>
      </w:r>
      <w:r>
        <w:t xml:space="preserve"> </w:t>
      </w:r>
      <w:r>
        <w:t xml:space="preserve">We will want to use</w:t>
      </w:r>
      <w:r>
        <w:t xml:space="preserve"> </w:t>
      </w:r>
      <w:r>
        <w:rPr>
          <w:rStyle w:val="VerbatimChar"/>
        </w:rPr>
        <w:t xml:space="preserve">date_part()</w:t>
      </w:r>
      <w:r>
        <w:t xml:space="preserve"> </w:t>
      </w:r>
      <w:r>
        <w:t xml:space="preserve">below, so we register this function as follows.</w:t>
      </w:r>
      <w:r>
        <w:t xml:space="preserve"> </w:t>
      </w:r>
      <w:r>
        <w:t xml:space="preserve">We import</w:t>
      </w:r>
      <w:r>
        <w:t xml:space="preserve"> </w:t>
      </w:r>
      <w:r>
        <w:rPr>
          <w:rStyle w:val="VerbatimChar"/>
        </w:rPr>
        <w:t xml:space="preserve">udf</w:t>
      </w:r>
      <w:r>
        <w:t xml:space="preserve"> </w:t>
      </w:r>
      <w:r>
        <w:t xml:space="preserve">and then add a</w:t>
      </w:r>
      <w:r>
        <w:t xml:space="preserve"> </w:t>
      </w:r>
      <w:r>
        <w:rPr>
          <w:bCs/>
          <w:b/>
        </w:rPr>
        <w:t xml:space="preserve">decorator</w:t>
      </w:r>
      <w:r>
        <w:t xml:space="preserve"> </w:t>
      </w:r>
      <w:r>
        <w:t xml:space="preserve">before our function to let Python know that we are registering a built-in scalar UDF.</w:t>
      </w:r>
      <w:r>
        <w:t xml:space="preserve"> </w:t>
      </w:r>
      <w:r>
        <w:t xml:space="preserve">Because the function is handled by PostgreSQL, the body of our function is simply an ellipsis (</w:t>
      </w:r>
      <w:r>
        <w:rPr>
          <w:rStyle w:val="VerbatimChar"/>
        </w:rPr>
        <w:t xml:space="preserve">...</w:t>
      </w:r>
      <w:r>
        <w:t xml:space="preserve">).</w:t>
      </w:r>
      <w:r>
        <w:t xml:space="preserve"> </w:t>
      </w:r>
      <w:r>
        <w:t xml:space="preserve">All we have to do is indicate the slots for the arguments (</w:t>
      </w:r>
      <w:r>
        <w:rPr>
          <w:rStyle w:val="VerbatimChar"/>
        </w:rPr>
        <w:t xml:space="preserve">field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in this case) and returned data type using the type hint</w:t>
      </w:r>
      <w:r>
        <w:t xml:space="preserve"> </w:t>
      </w:r>
      <w:r>
        <w:rPr>
          <w:rStyle w:val="VerbatimChar"/>
        </w:rPr>
        <w:t xml:space="preserve">-&gt; int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ibis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udf</w:t>
      </w:r>
      <w:r>
        <w:br/>
      </w:r>
      <w:r>
        <w:br/>
      </w:r>
      <w:r>
        <w:rPr>
          <w:rStyle w:val="AttributeTok"/>
        </w:rPr>
        <w:t xml:space="preserve">@udf.scalar.builtin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date_part(field, source)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...</w:t>
      </w:r>
    </w:p>
    <w:p>
      <w:pPr>
        <w:pStyle w:val="FirstParagraph"/>
      </w:pPr>
      <w:r>
        <w:t xml:space="preserve">Below we will use other UDFs and we register these now.</w:t>
      </w:r>
    </w:p>
    <w:p>
      <w:pPr>
        <w:pStyle w:val="SourceCode"/>
      </w:pPr>
      <w:r>
        <w:rPr>
          <w:rStyle w:val="AttributeTok"/>
        </w:rPr>
        <w:t xml:space="preserve">@udf.scalar.builtin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regexp_like(string, pattern)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AttributeTok"/>
        </w:rPr>
        <w:t xml:space="preserve">@udf.scalar.builtin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coalesce(x, 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...</w:t>
      </w:r>
      <w:r>
        <w:br/>
      </w:r>
      <w:r>
        <w:br/>
      </w:r>
      <w:r>
        <w:rPr>
          <w:rStyle w:val="AttributeTok"/>
        </w:rPr>
        <w:t xml:space="preserve">@udf.scalar.builtin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exp(x)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...</w:t>
      </w:r>
      <w:r>
        <w:br/>
      </w:r>
      <w:r>
        <w:br/>
      </w:r>
      <w:r>
        <w:rPr>
          <w:rStyle w:val="AttributeTok"/>
        </w:rPr>
        <w:t xml:space="preserve">@udf.scalar.builtin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ln(x)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...</w:t>
      </w:r>
    </w:p>
    <w:p>
      <w:pPr>
        <w:pStyle w:val="FirstParagraph"/>
      </w:pPr>
      <w:r>
        <w:t xml:space="preserve">While the following code is unnecessary (Ibis does this translation without us having to ask for it), it does illustrate how one can register aggregate functions such as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avg()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@ibis.udf.agg.builtin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(x: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...</w:t>
      </w:r>
    </w:p>
    <w:p>
      <w:pPr>
        <w:pStyle w:val="FirstParagraph"/>
      </w:pPr>
      <w:r>
        <w:t xml:space="preserve">Now we get the count of observations on</w:t>
      </w:r>
      <w:r>
        <w:t xml:space="preserve"> </w:t>
      </w:r>
      <w:r>
        <w:rPr>
          <w:rStyle w:val="VerbatimChar"/>
        </w:rPr>
        <w:t xml:space="preserve">crsp.dsf</w:t>
      </w:r>
      <w:r>
        <w:t xml:space="preserve"> </w:t>
      </w:r>
      <w:r>
        <w:t xml:space="preserve">by year using the following code.</w:t>
      </w:r>
      <w:r>
        <w:t xml:space="preserve"> </w:t>
      </w:r>
      <w:r>
        <w:t xml:space="preserve">We retrieve the (small) result set as a Pandas data frame.</w:t>
      </w:r>
      <w:r>
        <w:t xml:space="preserve"> </w:t>
      </w:r>
      <w:r>
        <w:t xml:space="preserve">We sort this by descending value of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so that the most recent rows come first.</w:t>
      </w:r>
    </w:p>
    <w:p>
      <w:pPr>
        <w:pStyle w:val="SourceCode"/>
      </w:pPr>
      <w:r>
        <w:rPr>
          <w:rStyle w:val="NormalTok"/>
        </w:rPr>
        <w:t xml:space="preserve">dsf.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mutate(year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date_part(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dsf.date)).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group_by(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aggregate(n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dsf.count()).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order_by([ibis.desc(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to_pandas()</w:t>
      </w:r>
    </w:p>
    <w:p>
      <w:pPr>
        <w:pStyle w:val="SourceCode"/>
      </w:pPr>
      <w:r>
        <w:rPr>
          <w:rStyle w:val="VerbatimChar"/>
        </w:rPr>
        <w:t xml:space="preserve">    year        n</w:t>
      </w:r>
      <w:r>
        <w:br/>
      </w:r>
      <w:r>
        <w:rPr>
          <w:rStyle w:val="VerbatimChar"/>
        </w:rPr>
        <w:t xml:space="preserve">0   2022  2390746</w:t>
      </w:r>
      <w:r>
        <w:br/>
      </w:r>
      <w:r>
        <w:rPr>
          <w:rStyle w:val="VerbatimChar"/>
        </w:rPr>
        <w:t xml:space="preserve">1   2021  2186792</w:t>
      </w:r>
      <w:r>
        <w:br/>
      </w:r>
      <w:r>
        <w:rPr>
          <w:rStyle w:val="VerbatimChar"/>
        </w:rPr>
        <w:t xml:space="preserve">2   2020  1948470</w:t>
      </w:r>
      <w:r>
        <w:br/>
      </w:r>
      <w:r>
        <w:rPr>
          <w:rStyle w:val="VerbatimChar"/>
        </w:rPr>
        <w:t xml:space="preserve">3   2019  1911581</w:t>
      </w:r>
      <w:r>
        <w:br/>
      </w:r>
      <w:r>
        <w:rPr>
          <w:rStyle w:val="VerbatimChar"/>
        </w:rPr>
        <w:t xml:space="preserve">4   2018  1869102</w:t>
      </w:r>
      <w:r>
        <w:br/>
      </w:r>
      <w:r>
        <w:rPr>
          <w:rStyle w:val="VerbatimChar"/>
        </w:rPr>
        <w:t xml:space="preserve">..   ...      ...</w:t>
      </w:r>
      <w:r>
        <w:br/>
      </w:r>
      <w:r>
        <w:rPr>
          <w:rStyle w:val="VerbatimChar"/>
        </w:rPr>
        <w:t xml:space="preserve">93  1929   201537</w:t>
      </w:r>
      <w:r>
        <w:br/>
      </w:r>
      <w:r>
        <w:rPr>
          <w:rStyle w:val="VerbatimChar"/>
        </w:rPr>
        <w:t xml:space="preserve">94  1928   180698</w:t>
      </w:r>
      <w:r>
        <w:br/>
      </w:r>
      <w:r>
        <w:rPr>
          <w:rStyle w:val="VerbatimChar"/>
        </w:rPr>
        <w:t xml:space="preserve">95  1927   172364</w:t>
      </w:r>
      <w:r>
        <w:br/>
      </w:r>
      <w:r>
        <w:rPr>
          <w:rStyle w:val="VerbatimChar"/>
        </w:rPr>
        <w:t xml:space="preserve">96  1926   160937</w:t>
      </w:r>
      <w:r>
        <w:br/>
      </w:r>
      <w:r>
        <w:rPr>
          <w:rStyle w:val="VerbatimChar"/>
        </w:rPr>
        <w:t xml:space="preserve">97  1925      509</w:t>
      </w:r>
      <w:r>
        <w:br/>
      </w:r>
      <w:r>
        <w:br/>
      </w:r>
      <w:r>
        <w:rPr>
          <w:rStyle w:val="VerbatimChar"/>
        </w:rPr>
        <w:t xml:space="preserve">[98 rows x 2 columns]</w:t>
      </w:r>
    </w:p>
    <w:p>
      <w:pPr>
        <w:pStyle w:val="FirstParagraph"/>
      </w:pPr>
      <w:r>
        <w:t xml:space="preserve">We will next take a subset of rows where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is 7 January 1986 and retrieve the (fairly small) result set as a Pandas data frame.</w:t>
      </w:r>
      <w:r>
        <w:t xml:space="preserve"> </w:t>
      </w:r>
      <w:r>
        <w:t xml:space="preserve">This will allow use to seem an important difference between Ibis/Pandas and</w:t>
      </w:r>
      <w:r>
        <w:t xml:space="preserve"> </w:t>
      </w:r>
      <w:r>
        <w:rPr>
          <w:rStyle w:val="VerbatimChar"/>
        </w:rPr>
        <w:t xml:space="preserve">dbplyr</w:t>
      </w:r>
      <w:r>
        <w:t xml:space="preserve">/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BodyText"/>
      </w:pPr>
      <w:r>
        <w:t xml:space="preserve">In R, we might select just the fields we want before using</w:t>
      </w:r>
      <w:r>
        <w:t xml:space="preserve"> </w:t>
      </w:r>
      <w:r>
        <w:rPr>
          <w:rStyle w:val="VerbatimChar"/>
        </w:rPr>
        <w:t xml:space="preserve">collect()</w:t>
      </w:r>
      <w:r>
        <w:t xml:space="preserve"> </w:t>
      </w:r>
      <w:r>
        <w:t xml:space="preserve">to create a local data frame, as here:</w:t>
      </w:r>
    </w:p>
    <w:p>
      <w:pPr>
        <w:pStyle w:val="SourceCode"/>
      </w:pPr>
      <w:r>
        <w:rPr>
          <w:rStyle w:val="NormalTok"/>
        </w:rPr>
        <w:t xml:space="preserve">dsf_subset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"1986-01-07"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(permno, date, ret)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Alternatively, we might collect all the data, and just select the ones we need from the local data frame.</w:t>
      </w:r>
      <w:r>
        <w:t xml:space="preserve"> </w:t>
      </w:r>
      <w:r>
        <w:t xml:space="preserve">In the vast majority of cases, one can apply the same methods one can apply to a local data frame (e.g., a</w:t>
      </w:r>
      <w:r>
        <w:t xml:space="preserve"> </w:t>
      </w:r>
      <w:r>
        <w:t xml:space="preserve">“</w:t>
      </w:r>
      <w:r>
        <w:t xml:space="preserve">tibble</w:t>
      </w:r>
      <w:r>
        <w:t xml:space="preserve">”</w:t>
      </w:r>
      <w:r>
        <w:t xml:space="preserve">) as one can apply to a remote data frame.</w:t>
      </w:r>
    </w:p>
    <w:p>
      <w:pPr>
        <w:pStyle w:val="SourceCode"/>
      </w:pPr>
      <w:r>
        <w:rPr>
          <w:rStyle w:val="NormalTok"/>
        </w:rPr>
        <w:t xml:space="preserve">dsf_subset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"1986-01-07"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(permno, date, ret)</w:t>
      </w:r>
    </w:p>
    <w:p>
      <w:pPr>
        <w:pStyle w:val="FirstParagraph"/>
      </w:pPr>
      <w:r>
        <w:t xml:space="preserve">However, things are a bit more complicated with Ibis/Pandas.</w:t>
      </w:r>
      <w:r>
        <w:t xml:space="preserve"> </w:t>
      </w:r>
      <w:r>
        <w:t xml:space="preserve">There is no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method applicable to a Pandas data frame.</w:t>
      </w:r>
      <w:r>
        <w:t xml:space="preserve"> </w:t>
      </w:r>
      <w:r>
        <w:t xml:space="preserve">Instead, would use</w:t>
      </w:r>
      <w:r>
        <w:t xml:space="preserve"> </w:t>
      </w:r>
      <w:r>
        <w:rPr>
          <w:rStyle w:val="VerbatimChar"/>
        </w:rPr>
        <w:t xml:space="preserve">[["permno", "date", "ret"]]</w:t>
      </w:r>
      <w:r>
        <w:t xml:space="preserve"> </w:t>
      </w:r>
      <w:r>
        <w:t xml:space="preserve">to indicate that we want just those three columns.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[["permno", "date", "ret"]]</w:t>
      </w:r>
      <w:r>
        <w:t xml:space="preserve"> </w:t>
      </w:r>
      <w:r>
        <w:t xml:space="preserve">does work with a remote data frame, it means mixing in Pandas-style methods with more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-like methods.</w:t>
      </w:r>
      <w:r>
        <w:rPr>
          <w:rStyle w:val="FootnoteReference"/>
        </w:rPr>
        <w:footnoteReference w:id="38"/>
      </w:r>
    </w:p>
    <w:p>
      <w:pPr>
        <w:pStyle w:val="SourceCode"/>
      </w:pPr>
      <w:r>
        <w:rPr>
          <w:rStyle w:val="NormalTok"/>
        </w:rPr>
        <w:t xml:space="preserve">dsf_subset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dsf.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(dsf.date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"1986-01-07"</w:t>
      </w:r>
      <w:r>
        <w:rPr>
          <w:rStyle w:val="NormalTok"/>
        </w:rPr>
        <w:t xml:space="preserve">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select(</w:t>
      </w:r>
      <w:r>
        <w:rPr>
          <w:rStyle w:val="StringTok"/>
        </w:rPr>
        <w:t xml:space="preserve">"permno"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"ret"</w:t>
      </w:r>
      <w:r>
        <w:rPr>
          <w:rStyle w:val="NormalTok"/>
        </w:rPr>
        <w:t xml:space="preserve">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to_pandas()</w:t>
      </w:r>
      <w:r>
        <w:br/>
      </w:r>
      <w:r>
        <w:br/>
      </w:r>
      <w:r>
        <w:rPr>
          <w:rStyle w:val="NormalTok"/>
        </w:rPr>
        <w:t xml:space="preserve">dsf_subset[[</w:t>
      </w:r>
      <w:r>
        <w:rPr>
          <w:rStyle w:val="StringTok"/>
        </w:rPr>
        <w:t xml:space="preserve">"permno"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       permno       date       ret</w:t>
      </w:r>
      <w:r>
        <w:br/>
      </w:r>
      <w:r>
        <w:rPr>
          <w:rStyle w:val="VerbatimChar"/>
        </w:rPr>
        <w:t xml:space="preserve">0     10000.0 1986-01-07       NaN</w:t>
      </w:r>
      <w:r>
        <w:br/>
      </w:r>
      <w:r>
        <w:rPr>
          <w:rStyle w:val="VerbatimChar"/>
        </w:rPr>
        <w:t xml:space="preserve">1     10015.0 1986-01-07  0.000000</w:t>
      </w:r>
      <w:r>
        <w:br/>
      </w:r>
      <w:r>
        <w:rPr>
          <w:rStyle w:val="VerbatimChar"/>
        </w:rPr>
        <w:t xml:space="preserve">2     10031.0 1986-01-07  0.000000</w:t>
      </w:r>
      <w:r>
        <w:br/>
      </w:r>
      <w:r>
        <w:rPr>
          <w:rStyle w:val="VerbatimChar"/>
        </w:rPr>
        <w:t xml:space="preserve">3     10057.0 1986-01-07  0.026549</w:t>
      </w:r>
      <w:r>
        <w:br/>
      </w:r>
      <w:r>
        <w:rPr>
          <w:rStyle w:val="VerbatimChar"/>
        </w:rPr>
        <w:t xml:space="preserve">4     10065.0 1986-01-07  0.006410</w:t>
      </w:r>
      <w:r>
        <w:br/>
      </w:r>
      <w:r>
        <w:rPr>
          <w:rStyle w:val="VerbatimChar"/>
        </w:rPr>
        <w:t xml:space="preserve">...       ...        ...       ...</w:t>
      </w:r>
      <w:r>
        <w:br/>
      </w:r>
      <w:r>
        <w:rPr>
          <w:rStyle w:val="VerbatimChar"/>
        </w:rPr>
        <w:t xml:space="preserve">6424  93252.0 1986-01-07 -0.019608</w:t>
      </w:r>
      <w:r>
        <w:br/>
      </w:r>
      <w:r>
        <w:rPr>
          <w:rStyle w:val="VerbatimChar"/>
        </w:rPr>
        <w:t xml:space="preserve">6425  93279.0 1986-01-07  0.000000</w:t>
      </w:r>
      <w:r>
        <w:br/>
      </w:r>
      <w:r>
        <w:rPr>
          <w:rStyle w:val="VerbatimChar"/>
        </w:rPr>
        <w:t xml:space="preserve">6426  93287.0 1986-01-07  0.000000</w:t>
      </w:r>
      <w:r>
        <w:br/>
      </w:r>
      <w:r>
        <w:rPr>
          <w:rStyle w:val="VerbatimChar"/>
        </w:rPr>
        <w:t xml:space="preserve">6427  93308.0 1986-01-07  0.000000</w:t>
      </w:r>
      <w:r>
        <w:br/>
      </w:r>
      <w:r>
        <w:rPr>
          <w:rStyle w:val="VerbatimChar"/>
        </w:rPr>
        <w:t xml:space="preserve">6428  93316.0 1986-01-07  0.012987</w:t>
      </w:r>
      <w:r>
        <w:br/>
      </w:r>
      <w:r>
        <w:br/>
      </w:r>
      <w:r>
        <w:rPr>
          <w:rStyle w:val="VerbatimChar"/>
        </w:rPr>
        <w:t xml:space="preserve">[6429 rows x 3 columns]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permno</w:t>
      </w:r>
      <w:r>
        <w:t xml:space="preserve"> </w:t>
      </w:r>
      <w:r>
        <w:t xml:space="preserve">is a floating-point type in the WRDS PostgreSQL database, though it really should be an integer.</w:t>
      </w:r>
      <w:r>
        <w:rPr>
          <w:rStyle w:val="FootnoteReference"/>
        </w:rPr>
        <w:footnoteReference w:id="39"/>
      </w:r>
    </w:p>
    <w:p>
      <w:pPr>
        <w:pStyle w:val="BodyText"/>
      </w:pPr>
      <w:r>
        <w:t xml:space="preserve">Now, we will use</w:t>
      </w:r>
      <w:r>
        <w:t xml:space="preserve"> </w:t>
      </w:r>
      <w:r>
        <w:rPr>
          <w:rStyle w:val="VerbatimChar"/>
        </w:rPr>
        <w:t xml:space="preserve">crsp.stocknames</w:t>
      </w:r>
      <w:r>
        <w:t xml:space="preserve"> </w:t>
      </w:r>
      <w:r>
        <w:t xml:space="preserve">to look up the PERMNO for Apple so that we can make a plot of Apple’s stock performance over time.</w:t>
      </w:r>
    </w:p>
    <w:p>
      <w:pPr>
        <w:pStyle w:val="SourceCode"/>
      </w:pPr>
      <w:r>
        <w:rPr>
          <w:rStyle w:val="NormalTok"/>
        </w:rPr>
        <w:t xml:space="preserve">apple_permno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stocknames.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(regexp_like(stocknames.comnam, </w:t>
      </w:r>
      <w:r>
        <w:rPr>
          <w:rStyle w:val="StringTok"/>
        </w:rPr>
        <w:t xml:space="preserve">"^APPLE COM"</w:t>
      </w:r>
      <w:r>
        <w:rPr>
          <w:rStyle w:val="NormalTok"/>
        </w:rPr>
        <w:t xml:space="preserve">)).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select(</w:t>
      </w:r>
      <w:r>
        <w:rPr>
          <w:rStyle w:val="StringTok"/>
        </w:rPr>
        <w:t xml:space="preserve">"permno"</w:t>
      </w:r>
      <w:r>
        <w:rPr>
          <w:rStyle w:val="NormalTok"/>
        </w:rPr>
        <w:t xml:space="preserve">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to_pandas().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permno[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From this we learn that Apple’s PERMNO is 14593.</w:t>
      </w:r>
      <w:r>
        <w:t xml:space="preserve"> </w:t>
      </w:r>
      <w:r>
        <w:t xml:space="preserve">I use this to apply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crsp.dsf</w:t>
      </w:r>
      <w:r>
        <w:t xml:space="preserve"> </w:t>
      </w:r>
      <w:r>
        <w:t xml:space="preserve">to get just those rows applicable to Apple, calculate the natural logarithm of gross return (I use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to set missing returns—if any—to zero).</w:t>
      </w:r>
      <w:r>
        <w:t xml:space="preserve"> </w:t>
      </w:r>
      <w:r>
        <w:t xml:space="preserve">I then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these returns over the window</w:t>
      </w:r>
      <w:r>
        <w:t xml:space="preserve"> </w:t>
      </w:r>
      <w:r>
        <w:rPr>
          <w:rStyle w:val="VerbatimChar"/>
        </w:rPr>
        <w:t xml:space="preserve">w</w:t>
      </w:r>
      <w:r>
        <w:t xml:space="preserve">.</w:t>
      </w:r>
      <w:r>
        <w:t xml:space="preserve"> </w:t>
      </w:r>
      <w:r>
        <w:t xml:space="preserve">Applying the aggregate function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in a window context turns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into a window function.</w:t>
      </w:r>
      <w:r>
        <w:t xml:space="preserve"> </w:t>
      </w:r>
      <w:r>
        <w:t xml:space="preserve">The window here partitions the data by</w:t>
      </w:r>
      <w:r>
        <w:t xml:space="preserve"> </w:t>
      </w:r>
      <w:r>
        <w:rPr>
          <w:rStyle w:val="VerbatimChar"/>
        </w:rPr>
        <w:t xml:space="preserve">permno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Ibis overloads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for this purpose) and sets the window to run all the way up the current row (while we give an argument to</w:t>
      </w:r>
      <w:r>
        <w:t xml:space="preserve"> </w:t>
      </w:r>
      <w:r>
        <w:rPr>
          <w:rStyle w:val="VerbatimChar"/>
        </w:rPr>
        <w:t xml:space="preserve">following</w:t>
      </w:r>
      <w:r>
        <w:t xml:space="preserve">, the argument to</w:t>
      </w:r>
      <w:r>
        <w:t xml:space="preserve"> </w:t>
      </w:r>
      <w:r>
        <w:rPr>
          <w:rStyle w:val="VerbatimChar"/>
        </w:rPr>
        <w:t xml:space="preserve">preceding</w:t>
      </w:r>
      <w:r>
        <w:t xml:space="preserve"> </w:t>
      </w:r>
      <w:r>
        <w:t xml:space="preserve">is not supplied and is therefore the default of</w:t>
      </w:r>
      <w:r>
        <w:t xml:space="preserve"> </w:t>
      </w:r>
      <w:r>
        <w:t xml:space="preserve">“</w:t>
      </w:r>
      <w:r>
        <w:t xml:space="preserve">all rows preceding</w:t>
      </w:r>
      <w:r>
        <w:t xml:space="preserve">”</w:t>
      </w:r>
      <w:r>
        <w:t xml:space="preserve"> </w:t>
      </w:r>
      <w:r>
        <w:t xml:space="preserve">in the window).</w:t>
      </w:r>
    </w:p>
    <w:p>
      <w:pPr>
        <w:pStyle w:val="BodyText"/>
      </w:pPr>
      <w:r>
        <w:t xml:space="preserve">Note that we import and use the special variable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  <w:r>
        <w:t xml:space="preserve"> </w:t>
      </w:r>
      <w:r>
        <w:t xml:space="preserve">In effect, this indicates the current data frame and allows us to refer to a column created in previous steps and not available in the underlying table (</w:t>
      </w:r>
      <w:r>
        <w:rPr>
          <w:rStyle w:val="VerbatimChar"/>
        </w:rPr>
        <w:t xml:space="preserve">crsp.dsf</w:t>
      </w:r>
      <w:r>
        <w:t xml:space="preserve"> </w:t>
      </w:r>
      <w:r>
        <w:t xml:space="preserve">in this case).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ibis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_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ibis.window(group_by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"permno"</w:t>
      </w:r>
      <w:r>
        <w:rPr>
          <w:rStyle w:val="NormalTok"/>
        </w:rPr>
        <w:t xml:space="preserve">, following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dsf.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(dsf.permno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apple_permno).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mutate(log_ret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coalesce(dsf.ret,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mutate(sum_ret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exp(_.log_ret.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().over(w))).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select(</w:t>
      </w:r>
      <w:r>
        <w:rPr>
          <w:rStyle w:val="StringTok"/>
        </w:rPr>
        <w:t xml:space="preserve">"permno"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"sum_ret"</w:t>
      </w:r>
      <w:r>
        <w:rPr>
          <w:rStyle w:val="NormalTok"/>
        </w:rPr>
        <w:t xml:space="preserve">).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to_pandas()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plot_data</w:t>
      </w:r>
      <w:r>
        <w:t xml:space="preserve"> </w:t>
      </w:r>
      <w:r>
        <w:t xml:space="preserve">in hand, we can make our plot, which can be seen in</w:t>
      </w:r>
      <w:r>
        <w:t xml:space="preserve"> </w:t>
      </w:r>
      <w:hyperlink w:anchor="fig-aapl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plt.plot(plot_data.date, plot_data.sum_ret)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3" w:name="fig-aapl"/>
          <w:p>
            <w:pPr>
              <w:jc w:val="center"/>
            </w:pPr>
            <w:r>
              <w:drawing>
                <wp:inline>
                  <wp:extent cx="5334000" cy="3996156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era_python_files/figure-docx/fig-aapl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996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Stock performance of Apple</w:t>
            </w:r>
          </w:p>
          <w:bookmarkEnd w:id="43"/>
        </w:tc>
      </w:tr>
    </w:tbl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Melbourne,</w:t>
      </w:r>
      <w:r>
        <w:t xml:space="preserve"> </w:t>
      </w:r>
      <w:hyperlink r:id="rId21">
        <w:r>
          <w:rPr>
            <w:rStyle w:val="Hyperlink"/>
          </w:rPr>
          <w:t xml:space="preserve">ian.gow@unimelb.edu.au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package</w:t>
      </w:r>
      <w:r>
        <w:t xml:space="preserve"> </w:t>
      </w:r>
      <w:r>
        <w:rPr>
          <w:rStyle w:val="VerbatimChar"/>
        </w:rPr>
        <w:t xml:space="preserve">dbplyr</w:t>
      </w:r>
      <w:r>
        <w:t xml:space="preserve"> </w:t>
      </w:r>
      <w:r>
        <w:t xml:space="preserve">provides a set of verbs for interacting with remote data sources, while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provides more or less the same verbs for interacting with tibbles and other local data frames.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Little would change with</w:t>
      </w:r>
      <w:r>
        <w:t xml:space="preserve"> </w:t>
      </w:r>
      <w:r>
        <w:rPr>
          <w:iCs/>
          <w:i/>
        </w:rPr>
        <w:t xml:space="preserve">Tidy Finance with R</w:t>
      </w:r>
      <w:r>
        <w:t xml:space="preserve"> </w:t>
      </w:r>
      <w:r>
        <w:t xml:space="preserve">if the data tables were instead stored as individual</w:t>
      </w:r>
      <w:r>
        <w:t xml:space="preserve"> </w:t>
      </w:r>
      <w:hyperlink r:id="rId28">
        <w:r>
          <w:rPr>
            <w:rStyle w:val="VerbatimChar"/>
          </w:rPr>
          <w:t xml:space="preserve">.rds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files</w:t>
        </w:r>
      </w:hyperlink>
      <w:r>
        <w:t xml:space="preserve">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Earlier versions of the code in fact took many minutes to run.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careful reader will notice that the R code in the book uses parquet data.</w:t>
      </w:r>
      <w:r>
        <w:t xml:space="preserve"> </w:t>
      </w:r>
      <w:r>
        <w:t xml:space="preserve">However a version that used a PostgreSQL database would be almost identical.</w:t>
      </w:r>
      <w:r>
        <w:t xml:space="preserve"> </w:t>
      </w:r>
      <w:r>
        <w:t xml:space="preserve">In itself, this nicely illustrates a key benefit of an approach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dbplyr</w:t>
      </w:r>
      <w:r>
        <w:t xml:space="preserve">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Remove the</w:t>
      </w:r>
      <w:r>
        <w:t xml:space="preserve"> </w:t>
      </w:r>
      <w:r>
        <w:rPr>
          <w:rStyle w:val="VerbatimChar"/>
        </w:rPr>
        <w:t xml:space="preserve">.to_pandas()</w:t>
      </w:r>
      <w:r>
        <w:t xml:space="preserve"> </w:t>
      </w:r>
      <w:r>
        <w:t xml:space="preserve">from the code to check this.</w:t>
      </w:r>
      <w:r>
        <w:t xml:space="preserve"> </w:t>
      </w:r>
      <w:r>
        <w:t xml:space="preserve">Given the line</w:t>
      </w:r>
      <w:r>
        <w:t xml:space="preserve"> </w:t>
      </w:r>
      <w:r>
        <w:rPr>
          <w:rStyle w:val="VerbatimChar"/>
        </w:rPr>
        <w:t xml:space="preserve">select("permno", "date", "ret")</w:t>
      </w:r>
      <w:r>
        <w:t xml:space="preserve"> </w:t>
      </w:r>
      <w:r>
        <w:t xml:space="preserve">prior to</w:t>
      </w:r>
      <w:r>
        <w:t xml:space="preserve"> </w:t>
      </w:r>
      <w:r>
        <w:rPr>
          <w:rStyle w:val="VerbatimChar"/>
        </w:rPr>
        <w:t xml:space="preserve">to_pandas()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[["permno", "date", "ret"]]</w:t>
      </w:r>
      <w:r>
        <w:t xml:space="preserve"> </w:t>
      </w:r>
      <w:r>
        <w:t xml:space="preserve">attached to the last line is not doing anything of consequence.</w:t>
      </w:r>
      <w:r>
        <w:t xml:space="preserve"> </w:t>
      </w:r>
      <w:r>
        <w:t xml:space="preserve">Try removing that portion of the code, or the</w:t>
      </w:r>
      <w:r>
        <w:t xml:space="preserve"> </w:t>
      </w:r>
      <w:r>
        <w:rPr>
          <w:rStyle w:val="VerbatimChar"/>
        </w:rPr>
        <w:t xml:space="preserve">select("permno", "date", "ret")</w:t>
      </w:r>
      <w:r>
        <w:t xml:space="preserve"> </w:t>
      </w:r>
      <w:r>
        <w:t xml:space="preserve">line to see the effects of doing so.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WRDS is currently working on a project to clean up data types in its database.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hyperlink" Id="rId35" Target="https://adv-r.hadley.nz/evaluation.html" TargetMode="External" /><Relationship Type="http://schemas.openxmlformats.org/officeDocument/2006/relationships/hyperlink" Id="rId33" Target="https://cran.r-project.org/web/packages/farr/index.html" TargetMode="External" /><Relationship Type="http://schemas.openxmlformats.org/officeDocument/2006/relationships/hyperlink" Id="rId23" Target="https://iangow.github.io/far_book/intro.html" TargetMode="External" /><Relationship Type="http://schemas.openxmlformats.org/officeDocument/2006/relationships/hyperlink" Id="rId36" Target="https://iangow.github.io/far_book/parquet-wrds.html#working-with-parquet-larger-data-sets" TargetMode="External" /><Relationship Type="http://schemas.openxmlformats.org/officeDocument/2006/relationships/hyperlink" Id="rId31" Target="https://iangow.github.io/far_book/r-intro.html" TargetMode="External" /><Relationship Type="http://schemas.openxmlformats.org/officeDocument/2006/relationships/hyperlink" Id="rId29" Target="https://iangow.github.io/far_book/rdd.html#bloomfield2021va" TargetMode="External" /><Relationship Type="http://schemas.openxmlformats.org/officeDocument/2006/relationships/hyperlink" Id="rId32" Target="https://iangow.github.io/far_book/reg-basics.html" TargetMode="External" /><Relationship Type="http://schemas.openxmlformats.org/officeDocument/2006/relationships/hyperlink" Id="rId22" Target="https://raw.githubusercontent.com/iangow/notes/main/era_python.qmd" TargetMode="External" /><Relationship Type="http://schemas.openxmlformats.org/officeDocument/2006/relationships/hyperlink" Id="rId28" Target="https://readr.tidyverse.org/reference/read_rds.html" TargetMode="External" /><Relationship Type="http://schemas.openxmlformats.org/officeDocument/2006/relationships/hyperlink" Id="rId34" Target="https://wesmckinney.com/blog/looking-back-15-years/" TargetMode="External" /><Relationship Type="http://schemas.openxmlformats.org/officeDocument/2006/relationships/hyperlink" Id="rId24" Target="https://www.tidy-finance.org" TargetMode="External" /><Relationship Type="http://schemas.openxmlformats.org/officeDocument/2006/relationships/hyperlink" Id="rId26" Target="https://www.tidy-finance.org/python/accessing-and-managing-financial-data.html" TargetMode="External" /><Relationship Type="http://schemas.openxmlformats.org/officeDocument/2006/relationships/hyperlink" Id="rId21" Target="mailto:ian.gow@unimelb.edu.a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adv-r.hadley.nz/evaluation.html" TargetMode="External" /><Relationship Type="http://schemas.openxmlformats.org/officeDocument/2006/relationships/hyperlink" Id="rId33" Target="https://cran.r-project.org/web/packages/farr/index.html" TargetMode="External" /><Relationship Type="http://schemas.openxmlformats.org/officeDocument/2006/relationships/hyperlink" Id="rId23" Target="https://iangow.github.io/far_book/intro.html" TargetMode="External" /><Relationship Type="http://schemas.openxmlformats.org/officeDocument/2006/relationships/hyperlink" Id="rId36" Target="https://iangow.github.io/far_book/parquet-wrds.html#working-with-parquet-larger-data-sets" TargetMode="External" /><Relationship Type="http://schemas.openxmlformats.org/officeDocument/2006/relationships/hyperlink" Id="rId31" Target="https://iangow.github.io/far_book/r-intro.html" TargetMode="External" /><Relationship Type="http://schemas.openxmlformats.org/officeDocument/2006/relationships/hyperlink" Id="rId29" Target="https://iangow.github.io/far_book/rdd.html#bloomfield2021va" TargetMode="External" /><Relationship Type="http://schemas.openxmlformats.org/officeDocument/2006/relationships/hyperlink" Id="rId32" Target="https://iangow.github.io/far_book/reg-basics.html" TargetMode="External" /><Relationship Type="http://schemas.openxmlformats.org/officeDocument/2006/relationships/hyperlink" Id="rId22" Target="https://raw.githubusercontent.com/iangow/notes/main/era_python.qmd" TargetMode="External" /><Relationship Type="http://schemas.openxmlformats.org/officeDocument/2006/relationships/hyperlink" Id="rId28" Target="https://readr.tidyverse.org/reference/read_rds.html" TargetMode="External" /><Relationship Type="http://schemas.openxmlformats.org/officeDocument/2006/relationships/hyperlink" Id="rId34" Target="https://wesmckinney.com/blog/looking-back-15-years/" TargetMode="External" /><Relationship Type="http://schemas.openxmlformats.org/officeDocument/2006/relationships/hyperlink" Id="rId24" Target="https://www.tidy-finance.org" TargetMode="External" /><Relationship Type="http://schemas.openxmlformats.org/officeDocument/2006/relationships/hyperlink" Id="rId26" Target="https://www.tidy-finance.org/python/accessing-and-managing-financial-data.html" TargetMode="External" /><Relationship Type="http://schemas.openxmlformats.org/officeDocument/2006/relationships/hyperlink" Id="rId21" Target="mailto:ian.gow@unimelb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Empirical Research in Accounting with Python</dc:title>
  <dc:creator>Ian D. Gow</dc:creator>
  <cp:keywords/>
  <dcterms:created xsi:type="dcterms:W3CDTF">2023-12-21T16:48:23Z</dcterms:created>
  <dcterms:modified xsi:type="dcterms:W3CDTF">2023-12-21T16:48:23Z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Recent developments in Python led me to do some research into the possibility of translating Empirical Research in Accounting: Tools and Methods from R to Python. As discussed below, I think it would be possible to do this without completely losing the elegance and efficiency of the current approach. Nonetheless, a significant amount of work would be required and this could not happen before 2024. In the meantime, I recommend Python users interested in our book to consider learning a little R.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papers.bib</vt:lpwstr>
  </property>
  <property fmtid="{D5CDD505-2E9C-101B-9397-08002B2CF9AE}" pid="6" name="by-author">
    <vt:lpwstr/>
  </property>
  <property fmtid="{D5CDD505-2E9C-101B-9397-08002B2CF9AE}" pid="7" name="csl">
    <vt:lpwstr>jfe.csl</vt:lpwstr>
  </property>
  <property fmtid="{D5CDD505-2E9C-101B-9397-08002B2CF9AE}" pid="8" name="date">
    <vt:lpwstr>21 December 2023</vt:lpwstr>
  </property>
  <property fmtid="{D5CDD505-2E9C-101B-9397-08002B2CF9AE}" pid="9" name="date-format">
    <vt:lpwstr>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itle-block-style">
    <vt:lpwstr>plain</vt:lpwstr>
  </property>
  <property fmtid="{D5CDD505-2E9C-101B-9397-08002B2CF9AE}" pid="15" name="toc-title">
    <vt:lpwstr>Table of contents</vt:lpwstr>
  </property>
</Properties>
</file>