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Operations reference</w:t>
      </w:r>
    </w:p>
    <w:p>
      <w:r>
        <w:t>Estate improvement pilot · Reference date: 22 September 2026</w:t>
        <w:br/>
        <w:t>Fictional workshop assumptions for planning, not procurement quotations.</w:t>
      </w:r>
    </w:p>
    <w:p>
      <w:pPr>
        <w:pStyle w:val="Heading1"/>
      </w:pPr>
      <w:r>
        <w:t>Decision and working boundaries</w:t>
      </w:r>
    </w:p>
    <w:p>
      <w:r>
        <w:t>Recommend three priorities across six towns for the 29 September review. The S$60,000 pilot envelope is provisional. No works or spending are approved. Check asset ownership and the responsible Agency or Town Council before routing a case. Do not infer jurisdiction from the photograph or town alone.</w:t>
      </w:r>
    </w:p>
    <w:p>
      <w:pPr>
        <w:pStyle w:val="Heading1"/>
      </w:pPr>
      <w:r>
        <w:t>People and milestones</w:t>
      </w:r>
    </w:p>
    <w:p>
      <w:pPr>
        <w:pStyle w:val="ListBullet"/>
      </w:pPr>
      <w:r>
        <w:t>Asha, team lead: consolidate the proposal and seek the senior director’s decision after the review.</w:t>
      </w:r>
    </w:p>
    <w:p>
      <w:pPr>
        <w:pStyle w:val="ListBullet"/>
      </w:pPr>
      <w:r>
        <w:t>Mei, operations: coordinate C001 inspection by 26 September; confirm ownership and technical constraints.</w:t>
      </w:r>
    </w:p>
    <w:p>
      <w:pPr>
        <w:pStyle w:val="ListBullet"/>
      </w:pPr>
      <w:r>
        <w:t>Farah, resident liaison: assemble inspection questions by 25 September.</w:t>
      </w:r>
    </w:p>
    <w:p>
      <w:pPr>
        <w:pStyle w:val="ListBullet"/>
      </w:pPr>
      <w:r>
        <w:t>Daniel, analyst: deliver the historical analysis and revised priorities by 29 September.</w:t>
      </w:r>
    </w:p>
    <w:p>
      <w:pPr>
        <w:pStyle w:val="ListBullet"/>
      </w:pPr>
      <w:r>
        <w:t>Ravi, finance: review cost ranges and shared costs by 29 September.</w:t>
      </w:r>
    </w:p>
    <w:p>
      <w:pPr>
        <w:pStyle w:val="ListBullet"/>
      </w:pPr>
      <w:r>
        <w:t>Senior director: receives the summary and decides on the proposal. Select the actual recipient in the participant’s email account; no source address is authorised for sending.</w:t>
      </w:r>
    </w:p>
    <w:p>
      <w:pPr>
        <w:pStyle w:val="Heading1"/>
      </w:pPr>
      <w:r>
        <w:t>How to compare options</w:t>
      </w:r>
    </w:p>
    <w:p>
      <w:r>
        <w:t>Use safety/access severity, persistence, distinct-case recurrence, feasibility, delivery time and cost. State the weighting and show how rankings change if weights change. Unknown severity or cost remains unknown. A proposal can be high priority but still require inspection before implementation.</w:t>
      </w:r>
    </w:p>
    <w:p>
      <w:pPr>
        <w:pStyle w:val="Heading1"/>
      </w:pPr>
      <w:r>
        <w:t>Interpreting the image</w:t>
      </w:r>
    </w:p>
    <w:p>
      <w:r>
        <w:t>site-photo-R001.png is linked only to R001/C001. Separate what is visible (a level change, wet surface, path and lighting fixtures) from resident claims and proposed changes. Retain the original photograph. Annotate a generated copy with callouts and a legend; do not depict a completed repair as evidence.</w:t>
      </w:r>
    </w:p>
    <w:p>
      <w:r>
        <w:br w:type="page"/>
      </w:r>
    </w:p>
    <w:p>
      <w:pPr>
        <w:pStyle w:val="Heading1"/>
      </w:pPr>
      <w:r>
        <w:t>Planning cost ranges</w:t>
      </w:r>
    </w:p>
    <w:p>
      <w:r>
        <w:t>SGD per C001-sized intervention, including tax, excluding contingency. Ranges are illustrative planning inputs. Choose quantities explicitly. Lead times start after approval and depend on ownership and technical checks.</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Option</w:t>
            </w:r>
          </w:p>
        </w:tc>
        <w:tc>
          <w:tcPr>
            <w:tcW w:type="dxa" w:w="3312"/>
          </w:tcPr>
          <w:p>
            <w:r>
              <w:t>Base range (S$)</w:t>
            </w:r>
          </w:p>
        </w:tc>
        <w:tc>
          <w:tcPr>
            <w:tcW w:type="dxa" w:w="3312"/>
          </w:tcPr>
          <w:p>
            <w:r>
              <w:t>Feasibility / indicative time</w:t>
            </w:r>
          </w:p>
        </w:tc>
      </w:tr>
      <w:tr>
        <w:tc>
          <w:tcPr>
            <w:tcW w:type="dxa" w:w="3312"/>
          </w:tcPr>
          <w:p>
            <w:r>
              <w:t>Access, drainage and lighting survey (one combined site visit)</w:t>
            </w:r>
          </w:p>
        </w:tc>
        <w:tc>
          <w:tcPr>
            <w:tcW w:type="dxa" w:w="3312"/>
          </w:tcPr>
          <w:p>
            <w:r>
              <w:t>800–1,500</w:t>
            </w:r>
          </w:p>
        </w:tc>
        <w:tc>
          <w:tcPr>
            <w:tcW w:type="dxa" w:w="3312"/>
          </w:tcPr>
          <w:p>
            <w:r>
              <w:t>High; 1 week; confirm access and asset owner</w:t>
            </w:r>
          </w:p>
        </w:tc>
      </w:tr>
      <w:tr>
        <w:tc>
          <w:tcPr>
            <w:tcW w:type="dxa" w:w="3312"/>
          </w:tcPr>
          <w:p>
            <w:r>
              <w:t>Step-edge contrast and anti-slip treatment (one small zone)</w:t>
            </w:r>
          </w:p>
        </w:tc>
        <w:tc>
          <w:tcPr>
            <w:tcW w:type="dxa" w:w="3312"/>
          </w:tcPr>
          <w:p>
            <w:r>
              <w:t>1,500–3,000</w:t>
            </w:r>
          </w:p>
        </w:tc>
        <w:tc>
          <w:tcPr>
            <w:tcW w:type="dxa" w:w="3312"/>
          </w:tcPr>
          <w:p>
            <w:r>
              <w:t>Medium; 1–2 weeks; grip/material assessment</w:t>
            </w:r>
          </w:p>
        </w:tc>
      </w:tr>
      <w:tr>
        <w:tc>
          <w:tcPr>
            <w:tcW w:type="dxa" w:w="3312"/>
          </w:tcPr>
          <w:p>
            <w:r>
              <w:t>Drain inspection and clearance (one inlet)</w:t>
            </w:r>
          </w:p>
        </w:tc>
        <w:tc>
          <w:tcPr>
            <w:tcW w:type="dxa" w:w="3312"/>
          </w:tcPr>
          <w:p>
            <w:r>
              <w:t>1,000–2,500</w:t>
            </w:r>
          </w:p>
        </w:tc>
        <w:tc>
          <w:tcPr>
            <w:tcW w:type="dxa" w:w="3312"/>
          </w:tcPr>
          <w:p>
            <w:r>
              <w:t>High; 1–2 weeks; repair/regrading excluded</w:t>
            </w:r>
          </w:p>
        </w:tc>
      </w:tr>
      <w:tr>
        <w:tc>
          <w:tcPr>
            <w:tcW w:type="dxa" w:w="3312"/>
          </w:tcPr>
          <w:p>
            <w:r>
              <w:t>Lighting test and minor fixture repair (up to two fixtures)</w:t>
            </w:r>
          </w:p>
        </w:tc>
        <w:tc>
          <w:tcPr>
            <w:tcW w:type="dxa" w:w="3312"/>
          </w:tcPr>
          <w:p>
            <w:r>
              <w:t>1,200–3,000</w:t>
            </w:r>
          </w:p>
        </w:tc>
        <w:tc>
          <w:tcPr>
            <w:tcW w:type="dxa" w:w="3312"/>
          </w:tcPr>
          <w:p>
            <w:r>
              <w:t>Medium; 1–3 weeks; electrical checks</w:t>
            </w:r>
          </w:p>
        </w:tc>
      </w:tr>
      <w:tr>
        <w:tc>
          <w:tcPr>
            <w:tcW w:type="dxa" w:w="3312"/>
          </w:tcPr>
          <w:p>
            <w:r>
              <w:t>Step-free ramp (one short connection)</w:t>
            </w:r>
          </w:p>
        </w:tc>
        <w:tc>
          <w:tcPr>
            <w:tcW w:type="dxa" w:w="3312"/>
          </w:tcPr>
          <w:p>
            <w:r>
              <w:t>10,000–18,000</w:t>
            </w:r>
          </w:p>
        </w:tc>
        <w:tc>
          <w:tcPr>
            <w:tcW w:type="dxa" w:w="3312"/>
          </w:tcPr>
          <w:p>
            <w:r>
              <w:t>Requires site checks; 4–8 weeks; gradient, services and permissions</w:t>
            </w:r>
          </w:p>
        </w:tc>
      </w:tr>
      <w:tr>
        <w:tc>
          <w:tcPr>
            <w:tcW w:type="dxa" w:w="3312"/>
          </w:tcPr>
          <w:p>
            <w:r>
              <w:t>Shared mobilisation (once for works at one site)</w:t>
            </w:r>
          </w:p>
        </w:tc>
        <w:tc>
          <w:tcPr>
            <w:tcW w:type="dxa" w:w="3312"/>
          </w:tcPr>
          <w:p>
            <w:r>
              <w:t>1,000–2,000</w:t>
            </w:r>
          </w:p>
        </w:tc>
        <w:tc>
          <w:tcPr>
            <w:tcW w:type="dxa" w:w="3312"/>
          </w:tcPr>
          <w:p>
            <w:r>
              <w:t>Add once across a combined works package</w:t>
            </w:r>
          </w:p>
        </w:tc>
      </w:tr>
    </w:tbl>
    <w:p>
      <w:r>
        <w:t>Budget method: sum chosen quantities at low/high unit ranges, add shared mobilisation once where works are proposed, then apply 15% contingency once to each combined base total. Show both the base range and contingency separately. Surveys alone do not require works mobilisation. A ramp and surface treatment may overlap; confirm scope before combining them.</w:t>
      </w:r>
    </w:p>
    <w:p>
      <w:r>
        <w:t>Compare proposals with historical case estimates and actual costs separately. Existing case costs are evidence of past work and recorded needs; do not add them to a new proposal unless the scope genuinely includes those same interventions. Explain exclusions, unknown quantities and any package above S$60,000.</w:t>
      </w:r>
    </w:p>
    <w:p>
      <w:r>
        <w:br w:type="page"/>
      </w:r>
    </w:p>
    <w:p>
      <w:pPr>
        <w:pStyle w:val="Heading1"/>
      </w:pPr>
      <w:r>
        <w:t>Data and daily updates</w:t>
      </w:r>
    </w:p>
    <w:p>
      <w:r>
        <w:t>citizen_feedback.xlsx is a 22 September snapshot. Cases has one record per case; Reports contains contacts and repeated imports. Preserve original IDs, deduplicate exact repeated report IDs, review conflicting versions, validate dates and document missing values. Join comments without duplicating the case-level cost totals.</w:t>
      </w:r>
    </w:p>
    <w:p>
      <w:r>
        <w:t>Use the narrative fields to inspect sub-topics within broad categories. For example, reports about Lighting may concern a dark section, intermittent flicker or shadows. A generated summary must cite the selected source report/case IDs, distinguish claims from verified findings and not invent counts.</w:t>
      </w:r>
    </w:p>
    <w:p>
      <w:pPr>
        <w:pStyle w:val="Heading1"/>
      </w:pPr>
      <w:r>
        <w:t>Daily summary rehearsal</w:t>
      </w:r>
    </w:p>
    <w:p>
      <w:r>
        <w:t>daily_email_updates.xlsx supplies Messages, Processed and Read_me. Start with the existing processed-message ledger. Deduplicate by message_id, retain new replies within a thread, exclude unrelated messages and flag new issues lacking a case reference. Re-run the same batch to confirm no duplicate actions or summaries.</w:t>
      </w:r>
    </w:p>
    <w:p>
      <w:r>
        <w:t>For a live daily task, first select the actual mailbox label/folder or sender/subject scope, initial lookback and timezone. Use 09:00 Asia/Singapore if no other preference is given. Save a schedule only when the integration and durable state support it. Show a first-run result, the saved schedule and how to stop it. Report limitations honestly.</w:t>
      </w:r>
    </w:p>
    <w:p>
      <w:pPr>
        <w:pStyle w:val="Heading1"/>
      </w:pPr>
      <w:r>
        <w:t>Communicating status</w:t>
      </w:r>
    </w:p>
    <w:p>
      <w:r>
        <w:t>The leadership email should be brief: purpose, key points, agreed decisions, proposed priorities and cost range, material risks, next actions and the decision requested. Confirm the actual recipient and review the exact email before sending. Record whether it was sent or only drafted.</w:t>
      </w:r>
    </w:p>
    <w:p>
      <w:r>
        <w:t>The final project site is a colleague-facing status page. Include an as-of timestamp, evidence snapshot date, proposal version, action owners/dates and confirmed status. Use reviewed summaries; omit raw mailbox bodies and credentials. If the site is a snapshot, label it clearly and explain how to refresh it. Do not claim live synchronisation unless implemented and tested.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Estate improvement review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