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grant criteria discussion transcript</w:t>
      </w:r>
    </w:p>
    <w:p>
      <w:r>
        <w:t>Enterprise Singapore workshop role play</w:t>
        <w:br/>
        <w:t>22 September 2026</w:t>
        <w:br/>
        <w:t>Read this discussion to extract proposed criteria, agreed constraints, unresolved questions and a final scoring proposal. All people, scheme terms and company data in this pack are fictional training material.</w:t>
      </w:r>
    </w:p>
    <w:p>
      <w:pPr>
        <w:pStyle w:val="Heading1"/>
      </w:pPr>
      <w:r>
        <w:t>Programme purpose and eligibility</w:t>
      </w:r>
    </w:p>
    <w:p>
      <w:r>
        <w:rPr>
          <w:b/>
        </w:rPr>
        <w:t xml:space="preserve">T01 · Lina, programme chair  </w:t>
      </w:r>
      <w:r>
        <w:t>We are an Enterprise Singapore team designing an AI startup grant exercise. We need to summarise today’s proposed criteria, resolve a scoring approach and evaluate twenty proposals. This is a fictional workshop scheme, not a published funding programme.</w:t>
      </w:r>
    </w:p>
    <w:p>
      <w:r>
        <w:rPr>
          <w:b/>
        </w:rPr>
        <w:t xml:space="preserve">T02 · Dev, innovation lead  </w:t>
      </w:r>
      <w:r>
        <w:t>I want additional capability, not funding for ordinary software replacement. The proposal must show where AI is central, what baseline it improves on and why the result is worth supporting. An impressive demo alone is weak evidence.</w:t>
      </w:r>
    </w:p>
    <w:p>
      <w:r>
        <w:rPr>
          <w:b/>
        </w:rPr>
        <w:t xml:space="preserve">T03 · Sofia, commercial lead  </w:t>
      </w:r>
      <w:r>
        <w:t>Customer demand matters just as much. A pilot customer who pays and has a deployment owner is different from an expression of interest. Revenue projections should be supported, but we should not automatically favour a large incumbent over an early startup.</w:t>
      </w:r>
    </w:p>
    <w:p>
      <w:r>
        <w:rPr>
          <w:b/>
        </w:rPr>
        <w:t xml:space="preserve">T04 · Marcus, finance  </w:t>
      </w:r>
      <w:r>
        <w:t>For this exercise I propose a S$1.25 million envelope for up to five awards, capped at S$250,000 each and 50% of eligible project cost excluding GST. An award is a conditional commitment; it is not money paid on the acceptance date.</w:t>
      </w:r>
    </w:p>
    <w:p>
      <w:r>
        <w:rPr>
          <w:b/>
        </w:rPr>
        <w:t xml:space="preserve">T05 · Lina  </w:t>
      </w:r>
      <w:r>
        <w:t>Agreed on those exercise funding limits. Do not distribute money simply to exhaust the envelope. The company must demonstrate cash for the remaining project cost; missing proof should be a hold, not a made-up zero or automatic pass.</w:t>
      </w:r>
    </w:p>
    <w:p>
      <w:r>
        <w:rPr>
          <w:b/>
        </w:rPr>
        <w:t xml:space="preserve">T06 · Mei, programme operations  </w:t>
      </w:r>
      <w:r>
        <w:t>Proposed gates: incorporated in Singapore, at least 30% local equity, AI central to the project, no duplicate public funding of the same costs, and adequate matching cash. These are our workshop assumptions. We must verify current official terms separately before treating anything as real policy.</w:t>
      </w:r>
    </w:p>
    <w:p>
      <w:r>
        <w:rPr>
          <w:b/>
        </w:rPr>
        <w:t xml:space="preserve">T07 · Arun, responsible AI  </w:t>
      </w:r>
      <w:r>
        <w:t>Unresolved rights to essential data are also a reason to hold. We can accept proportionate controls, but not assume that a list of intended security measures means a review has been completed.</w:t>
      </w:r>
    </w:p>
    <w:p>
      <w:r>
        <w:rPr>
          <w:b/>
        </w:rPr>
        <w:t xml:space="preserve">T08 · Lina  </w:t>
      </w:r>
      <w:r>
        <w:t>Agreed: separate eligibility from scored merit. Use Eligible, Hold for evidence or Ineligible, with a reason and source. Do not let a high merit score override a failed gate.</w:t>
      </w:r>
    </w:p>
    <w:p>
      <w:r>
        <w:br w:type="page"/>
      </w:r>
    </w:p>
    <w:p>
      <w:pPr>
        <w:pStyle w:val="Heading1"/>
      </w:pPr>
      <w:r>
        <w:t>Proposed criteria and scoring tradeoffs</w:t>
      </w:r>
    </w:p>
    <w:p>
      <w:r>
        <w:rPr>
          <w:b/>
        </w:rPr>
        <w:t xml:space="preserve">T09 · Dev  </w:t>
      </w:r>
      <w:r>
        <w:t>My starting allocation is 30 points for innovation, 20 for commercial potential, 20 for execution, 20 for Singapore impact and 10 for responsible deployment. We need anchors so reviewers do not just give every polished deck a four out of five.</w:t>
      </w:r>
    </w:p>
    <w:p>
      <w:r>
        <w:rPr>
          <w:b/>
        </w:rPr>
        <w:t xml:space="preserve">T10 · Arun  </w:t>
      </w:r>
      <w:r>
        <w:t>Ten points may understate the work needed for data rights, security, human review, monitoring and escalation. I suggest moving five points from innovation to responsible deployment. Some projects have much greater consequences than others.</w:t>
      </w:r>
    </w:p>
    <w:p>
      <w:r>
        <w:rPr>
          <w:b/>
        </w:rPr>
        <w:t xml:space="preserve">T11 · Sofia  </w:t>
      </w:r>
      <w:r>
        <w:t>I support that as a working option: innovation 25, commercial potential 20, execution and financial readiness 20, Singapore impact 20, responsible deployment 15. That totals 100, but we have not yet adopted it as the final rubric.</w:t>
      </w:r>
    </w:p>
    <w:p>
      <w:r>
        <w:rPr>
          <w:b/>
        </w:rPr>
        <w:t xml:space="preserve">T12 · Dev  </w:t>
      </w:r>
      <w:r>
        <w:t>For innovation, compare the claimed gain with an appropriate baseline and consider the evaluation design. A 25% improvement in route distance is not comparable with 25% improved extraction precision. We must inspect the underlying metric and verification.</w:t>
      </w:r>
    </w:p>
    <w:p>
      <w:r>
        <w:rPr>
          <w:b/>
        </w:rPr>
        <w:t xml:space="preserve">T13 · Sofia  </w:t>
      </w:r>
      <w:r>
        <w:t>For commercial potential, consider paying pilot customers, a credible customer problem, a route to market and substantiated revenue assumptions. Current revenue alone should not become a hidden eligibility threshold.</w:t>
      </w:r>
    </w:p>
    <w:p>
      <w:r>
        <w:rPr>
          <w:b/>
        </w:rPr>
        <w:t xml:space="preserve">T14 · Mei  </w:t>
      </w:r>
      <w:r>
        <w:t>Execution should cover technical maturity, delivery ownership, milestones, dependencies, budget rationale and runway. Readiness is a one-to-nine maturity scale, not the final grant score. Matching cash is an eligibility condition as well as evidence of readiness.</w:t>
      </w:r>
    </w:p>
    <w:p>
      <w:r>
        <w:rPr>
          <w:b/>
        </w:rPr>
        <w:t xml:space="preserve">T15 · Marcus  </w:t>
      </w:r>
      <w:r>
        <w:t>Singapore impact should assess measurable local capability, productivity and credible company-level job targets. We should not pay solely for the largest promised number. Ask who will measure each target, by when and against what baseline.</w:t>
      </w:r>
    </w:p>
    <w:p>
      <w:r>
        <w:rPr>
          <w:b/>
        </w:rPr>
        <w:t xml:space="preserve">T16 · Arun  </w:t>
      </w:r>
      <w:r>
        <w:t>Responsible deployment should assess risk-specific evidence. A missing test report is not proof of a failure, but it limits confidence. Do not reward generic safety wording that is unrelated to the proposed use case.</w:t>
      </w:r>
    </w:p>
    <w:p>
      <w:r>
        <w:br w:type="page"/>
      </w:r>
    </w:p>
    <w:p>
      <w:pPr>
        <w:pStyle w:val="Heading1"/>
      </w:pPr>
      <w:r>
        <w:t>Evidence ratings and allocation decisions</w:t>
      </w:r>
    </w:p>
    <w:p>
      <w:r>
        <w:rPr>
          <w:b/>
        </w:rPr>
        <w:t xml:space="preserve">T17 · Lina  </w:t>
      </w:r>
      <w:r>
        <w:t>Use a zero-to-five rating per criterion, then rating divided by five times its weight. Define what 0, 1, 3 and 5 mean, with 2 and 4 as justified intermediate levels. Record the evidence and uncertainty with every rating.</w:t>
      </w:r>
    </w:p>
    <w:p>
      <w:r>
        <w:rPr>
          <w:b/>
        </w:rPr>
        <w:t xml:space="preserve">T18 · Mei  </w:t>
      </w:r>
      <w:r>
        <w:t>Zero can mean evidence shows the criterion is unmet. Missing evidence should be explicitly marked Not evidenced, with a clarification or provisional rating rule. Otherwise reviewers confuse unknown with poor performance.</w:t>
      </w:r>
    </w:p>
    <w:p>
      <w:r>
        <w:rPr>
          <w:b/>
        </w:rPr>
        <w:t xml:space="preserve">T19 · Dev  </w:t>
      </w:r>
      <w:r>
        <w:t>For a five, I want strong relevant evidence with a credible evaluation. Three is credible but has material gaps; one is largely an unsupported claim. We should tailor these anchors to each criterion rather than rely on one generic sentence.</w:t>
      </w:r>
    </w:p>
    <w:p>
      <w:r>
        <w:rPr>
          <w:b/>
        </w:rPr>
        <w:t xml:space="preserve">T20 · Marcus  </w:t>
      </w:r>
      <w:r>
        <w:t>I suggest a 70 out of 100 recommendation threshold and no responsible-deployment rating below 3. Those are proposals for the rubric owner to settle, not already-agreed programme rules. Thresholds should not be adjusted after seeing which companies win.</w:t>
      </w:r>
    </w:p>
    <w:p>
      <w:r>
        <w:rPr>
          <w:b/>
        </w:rPr>
        <w:t xml:space="preserve">T21 · Sofia  </w:t>
      </w:r>
      <w:r>
        <w:t>If two companies tie, perhaps compare Singapore impact first, then innovation evidence, then the lower justified grant request. If they still tie, refer to the panel instead of inventing a preference. We should explain why the sixth company is not in the first five.</w:t>
      </w:r>
    </w:p>
    <w:p>
      <w:r>
        <w:rPr>
          <w:b/>
        </w:rPr>
        <w:t xml:space="preserve">T22 · Lina  </w:t>
      </w:r>
      <w:r>
        <w:t>We need one final rubric version before opening the cohort assessment. Research may add or refine criteria, but map any additions into the existing structure or explain the new weights. Do not double-count the same evidence under several criteria.</w:t>
      </w:r>
    </w:p>
    <w:p>
      <w:r>
        <w:rPr>
          <w:b/>
        </w:rPr>
        <w:t xml:space="preserve">T23 · Marcus  </w:t>
      </w:r>
      <w:r>
        <w:t>Recommend an amount for each shortlisted project with the cost basis. The cap is a maximum, not an automatic entitlement. Do not silently reduce scope or assume a company can replace a reduced grant with extra cash.</w:t>
      </w:r>
    </w:p>
    <w:p>
      <w:r>
        <w:rPr>
          <w:b/>
        </w:rPr>
        <w:t xml:space="preserve">T24 · Mei  </w:t>
      </w:r>
      <w:r>
        <w:t>Our files will include all twenty companies, narrative proposals and proposed milestones. Please return an editable recommendation document with the ranked shortlist and an appendix covering every application, including holds and exclusions.</w:t>
      </w:r>
    </w:p>
    <w:p>
      <w:r>
        <w:br w:type="page"/>
      </w:r>
    </w:p>
    <w:p>
      <w:pPr>
        <w:pStyle w:val="Heading1"/>
      </w:pPr>
      <w:r>
        <w:t>Historical evidence and communication</w:t>
      </w:r>
    </w:p>
    <w:p>
      <w:r>
        <w:rPr>
          <w:b/>
        </w:rPr>
        <w:t xml:space="preserve">T25 · Daniel, portfolio analyst  </w:t>
      </w:r>
      <w:r>
        <w:t>We also have three hundred previous awards. I can analyse commitments versus disbursements, delivery timeliness, cost variance and twelve-month outcomes by sector, stage, readiness and evidence quality. The archive only includes awards, so it cannot tell us the historical approval rate.</w:t>
      </w:r>
    </w:p>
    <w:p>
      <w:r>
        <w:rPr>
          <w:b/>
        </w:rPr>
        <w:t xml:space="preserve">T26 · Sofia  </w:t>
      </w:r>
      <w:r>
        <w:t>Show how the current twenty compare with historical submission-stage inputs: project size, requested support, readiness, paid pilots, runway and targets. Do not place today’s forecast next to a past achieved result and label both as actual performance.</w:t>
      </w:r>
    </w:p>
    <w:p>
      <w:r>
        <w:rPr>
          <w:b/>
        </w:rPr>
        <w:t xml:space="preserve">T27 · Daniel  </w:t>
      </w:r>
      <w:r>
        <w:t>Recent awards may not have reached the twelve-month measurement date. Some reports are missing. I will show coverage and use comparable periods; raw averages across mature and immature projects would mislead us.</w:t>
      </w:r>
    </w:p>
    <w:p>
      <w:r>
        <w:rPr>
          <w:b/>
        </w:rPr>
        <w:t xml:space="preserve">T28 · Arun  </w:t>
      </w:r>
      <w:r>
        <w:t>Patterns can guide due diligence, but they do not prove the grant caused revenue or productivity gains. Without comparable archived rubric scores, do not invent historical scores just to make a chart look complete.</w:t>
      </w:r>
    </w:p>
    <w:p>
      <w:r>
        <w:rPr>
          <w:b/>
        </w:rPr>
        <w:t xml:space="preserve">T29 · Lina  </w:t>
      </w:r>
      <w:r>
        <w:t>After the analysis, explain any changes to due-diligence questions or recommendation confidence. Keep the rubric frozen. A material criteria change would require reassessing all twenty transparently, not just our favourites.</w:t>
      </w:r>
    </w:p>
    <w:p>
      <w:r>
        <w:rPr>
          <w:b/>
        </w:rPr>
        <w:t xml:space="preserve">T30 · Mei  </w:t>
      </w:r>
      <w:r>
        <w:t>For the email exercise, assume the reviewed top five are selected. Personalise each acceptance with the company, contact, project, conditional amount, milestone evidence and next steps. Use approved exercise recipients; the workbook addresses use .example and cannot receive mail.</w:t>
      </w:r>
    </w:p>
    <w:p>
      <w:r>
        <w:rPr>
          <w:b/>
        </w:rPr>
        <w:t xml:space="preserve">T31 · Marcus  </w:t>
      </w:r>
      <w:r>
        <w:t>Ask for acceptance of the terms within fourteen calendar days of the actual issue date. The proposed start is 15 January 2027, conditional on the agreement. Payment shares are 20%, 40% and 40% after evidence review. Do not promise immediate payment or an unconditional start.</w:t>
      </w:r>
    </w:p>
    <w:p>
      <w:r>
        <w:rPr>
          <w:b/>
        </w:rPr>
        <w:t xml:space="preserve">T32 · Lina  </w:t>
      </w:r>
      <w:r>
        <w:t>The final site should explain the flow from submitted to eligibility review, scored, shortlisted, selected, notified, accepted and funded. Selection, a sent email, accepted terms and money paid are distinct events. Show the dashboard and the actual stage reached for each company.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AI grants workshop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