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grant exercise reference</w:t>
      </w:r>
    </w:p>
    <w:p>
      <w:r>
        <w:t>Reference for the criteria, assessment and communication tasks</w:t>
        <w:br/>
        <w:t>Use this reference with the discussion transcript and the two Excel workbooks. These are fictional workshop rules, not official Enterprise Singapore grant terms.</w:t>
      </w:r>
    </w:p>
    <w:p>
      <w:pPr>
        <w:pStyle w:val="Heading1"/>
      </w:pPr>
      <w:r>
        <w:t>Agreed exercise boundaries</w:t>
      </w:r>
    </w:p>
    <w:p>
      <w:pPr>
        <w:pStyle w:val="ListBullet"/>
      </w:pPr>
      <w:r>
        <w:t>Assess business proposals for an AI startup pilot; no real award is made by completing the workshop.</w:t>
      </w:r>
    </w:p>
    <w:p>
      <w:pPr>
        <w:pStyle w:val="ListBullet"/>
      </w:pPr>
      <w:r>
        <w:t>Funding envelope S$1.25 million; up to five awards; no more than S$250,000 or 50% of eligible project cost per award. All amounts exclude GST. Unused budget is permitted.</w:t>
      </w:r>
    </w:p>
    <w:p>
      <w:pPr>
        <w:pStyle w:val="ListBullet"/>
      </w:pPr>
      <w:r>
        <w:t>Eligibility gates: Singapore incorporation; local equity at least 30%; AI central to scope; no overlapping public funding of the same costs; matching cash for the balance; evidence of rights to essential data.</w:t>
      </w:r>
    </w:p>
    <w:p>
      <w:pPr>
        <w:pStyle w:val="ListBullet"/>
      </w:pPr>
      <w:r>
        <w:t>Failed gates are Ineligible. Missing or unresolved evidence is Hold for evidence. Neither can be rescued by a high score. Record the source and the precise gap.</w:t>
      </w:r>
    </w:p>
    <w:p>
      <w:pPr>
        <w:pStyle w:val="ListBullet"/>
      </w:pPr>
      <w:r>
        <w:t>No demographic or personal attributes enter the assessment. Judge the business case against one published exercise rubric.</w:t>
      </w:r>
    </w:p>
    <w:p>
      <w:pPr>
        <w:pStyle w:val="Heading1"/>
      </w:pPr>
      <w:r>
        <w:t>Rubric to finalise before assessment</w:t>
      </w:r>
    </w:p>
    <w:p>
      <w:r>
        <w:t>The working five-dimension proposal is Innovation 25, Commercial potential 20, Execution and financial readiness 20, Singapore impact 20 and Responsible deployment 15. The transcript includes a competing weighting and proposed minimum scores. Summarise these accurately, research additions, then resolve a final version whose weights total 100. Do not imply that proposed thresholds were already agreed.</w:t>
      </w:r>
    </w:p>
    <w:p>
      <w:r>
        <w:t>For each criterion define the purpose, weight, observable evidence and rating anchors at 0, 1, 3 and 5, with explained intermediate ratings. Compute weighted points as rating ÷ 5 × weight. Define how missing evidence affects the recommendation and confidence. Keep eligibility, merit, recommendation and final selection in separate columns.</w:t>
      </w:r>
    </w:p>
    <w:p>
      <w:r>
        <w:t>Proposed tie handling is Singapore impact, then innovation, then the lower justified grant request; unresolved ties go to the panel. State the adopted threshold, governance minimum and tie rules before scoring. Record exceptions and retain the prior version if research changes the rubric.</w:t>
      </w:r>
    </w:p>
    <w:p>
      <w:r>
        <w:br w:type="page"/>
      </w:r>
    </w:p>
    <w:p>
      <w:pPr>
        <w:pStyle w:val="Heading1"/>
      </w:pPr>
      <w:r>
        <w:t>Resource map and comparable measures</w:t>
      </w:r>
    </w:p>
    <w:p>
      <w:r>
        <w:t>ai_grant_applications.xlsx contains exactly 20 current applications, one narrative proposal per application and three proposed milestones each. Use application_id as the join key. The numerical register is a summary of applicant declarations; the Proposals sheet contains the context needed for judgement. No completed scores or winners are supplied.</w:t>
      </w:r>
    </w:p>
    <w:p>
      <w:r>
        <w:t>historical_ai_grant_awards.xlsx contains 300 distinct awards starting in 2022–2025, with four repeated import rows in both Awards and Outcomes. It includes deliberate missing fields, a sector alias and one inconsistent date for an audit exercise. Join by application_id after checking identity; do not multiply amounts.</w:t>
      </w:r>
    </w:p>
    <w:p>
      <w:pPr>
        <w:pStyle w:val="Heading1"/>
      </w:pPr>
      <w:r>
        <w:t>Questions the historical data can support</w:t>
      </w:r>
    </w:p>
    <w:p>
      <w:pPr>
        <w:pStyle w:val="ListBullet"/>
      </w:pPr>
      <w:r>
        <w:t>Portfolio mix: commitments, cash paid, project sizes and funding intensity by sector, stage and start year. Compare requested grants with awarded grants separately.</w:t>
      </w:r>
    </w:p>
    <w:p>
      <w:pPr>
        <w:pStyle w:val="ListBullet"/>
      </w:pPr>
      <w:r>
        <w:t>Delivery: completed, ongoing and discontinued projects; on-time completion among completed projects with valid dates; overdue ongoing projects; final cost variance where recorded.</w:t>
      </w:r>
    </w:p>
    <w:p>
      <w:pPr>
        <w:pStyle w:val="ListBullet"/>
      </w:pPr>
      <w:r>
        <w:t>Twelve-month outcomes: target attainment for company revenue, customer productivity and net Singapore jobs, with due/received/missing coverage and the common measurement horizon.</w:t>
      </w:r>
    </w:p>
    <w:p>
      <w:pPr>
        <w:pStyle w:val="ListBullet"/>
      </w:pPr>
      <w:r>
        <w:t>Current cohort positioning: compare submission-stage readiness, paying pilots, cash runway, project budget, requested support and targets against comparable historical sector/stage groups. Show sample size and sparse-group warnings.</w:t>
      </w:r>
    </w:p>
    <w:p>
      <w:pPr>
        <w:pStyle w:val="ListBullet"/>
      </w:pPr>
      <w:r>
        <w:t>Due diligence: investigate associations between submission evidence and later delivery, controlling comparisons by cohort/sector where possible. These are descriptive relationships, not causal impact or a predictive award rule.</w:t>
      </w:r>
    </w:p>
    <w:p>
      <w:r>
        <w:t>Historical applicants who were rejected or withdrew before award are not provided. Do not calculate an approval rate, an end-to-end historical funnel, causal return on the grant or historical rubric scores. Current targets are projected, while historical outcomes are reported actuals. Missing reports and not-yet-due outcomes are different states.</w:t>
      </w:r>
    </w:p>
    <w:p>
      <w:r>
        <w:br w:type="page"/>
      </w:r>
    </w:p>
    <w:p>
      <w:pPr>
        <w:pStyle w:val="Heading1"/>
      </w:pPr>
      <w:r>
        <w:t>Acceptance email exercise</w:t>
      </w:r>
    </w:p>
    <w:p>
      <w:r>
        <w:t>After the panel-review step, assume the reviewed top five are selected. Create a selection register with application ID, company, named contact, project, selected amount, conditions, actual exercise recipient, issue date, acceptance deadline and communication status. The .example addresses are placeholders for mail merge and cannot receive mail.</w:t>
      </w:r>
    </w:p>
    <w:p>
      <w:r>
        <w:t>Use the selected amount from the reviewed recommendation, not automatically the amount requested. Ask the participant to map the five companies to recipients they control or are authorised to use for the exercise. Preview all five exact messages and obtain approval before sending. Clearly identify the messages as workshop exercises so recipients cannot mistake them for official award letters.</w:t>
      </w:r>
    </w:p>
    <w:p>
      <w:r>
        <w:t>Each email should congratulate the named contact on selection in the exercise, identify the project and conditional support, request confirmation of company details and matching funds, and explain the agreement and evidence needed before starting. Refer to that company’s actual proposed milestone dates and evidence. Do not invent real portal links, legal terms or government signatories.</w:t>
      </w:r>
    </w:p>
    <w:p>
      <w:r>
        <w:t>Acceptance is due 14 calendar days after the actual issue date in Asia/Singapore. Proposed project start is 15 January 2027, subject to signed agreement and confirmed prerequisites; if the issue date makes that schedule impossible, flag it for revision. Payment shares are 20%, 40% and 40% against the selected grant after milestone evidence review. Selection or an email does not mean funds have been disbursed.</w:t>
      </w:r>
    </w:p>
    <w:p>
      <w:r>
        <w:t>Send each approved email once. Use a stable batch/application reference and check prior sent records before retrying. Record sent message IDs and failures; an unknown send outcome must be reconciled before retry. If a connector cannot send, leave reviewed drafts and report them as unsent.</w:t>
      </w:r>
    </w:p>
    <w:p>
      <w:pPr>
        <w:pStyle w:val="Heading1"/>
      </w:pPr>
      <w:r>
        <w:t>Final site and funnel</w:t>
      </w:r>
    </w:p>
    <w:p>
      <w:r>
        <w:t>Show Submitted → Eligibility reviewed → Scored → Recommended → Selected → Notified → Accepted → Funded. Definitions and reasons for hold/exclusion must be visible. Use observed stage events; no acceptance or payment event is supplied initially. The historical archive begins at Awarded and must not be presented as a full application funnel.</w:t>
      </w:r>
    </w:p>
    <w:p>
      <w:r>
        <w:t>Include the criteria visual, frozen rubric, current cohort assessment, historical/current dashboard, recommendations and communication status. Keep recipient details and draft bodies in an officer-only view or omit them from a shared view. Show source dates, latest refresh and whether the site is a snapshot. Verify filters, evidence links and downloads before sharing.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AI grants workshop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