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 module outcomes and reading guide</w:t>
      </w:r>
    </w:p>
    <w:p>
      <w:r>
        <w:t>For a JC1 H2 Economics teacher planning two 60-minute lessons on market failure, externalities and government intervention. The learning outcomes and activities are a fictional teaching brief, not an official syllabus extract. Use the verified external links as readings and distinguish source content from your teaching interpretation. The class question register contains 24 questions from 12 pseudonymous students.</w:t>
      </w:r>
    </w:p>
    <w:p>
      <w:pPr>
        <w:pStyle w:val="Heading2"/>
      </w:pPr>
      <w:r>
        <w:t>LO1 Explain externalities</w:t>
      </w:r>
    </w:p>
    <w:p>
      <w:r>
        <w:t>Distinguish private and social costs and benefits, identify affected third parties and explain why a market outcome may be inefficient.</w:t>
      </w:r>
    </w:p>
    <w:p>
      <w:pPr>
        <w:pStyle w:val="Heading2"/>
      </w:pPr>
      <w:r>
        <w:t>LO2 Interpret welfare diagrams</w:t>
      </w:r>
    </w:p>
    <w:p>
      <w:r>
        <w:t>Label private and social curves, market and socially efficient quantities, and the welfare-loss region for negative production and positive consumption externalities. Explain each label in words.</w:t>
      </w:r>
    </w:p>
    <w:p>
      <w:pPr>
        <w:pStyle w:val="Heading2"/>
      </w:pPr>
      <w:r>
        <w:t>LO3 Compare interventions</w:t>
      </w:r>
    </w:p>
    <w:p>
      <w:r>
        <w:t>Use the economic mechanism to compare taxes, subsidies, regulation and permits. State the assumptions, incentives and likely implementation challenges.</w:t>
      </w:r>
    </w:p>
    <w:p>
      <w:pPr>
        <w:pStyle w:val="Heading2"/>
      </w:pPr>
      <w:r>
        <w:t>LO4 Evaluate a policy</w:t>
      </w:r>
    </w:p>
    <w:p>
      <w:r>
        <w:t>Apply efficiency, equity, information, administrative cost and unintended consequences to a real policy. Reach a conditional judgement supported by evidence.</w:t>
      </w:r>
    </w:p>
    <w:p>
      <w:pPr>
        <w:pStyle w:val="Heading2"/>
      </w:pPr>
      <w:r>
        <w:t>Lesson constraints</w:t>
      </w:r>
    </w:p>
    <w:p>
      <w:r>
        <w:t>Students already know demand, supply and elasticity. Use no more than twenty minutes of pre-reading, include a diagram practice and a small-group policy comparison, and end each lesson with a short check for understanding. Give each student a focus based on their questions; do not infer ability or assign a grade from a question alone.</w:t>
      </w:r>
    </w:p>
    <w:p>
      <w:r>
        <w:br w:type="page"/>
      </w:r>
    </w:p>
    <w:p>
      <w:pPr>
        <w:pStyle w:val="Heading2"/>
      </w:pPr>
      <w:r>
        <w:t>R01 CORE Econ Unit 12</w:t>
      </w:r>
    </w:p>
    <w:p>
      <w:r>
        <w:t>Sections 12.1–12.3 introduce external effects, bargaining and public policy. Select short passages rather than assigning the whole chapter. Useful for explaining mechanisms and comparing remedies.</w:t>
      </w:r>
    </w:p>
    <w:p>
      <w:r>
        <w:t>https://books.core-econ.org/the-economy-v1/book/text/12.html</w:t>
      </w:r>
    </w:p>
    <w:p>
      <w:pPr>
        <w:pStyle w:val="Heading2"/>
      </w:pPr>
      <w:r>
        <w:t>R02 OpenStax Economics Chapter 12</w:t>
      </w:r>
    </w:p>
    <w:p>
      <w:r>
        <w:t>Chapter summary and linked sections on pollution, regulation and market-oriented environmental tools. Use for consolidation and diagram vocabulary; check the relevant section before citing a specific claim.</w:t>
      </w:r>
    </w:p>
    <w:p>
      <w:r>
        <w:t>https://openstax.org/books/principles-economics-3e/pages/12-key-concepts-and-summary</w:t>
      </w:r>
    </w:p>
    <w:p>
      <w:pPr>
        <w:pStyle w:val="Heading2"/>
      </w:pPr>
      <w:r>
        <w:t>R03 Singapore carbon tax</w:t>
      </w:r>
    </w:p>
    <w:p>
      <w:r>
        <w:t>National Climate Change Secretariat overview of Singapore carbon pricing. Use as a current policy case. Retrieve live details and date any rates or coverage figures; the pack does not reproduce them.</w:t>
      </w:r>
    </w:p>
    <w:p>
      <w:r>
        <w:t>https://www.nccs.gov.sg/singapores-climate-action/mitigation-efforts/carbontax/</w:t>
      </w:r>
    </w:p>
    <w:p>
      <w:pPr>
        <w:pStyle w:val="Heading2"/>
      </w:pPr>
      <w:r>
        <w:t>R04 Teacher authored practice case</w:t>
      </w:r>
    </w:p>
    <w:p>
      <w:r>
        <w:t>A hypothetical neighbourhood laundry emits noise that disturbs nearby residents. A proposed levy, quiet-hour rule and equipment subsidy are alternatives. There is no measured marginal-damage schedule. Students must explain what extra evidence a decision-maker would need.</w:t>
      </w:r>
    </w:p>
    <w:p>
      <w:r>
        <w:t>Included below</w:t>
      </w:r>
    </w:p>
    <w:p>
      <w:pPr>
        <w:pStyle w:val="Heading2"/>
      </w:pPr>
      <w:r>
        <w:t>Reading checks</w:t>
      </w:r>
    </w:p>
    <w:p>
      <w:r>
        <w:t>External links checked 29 September 2026. The source annotations are original summaries, not copied readings. If a link is unavailable, report it and use another accessible authoritative source; do not invent a quotation, page number or reference. Map each learning outcome to specific reading sections and activities in the lesson outline.</w:t>
      </w:r>
    </w:p>
    <w:p>
      <w:r>
        <w:br w:type="page"/>
      </w:r>
    </w:p>
    <w:p>
      <w:pPr>
        <w:pStyle w:val="Heading2"/>
      </w:pPr>
      <w:r>
        <w:t>Student question register</w:t>
      </w:r>
    </w:p>
    <w:p>
      <w:r>
        <w:t>student_questions.xlsx has Students and Questions sheets. Twelve students submitted two questions each before class. Keep student_id and question_id references through clustering, the answer bank and personalised plans. Produce a class-facing visual without names; retain the ID mapping in the teacher resource. Generated visuals must not silently omit a question or substitute a different question.</w:t>
      </w:r>
    </w:p>
    <w:p>
      <w:pPr>
        <w:pStyle w:val="Heading2"/>
      </w:pPr>
      <w:r>
        <w:t>Department feedback survey</w:t>
      </w:r>
    </w:p>
    <w:p>
      <w:r>
        <w:t>economics_module_feedback.xlsx covers three teachers, six classes and three modules after teaching: market failure, elasticity and macroeconomic policy. Invitations lists all 18 class-module combinations and invited counts. Feedback contains 324 unique responses plus repeated import rows. All entries and teachers are fictional. The anonymous respondent IDs repeat across modules, but do not link to the twelve pre-class student IDs.</w:t>
      </w:r>
    </w:p>
    <w:p>
      <w:pPr>
        <w:pStyle w:val="Heading2"/>
      </w:pPr>
      <w:r>
        <w:t>Interpretation</w:t>
      </w:r>
    </w:p>
    <w:p>
      <w:r>
        <w:t>Analyse clarity, pacing, reading usefulness, diagram confidence and free-text requests by module and class. Show response rates using Invitations, missingness and cohort sizes. Before and after confidence is self-reported, not a measured learning gain. Module difficulty, class composition and participation affect teacher comparisons. Present improvement opportunities without treating mean feedback scores as a teacher performance league table.</w:t>
      </w:r>
    </w:p>
    <w:p>
      <w:pPr>
        <w:pStyle w:val="Heading2"/>
      </w:pPr>
      <w:r>
        <w:t>Weekly economics in the news</w:t>
      </w:r>
    </w:p>
    <w:p>
      <w:r>
        <w:t>Default concept: negative externalities and government intervention. Default schedule: Mondays at 07:00 Asia/Singapore. Use an authorised class email address selected at setup; none is supplied here. Each issue covers up to three verified world events from the last seven days with event and publication dates, source links, a concise factual summary, the relevant outcome, a mechanism or diagram task, one discussion question and a reading reference. Keep a sent ledger and avoid repeat stories unless the economic implications change.</w:t>
      </w:r>
    </w:p>
    <w:p>
      <w:pPr>
        <w:pStyle w:val="Heading2"/>
      </w:pPr>
      <w:r>
        <w:t>Sending and operational checks</w:t>
      </w:r>
    </w:p>
    <w:p>
      <w:r>
        <w:t>Preview the first issue and agree the recipient, format and recurring-send authorisation before enabling the weekly task. Send through the connected email provider only after that setup is confirmed. A scheduled task is not proof an email was delivered: check its saved configuration, first-run result and message ID. If the environment cannot send email on a schedule, explain the gap and leave a reviewable draft rather than promising delivery.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Workshop source pack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rPr>
      <w:rFonts w:ascii="Calibri" w:hAnsi="Calibri"/>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rPr>
      <w:rFonts w:ascii="Calibri" w:hAnsi="Calibri"/>
      <w:color w:val="000000"/>
    </w:rPr>
  </w:style>
  <w:style w:type="table" w:default="1" w:styleId="TableNormal">
    <w:name w:val="Normal Table"/>
    <w:uiPriority w:val="99"/>
    <w:semiHidden/>
    <w:unhideWhenUsed/>
    <w:rPr>
      <w:rFonts w:ascii="Calibri" w:hAnsi="Calibri"/>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rPr>
      <w:rFonts w:ascii="Calibri" w:hAnsi="Calibri"/>
      <w:color w:val="000000"/>
    </w:rPr>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rPr>
      <w:rFonts w:ascii="Calibri" w:hAnsi="Calibri"/>
      <w:color w:val="000000"/>
    </w:rPr>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rFonts w:ascii="Calibri" w:hAnsi="Calibri"/>
      <w:color w:val="000000"/>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alibri" w:hAnsi="Calibri"/>
      <w:color w:val="000000"/>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rFonts w:ascii="Calibri" w:hAnsi="Calibri"/>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rFonts w:ascii="Calibri" w:hAnsi="Calibri"/>
      <w:b/>
      <w:bCs/>
      <w:color w:val="000000"/>
    </w:rPr>
  </w:style>
  <w:style w:type="character" w:styleId="Emphasis">
    <w:name w:val="Emphasis"/>
    <w:basedOn w:val="DefaultParagraphFont"/>
    <w:uiPriority w:val="20"/>
    <w:qFormat/>
    <w:rsid w:val="00FC693F"/>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rFonts w:ascii="Calibri" w:hAnsi="Calibri"/>
      <w:b/>
      <w:bCs/>
      <w:i/>
      <w:iCs/>
      <w:color w:val="000000"/>
    </w:rPr>
  </w:style>
  <w:style w:type="character" w:styleId="SubtleEmphasis">
    <w:name w:val="Subtle Emphasis"/>
    <w:basedOn w:val="DefaultParagraphFont"/>
    <w:uiPriority w:val="19"/>
    <w:qFormat/>
    <w:rsid w:val="00FC693F"/>
    <w:rPr>
      <w:rFonts w:ascii="Calibri" w:hAnsi="Calibri"/>
      <w:i/>
      <w:iCs/>
      <w:color w:val="000000"/>
    </w:rPr>
  </w:style>
  <w:style w:type="character" w:styleId="IntenseEmphasis">
    <w:name w:val="Intense Emphasis"/>
    <w:basedOn w:val="DefaultParagraphFont"/>
    <w:uiPriority w:val="21"/>
    <w:qFormat/>
    <w:rsid w:val="00FC693F"/>
    <w:rPr>
      <w:rFonts w:ascii="Calibri" w:hAnsi="Calibri"/>
      <w:b/>
      <w:bCs/>
      <w:i/>
      <w:iCs/>
      <w:color w:val="000000"/>
    </w:rPr>
  </w:style>
  <w:style w:type="character" w:styleId="SubtleReference">
    <w:name w:val="Subtle Reference"/>
    <w:basedOn w:val="DefaultParagraphFont"/>
    <w:uiPriority w:val="31"/>
    <w:qFormat/>
    <w:rsid w:val="00FC693F"/>
    <w:rPr>
      <w:rFonts w:ascii="Calibri" w:hAnsi="Calibri"/>
      <w:smallCaps/>
      <w:color w:val="000000"/>
      <w:u w:val="single"/>
    </w:rPr>
  </w:style>
  <w:style w:type="character" w:styleId="IntenseReference">
    <w:name w:val="Intense Reference"/>
    <w:basedOn w:val="DefaultParagraphFont"/>
    <w:uiPriority w:val="32"/>
    <w:qFormat/>
    <w:rsid w:val="00FC693F"/>
    <w:rPr>
      <w:rFonts w:ascii="Calibri" w:hAnsi="Calibri"/>
      <w:b/>
      <w:bCs/>
      <w:smallCaps/>
      <w:color w:val="000000"/>
      <w:spacing w:val="5"/>
      <w:u w:val="single"/>
    </w:rPr>
  </w:style>
  <w:style w:type="character" w:styleId="BookTitle">
    <w:name w:val="Book Title"/>
    <w:basedOn w:val="DefaultParagraphFont"/>
    <w:uiPriority w:val="33"/>
    <w:qFormat/>
    <w:rsid w:val="00FC693F"/>
    <w:rPr>
      <w:rFonts w:ascii="Calibri" w:hAnsi="Calibri"/>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rPr>
      <w:rFonts w:ascii="Calibri" w:hAnsi="Calibri"/>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