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Scam intervention programme brief</w:t>
      </w:r>
    </w:p>
    <w:p>
      <w:r>
        <w:t>For the community outreach team and programme director. Develop a practical mix of technical safeguards and education, then revise the proposal using public feedback. This fictional exercise has a S$120,000 pilot budget and a twelve-week delivery window. Costs and participant responses are simulated planning inputs, not vendor quotes or evidence of avoided losses.</w:t>
      </w:r>
    </w:p>
    <w:p>
      <w:pPr>
        <w:pStyle w:val="Heading2"/>
      </w:pPr>
      <w:r>
        <w:t>Delivery constraints</w:t>
      </w:r>
    </w:p>
    <w:p>
      <w:r>
        <w:t>Cover adults across age groups, languages and digital confidence levels. Provide an accessible offline route. The team has one programme lead, two trainers and limited engineering capacity. Bank or platform changes require a partner; the outreach team cannot deploy payment controls itself. Identify dependencies, accountable owners, false positives, accessibility and privacy impacts for each idea.</w:t>
      </w:r>
    </w:p>
    <w:p>
      <w:pPr>
        <w:pStyle w:val="Heading2"/>
      </w:pPr>
      <w:r>
        <w:t>Six intervention concepts</w:t>
      </w:r>
    </w:p>
    <w:p>
      <w:r>
        <w:t>The survey tests six starting concepts, not a final recommendation: T01 contextual link warnings; T02 independent callback verification; T03 a payment pause with a support route; E01 scenario practice; E02 peer coaching; E03 short multilingual videos. Keep these IDs when comparing survey evidence with the brainstorm. New ideas can be added but are untested by this survey.</w:t>
      </w:r>
    </w:p>
    <w:p>
      <w:pPr>
        <w:pStyle w:val="Heading2"/>
      </w:pPr>
      <w:r>
        <w:t>Research starting points</w:t>
      </w:r>
    </w:p>
    <w:p>
      <w:r>
        <w:t>Check live sources and their dates before drawing conclusions. ScamShield, Singapore: https://www.scamshield.gov.sg/ — local prevention and help resources. Scamwatch, Australia: https://www.scamwatch.gov.au/research-and-resources/targeting-scams-report — reports and prevention activity. FTC, United States: https://consumer.ftc.gov/scams — consumer guidance and alerts. These are starting points, not proof that a particular intervention causes a reduction in losses.</w:t>
      </w:r>
    </w:p>
    <w:p>
      <w:pPr>
        <w:pStyle w:val="Heading2"/>
      </w:pPr>
      <w:r>
        <w:t>Evidence and return on investment</w:t>
      </w:r>
    </w:p>
    <w:p>
      <w:r>
        <w:t>Separate measured effects, implementation descriptions and proposed benefits. Cite the exact overseas study or evaluation, its setting, sample, comparator and limitations. If no credible evaluation exists, say so. Estimate pilot cost per participant and, where supported, cost per additional correct scenario answer. Treat avoided-loss ROI as a scenario with explicit assumptions; this survey does not measure actual scam losses prevented.</w:t>
      </w:r>
    </w:p>
    <w:p>
      <w:r>
        <w:br w:type="page"/>
      </w:r>
    </w:p>
    <w:p>
      <w:pPr>
        <w:pStyle w:val="Heading2"/>
      </w:pPr>
      <w:r>
        <w:t>Survey design</w:t>
      </w:r>
    </w:p>
    <w:p>
      <w:r>
        <w:t>scam_intervention_survey.xlsx contains 480 adult respondents recruited through community clubs and online outreach. Each reviewed three of six concept cards; allocations rotate for coverage but recruitment is a convenience sample, not a population probability sample or randomised impact trial. Ratings concern a described intervention. A short scenario quiz before and immediately after each concept is an exercise proxy; it cannot establish real-world effectiveness or long-term retention.</w:t>
      </w:r>
    </w:p>
    <w:p>
      <w:pPr>
        <w:pStyle w:val="Heading2"/>
      </w:pPr>
      <w:r>
        <w:t>Registers and denominators</w:t>
      </w:r>
    </w:p>
    <w:p>
      <w:r>
        <w:t>Respondents contains one row per respondent and demographic attributes. Responses contains one row per respondent and intervention, plus deliberate repeated import rows. Intervention descriptions, delivery effort and indicative pilot costs are in Interventions. Use response_id to remove exact duplicates, respondent_id for demographic joins and intervention_id for concept joins. A person can appear in three intervention groups; do not sum group counts to estimate total reach. Missing ratings or quiz results are unknown, not zero.</w:t>
      </w:r>
    </w:p>
    <w:p>
      <w:pPr>
        <w:pStyle w:val="Heading2"/>
      </w:pPr>
      <w:r>
        <w:t>Director email</w:t>
      </w:r>
    </w:p>
    <w:p>
      <w:r>
        <w:t>Draft a concise email with the recommended pilot mix, requested decision, budget, strongest evidence, uncertainty and next steps. Include the published analytics link and proposal. Use a director recipient chosen by the participant; keep the email as a draft for review. No real contact information is supplied in this pack.</w:t>
      </w:r>
    </w:p>
    <w:p>
      <w:pPr>
        <w:pStyle w:val="Heading2"/>
      </w:pPr>
      <w:r>
        <w:t>Daily global trends bulletin</w:t>
      </w:r>
    </w:p>
    <w:p>
      <w:r>
        <w:t>Default schedule: every day at 08:00 Asia/Singapore. Search official scam, police, regulator and consumer-protection sources worldwide for genuinely new developments since the last successful run. A new article repeating an old story is not a new trend. Store a seen-source and trend ledger; corrections update an existing entry. Publish reviewed findings to the team site trend log using an approved connected publishing tool; confirm the exact destination when setting up the task.</w:t>
      </w:r>
    </w:p>
    <w:p>
      <w:pPr>
        <w:pStyle w:val="Heading2"/>
      </w:pPr>
      <w:r>
        <w:t>Required bulletin format</w:t>
      </w:r>
    </w:p>
    <w:p>
      <w:r>
        <w:t>Heading: Global scam watch — YYYY-MM-DD. Opening: up to three new findings. For each finding include trend ID, country, scam mode, target/channel, what changed, event date, publication date, source URL, evidence confidence, relevance to Singapore, proposed response, owner and status. Finish with a source list, last successful scan time and coverage gaps. If no new material findings are verified, keep the publication unchanged and stay quiet. If publication or search fails, preserve the ledger and report the failure without claiming success.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Workshop source pack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rPr>
      <w:rFonts w:ascii="Calibri" w:hAnsi="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rPr>
      <w:rFonts w:ascii="Calibri" w:hAnsi="Calibri"/>
      <w:color w:val="000000"/>
    </w:rPr>
  </w:style>
  <w:style w:type="table" w:default="1" w:styleId="TableNormal">
    <w:name w:val="Normal Table"/>
    <w:uiPriority w:val="99"/>
    <w:semiHidden/>
    <w:unhideWhenUsed/>
    <w:rPr>
      <w:rFonts w:ascii="Calibri" w:hAnsi="Calibri"/>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alibri" w:hAnsi="Calibri"/>
      <w:color w:val="000000"/>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rFonts w:ascii="Calibri" w:hAnsi="Calibr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rFonts w:ascii="Calibri" w:hAnsi="Calibri"/>
      <w:b/>
      <w:bCs/>
      <w:color w:val="000000"/>
    </w:rPr>
  </w:style>
  <w:style w:type="character" w:styleId="Emphasis">
    <w:name w:val="Emphasis"/>
    <w:basedOn w:val="DefaultParagraphFont"/>
    <w:uiPriority w:val="20"/>
    <w:qFormat/>
    <w:rsid w:val="00FC693F"/>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rFonts w:ascii="Calibri" w:hAnsi="Calibri"/>
      <w:b/>
      <w:bCs/>
      <w:i/>
      <w:iCs/>
      <w:color w:val="000000"/>
    </w:rPr>
  </w:style>
  <w:style w:type="character" w:styleId="SubtleEmphasis">
    <w:name w:val="Subtle Emphasis"/>
    <w:basedOn w:val="DefaultParagraphFont"/>
    <w:uiPriority w:val="19"/>
    <w:qFormat/>
    <w:rsid w:val="00FC693F"/>
    <w:rPr>
      <w:rFonts w:ascii="Calibri" w:hAnsi="Calibri"/>
      <w:i/>
      <w:iCs/>
      <w:color w:val="000000"/>
    </w:rPr>
  </w:style>
  <w:style w:type="character" w:styleId="IntenseEmphasis">
    <w:name w:val="Intense Emphasis"/>
    <w:basedOn w:val="DefaultParagraphFont"/>
    <w:uiPriority w:val="21"/>
    <w:qFormat/>
    <w:rsid w:val="00FC693F"/>
    <w:rPr>
      <w:rFonts w:ascii="Calibri" w:hAnsi="Calibri"/>
      <w:b/>
      <w:bCs/>
      <w:i/>
      <w:iCs/>
      <w:color w:val="000000"/>
    </w:rPr>
  </w:style>
  <w:style w:type="character" w:styleId="SubtleReference">
    <w:name w:val="Subtle Reference"/>
    <w:basedOn w:val="DefaultParagraphFont"/>
    <w:uiPriority w:val="31"/>
    <w:qFormat/>
    <w:rsid w:val="00FC693F"/>
    <w:rPr>
      <w:rFonts w:ascii="Calibri" w:hAnsi="Calibri"/>
      <w:smallCaps/>
      <w:color w:val="000000"/>
      <w:u w:val="single"/>
    </w:rPr>
  </w:style>
  <w:style w:type="character" w:styleId="IntenseReference">
    <w:name w:val="Intense Reference"/>
    <w:basedOn w:val="DefaultParagraphFont"/>
    <w:uiPriority w:val="32"/>
    <w:qFormat/>
    <w:rsid w:val="00FC693F"/>
    <w:rPr>
      <w:rFonts w:ascii="Calibri" w:hAnsi="Calibri"/>
      <w:b/>
      <w:bCs/>
      <w:smallCaps/>
      <w:color w:val="000000"/>
      <w:spacing w:val="5"/>
      <w:u w:val="single"/>
    </w:rPr>
  </w:style>
  <w:style w:type="character" w:styleId="BookTitle">
    <w:name w:val="Book Title"/>
    <w:basedOn w:val="DefaultParagraphFont"/>
    <w:uiPriority w:val="33"/>
    <w:qFormat/>
    <w:rsid w:val="00FC693F"/>
    <w:rPr>
      <w:rFonts w:ascii="Calibri" w:hAnsi="Calibr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rPr>
      <w:rFonts w:ascii="Calibri" w:hAnsi="Calibri"/>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