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Municipal operations reference</w:t>
      </w:r>
    </w:p>
    <w:p>
      <w:r>
        <w:t>Use this reference to prepare the weekly estate review, classify feedback and keep the counts and follow-up actions traceable. Read the manager email for the decision required.</w:t>
      </w:r>
    </w:p>
    <w:p>
      <w:pPr>
        <w:pStyle w:val="Heading1"/>
      </w:pPr>
      <w:r>
        <w:t>Municipal coordination review</w:t>
      </w:r>
    </w:p>
    <w:p>
      <w:pPr>
        <w:pStyle w:val="Heading2"/>
      </w:pPr>
      <w:r>
        <w:t>Role and decision</w:t>
      </w:r>
    </w:p>
    <w:p>
      <w:r>
        <w:t>You are a municipal coordination desk preparing a short brief for a Director (Municipal Coordination). Review records dated 1–22 September 2026 from Bedok, Tampines, Jurong West, Toa Payoh, Woodlands and Punggol. </w:t>
      </w:r>
    </w:p>
    <w:p>
      <w:r>
        <w:t>The director can sponsor three small improvement initiatives. Consider repeat incidents, unresolved access concerns, evidence quality and whether a process change is practical. Do not invent weights or costs; show your proposed criteria before ranking.</w:t>
      </w:r>
    </w:p>
    <w:p>
      <w:pPr>
        <w:pStyle w:val="Heading2"/>
      </w:pPr>
      <w:r>
        <w:t>Responsibilities</w:t>
      </w:r>
    </w:p>
    <w:p>
      <w:r>
        <w:t>The coordination desk checks evidence and coordinates follow-up. A estate liaison verifies Town Council or agency asset responsibility. A operations lead proposes an action.  No official response-time SLA is provided.</w:t>
      </w:r>
    </w:p>
    <w:p>
      <w:pPr>
        <w:pStyle w:val="Heading2"/>
      </w:pPr>
      <w:r>
        <w:t>Measurement</w:t>
      </w:r>
    </w:p>
    <w:p>
      <w:r>
        <w:t>Count unique report_id for submissions and case_id for incidents. Case_updates is the status source for incident-level totals. Resolve conflicting entries for review. Report resolution duration only for valid resolved dates; missing and impossible dates are not zero days. The reference date is 22 September 2026. Findings describe this sample only.</w:t>
      </w:r>
    </w:p>
    <w:p>
      <w:pPr>
        <w:pStyle w:val="Heading2"/>
      </w:pPr>
      <w:r>
        <w:t>Brief format</w:t>
      </w:r>
    </w:p>
    <w:p>
      <w:r>
        <w:t>Decision requested; evidence; three proposed actions; responsible role to confirm; open questions. Use Singapore English, SGD where needed, and day-month-year dates.</w:t>
      </w:r>
    </w:p>
    <w:p>
      <w:pPr>
        <w:pStyle w:val="Heading1"/>
      </w:pPr>
      <w:r>
        <w:t>Municipal feedback categories</w:t>
      </w:r>
    </w:p>
    <w:p>
      <w:r>
        <w:t>Issue categories for the coordination team.</w:t>
      </w:r>
    </w:p>
    <w:tbl>
      <w:tblPr>
        <w:tblW w:type="auto" w:w="0"/>
        <w:tblLayout w:type="fixed"/>
        <w:tblLook w:firstColumn="1" w:firstRow="1" w:lastColumn="0" w:lastRow="0" w:noHBand="0" w:noVBand="1" w:val="04A0"/>
      </w:tblPr>
      <w:tblGrid>
        <w:gridCol w:w="3216"/>
        <w:gridCol w:w="3216"/>
        <w:gridCol w:w="3216"/>
      </w:tblGrid>
      <w:tr>
        <w:trPr>
          <w:cantSplit/>
          <w:tblHeader/>
        </w:trPr>
        <w:tc>
          <w:tcPr>
            <w:tcW w:type="dxa" w:w="3216"/>
            <w:tcBorders>
              <w:top w:val="single" w:sz="4" w:color="D9D9D9"/>
              <w:left w:val="single" w:sz="4" w:color="D9D9D9"/>
              <w:bottom w:val="single" w:sz="4" w:color="D9D9D9"/>
              <w:right w:val="single" w:sz="4" w:color="D9D9D9"/>
            </w:tcBorders>
            <w:shd w:fill="E8ECEF"/>
          </w:tcPr>
          <w:p>
            <w:pPr>
              <w:spacing w:after="100" w:before="100"/>
            </w:pPr>
            <w:r>
              <w:rPr>
                <w:b/>
                <w:sz w:val="18"/>
              </w:rPr>
              <w:t>Category</w:t>
            </w:r>
          </w:p>
        </w:tc>
        <w:tc>
          <w:tcPr>
            <w:tcW w:type="dxa" w:w="3216"/>
            <w:tcBorders>
              <w:top w:val="single" w:sz="4" w:color="D9D9D9"/>
              <w:left w:val="single" w:sz="4" w:color="D9D9D9"/>
              <w:bottom w:val="single" w:sz="4" w:color="D9D9D9"/>
              <w:right w:val="single" w:sz="4" w:color="D9D9D9"/>
            </w:tcBorders>
            <w:shd w:fill="E8ECEF"/>
          </w:tcPr>
          <w:p>
            <w:pPr>
              <w:spacing w:after="100" w:before="100"/>
            </w:pPr>
            <w:r>
              <w:rPr>
                <w:b/>
                <w:sz w:val="18"/>
              </w:rPr>
              <w:t>Include</w:t>
            </w:r>
          </w:p>
        </w:tc>
        <w:tc>
          <w:tcPr>
            <w:tcW w:type="dxa" w:w="3216"/>
            <w:tcBorders>
              <w:top w:val="single" w:sz="4" w:color="D9D9D9"/>
              <w:left w:val="single" w:sz="4" w:color="D9D9D9"/>
              <w:bottom w:val="single" w:sz="4" w:color="D9D9D9"/>
              <w:right w:val="single" w:sz="4" w:color="D9D9D9"/>
            </w:tcBorders>
            <w:shd w:fill="E8ECEF"/>
          </w:tcPr>
          <w:p>
            <w:pPr>
              <w:spacing w:after="100" w:before="100"/>
            </w:pPr>
            <w:r>
              <w:rPr>
                <w:b/>
                <w:sz w:val="18"/>
              </w:rPr>
              <w:t>Review boundary</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Lighting</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Faulty or inadequate lighting in common spaces</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Confirm the asset owner; do not assume all lights belong to a Town Council.</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Cleanliness</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Litter, overflowing bins, recurring dirty common spaces</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Distinguish one missed clearance from a recurring pattern.</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Walkway access</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Obstructions, damaged surfaces, ramps and accessibility</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Preserve potentially urgent access concerns for officer review.</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Drainage</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Ponding, blocked gratings and reported drainage concerns</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A resident report alone does not establish flood risk.</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Greenery</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Overhanging branches, hedges and leaf accumulation</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Ownership and maintenance responsibility require confirmation.</w:t>
            </w:r>
          </w:p>
        </w:tc>
      </w:tr>
      <w:tr>
        <w:trPr>
          <w:cantSplit/>
        </w:trPr>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Noise</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Repeated noise or unclear common-space use</w:t>
            </w:r>
          </w:p>
        </w:tc>
        <w:tc>
          <w:tcPr>
            <w:tcW w:type="dxa" w:w="3216"/>
            <w:tcBorders>
              <w:top w:val="single" w:sz="4" w:color="D9D9D9"/>
              <w:left w:val="single" w:sz="4" w:color="D9D9D9"/>
              <w:bottom w:val="single" w:sz="4" w:color="D9D9D9"/>
              <w:right w:val="single" w:sz="4" w:color="D9D9D9"/>
            </w:tcBorders>
          </w:tcPr>
          <w:p>
            <w:pPr>
              <w:spacing w:after="100" w:before="100"/>
            </w:pPr>
            <w:r>
              <w:rPr>
                <w:b w:val="0"/>
                <w:sz w:val="18"/>
              </w:rPr>
              <w:t>Do not identify or accuse a resident. Clarify source and timing.</w:t>
            </w:r>
          </w:p>
        </w:tc>
      </w:tr>
    </w:tbl>
    <w:p/>
    <w:p>
      <w:r>
        <w:t>Allow multiple tags. If evidence is unclear, record Needs review rather than force a category. Counts by tag may exceed total reports. Cite report IDs behind every theme.</w:t>
      </w:r>
    </w:p>
    <w:p>
      <w:pPr>
        <w:pStyle w:val="Heading1"/>
      </w:pPr>
      <w:r>
        <w:t>Singapore reference</w:t>
      </w:r>
    </w:p>
    <w:p>
      <w:r>
        <w:t>OneService offers digital channels for residents to report neighbourhood issues. Its public page also describes other estate-related services. Use the source records for this review.</w:t>
      </w:r>
    </w:p>
    <w:p>
      <w:pPr>
        <w:pStyle w:val="ListBullet"/>
      </w:pPr>
      <w:r>
        <w:t>OneService App and Chatbot (https://www.oneservice.gov.sg/oneservice/oneservice-app-and-chatbot/) – checked 22 September 2026.</w:t>
      </w:r>
    </w:p>
    <w:p>
      <w:pPr>
        <w:pStyle w:val="Heading1"/>
      </w:pPr>
      <w:r>
        <w:t>Photo evidence handling</w:t>
      </w:r>
    </w:p>
    <w:p>
      <w:r>
        <w:t>The image file is paired with R001 and C001. Record visible features, the resident claim, and open verification questions separately. The photograph does not establish duration, wiring condition, statutory compliance or asset ownership. Do not count it as a second incident.</w:t>
      </w:r>
    </w:p>
    <w:p>
      <w:pPr>
        <w:pStyle w:val="Heading1"/>
      </w:pPr>
      <w:r>
        <w:t>Weekly email instructions</w:t>
      </w:r>
    </w:p>
    <w:p>
      <w:r>
        <w:t>Prepare one concise coordination digest per reporting period for reviewer@example.invalid. Include the three priorities, source record IDs and decisions requested. Keep a tracker of the period, draft date and review status. Repeating the same period should flag the existing draft. Suggested routine: Monday at 9 am Singapore time.</w:t>
      </w:r>
    </w:p>
    <w:tbl>
      <w:tblPr>
        <w:tblW w:type="auto" w:w="0"/>
        <w:tblLayout w:type="fixed"/>
        <w:tblLook w:firstColumn="1" w:firstRow="1" w:lastColumn="0" w:lastRow="0" w:noHBand="0" w:noVBand="1" w:val="04A0"/>
      </w:tblPr>
      <w:tblGrid>
        <w:gridCol w:w="2592"/>
        <w:gridCol w:w="7056"/>
      </w:tblGrid>
      <w:tr>
        <w:trPr>
          <w:cantSplit/>
          <w:tblHeader/>
        </w:trPr>
        <w:tc>
          <w:tcPr>
            <w:tcW w:type="dxa" w:w="2592"/>
            <w:tcBorders>
              <w:top w:val="single" w:sz="4" w:color="D9D9D9"/>
              <w:left w:val="single" w:sz="4" w:color="D9D9D9"/>
              <w:bottom w:val="single" w:sz="4" w:color="D9D9D9"/>
              <w:right w:val="single" w:sz="4" w:color="D9D9D9"/>
            </w:tcBorders>
            <w:shd w:fill="E8ECEF"/>
          </w:tcPr>
          <w:p>
            <w:pPr>
              <w:spacing w:after="100" w:before="100"/>
            </w:pPr>
            <w:r>
              <w:rPr>
                <w:b/>
                <w:sz w:val="18"/>
              </w:rPr>
              <w:t>role</w:t>
            </w:r>
          </w:p>
        </w:tc>
        <w:tc>
          <w:tcPr>
            <w:tcW w:type="dxa" w:w="7056"/>
            <w:tcBorders>
              <w:top w:val="single" w:sz="4" w:color="D9D9D9"/>
              <w:left w:val="single" w:sz="4" w:color="D9D9D9"/>
              <w:bottom w:val="single" w:sz="4" w:color="D9D9D9"/>
              <w:right w:val="single" w:sz="4" w:color="D9D9D9"/>
            </w:tcBorders>
            <w:shd w:fill="E8ECEF"/>
          </w:tcPr>
          <w:p>
            <w:pPr>
              <w:spacing w:after="100" w:before="100"/>
            </w:pPr>
            <w:r>
              <w:rPr>
                <w:b/>
                <w:sz w:val="18"/>
              </w:rPr>
              <w:t>email</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workshop_reviewer</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reviewer@example.invalid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workshop_organiser</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organiser@example.invalid</w:t>
            </w:r>
          </w:p>
        </w:tc>
      </w:tr>
    </w:tbl>
    <w:p/>
    <w:sectPr w:rsidR="00FC693F" w:rsidRPr="0006063C" w:rsidSect="00034616">
      <w:footerReference w:type="default" r:id="rId9"/>
      <w:pgSz w:w="11909" w:h="16834"/>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Reference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