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 tutorial marking guide</w:t>
      </w:r>
    </w:p>
    <w:p>
      <w:r>
        <w:t>From the Economics Subject Head</w:t>
      </w:r>
    </w:p>
    <w:p>
      <w:r>
        <w:t>Please prepare differentiated follow-up work for the next JC1 H2 Economics tutorial. Use the class responses to identify what each student has demonstrated and what they should practise next. Produce short individual learning packs, with separate teacher answers. Show contrasting examples so we can review the differentiation before distributing anything.</w:t>
      </w:r>
    </w:p>
    <w:p>
      <w:pPr>
        <w:pStyle w:val="Heading1"/>
      </w:pPr>
      <w:r>
        <w:t>Personalised follow up task</w:t>
      </w:r>
    </w:p>
    <w:p>
      <w:r>
        <w:t>Create a 15-minute pack for each of 12 anonymous JC1 students. Use Singapore English and familiar lunch-market examples. Preserve H2-level analysis and evaluation: simpler wording should not remove the causal reasoning.</w:t>
      </w:r>
    </w:p>
    <w:p>
      <w:r>
        <w:t>Each pack includes a response-specific strength, one priority improvement, a targeted explanation or worked diagram, three practice questions and one exit ticket. A strong student should receive extension rather than repeated remedial work. A blank answer should trigger a diagnostic check or request for an attempt.</w:t>
      </w:r>
    </w:p>
    <w:p>
      <w:r>
        <w:t>The teacher can revise objectives and content. Label generated feedback Draft for teacher review. Keep student copies separate from answer keys, class summaries and other students' work. Print layout must show student ID and quantity units.</w:t>
      </w:r>
    </w:p>
    <w:p>
      <w:pPr>
        <w:pStyle w:val="Heading1"/>
      </w:pPr>
      <w:r>
        <w:t>Reading the student script</w:t>
      </w:r>
    </w:p>
    <w:p>
      <w:r>
        <w:t>student-S07-E1.png is an image version of response S07-E1 with an accompanying diagram. The first answer sentence matches the Excel transcript; the second sentence and drawing supply visual evidence not captured in the transcript. Treat it as the same response, not a thirteenth student or an extra submission. Record what is visible, identify any tension between words and graph, and choose a focused follow-up question. Do not infer effort, ability or personal characteristics from handwriting.</w:t>
      </w:r>
    </w:p>
    <w:p>
      <w:pPr>
        <w:pStyle w:val="Heading1"/>
      </w:pPr>
      <w:r>
        <w:t>Teacher review rubric</w:t>
      </w:r>
    </w:p>
    <w:p>
      <w:r>
        <w:t>Formative assessment rubric. Use Demonstrated, Partial, Needs revision or Insufficient evidence for each dimension. Do not produce an overall examination grade.</w:t>
      </w:r>
    </w:p>
    <w:p>
      <w:pPr/>
      <w:r>
        <w:t>1. Concept accuracy: distinguish a supply shift from a movement along a curve; distinguish demand from quantity demanded; identify when a ceiling binds.</w:t>
      </w:r>
    </w:p>
    <w:p>
      <w:pPr/>
      <w:r>
        <w:t>2. Evidence application: use the extracts and model figures accurately; do not invent empirical PED or actual Singapore price data.</w:t>
      </w:r>
    </w:p>
    <w:p>
      <w:pPr/>
      <w:r>
        <w:t>3. Causal reasoning: explain costs → supply shift → disequilibrium → new equilibrium; explain how relative demand responsiveness changes quantity effects.</w:t>
      </w:r>
    </w:p>
    <w:p>
      <w:pPr/>
      <w:r>
        <w:t>4. Evaluation: connect a conditional judgement to objectives, stakeholder effects, short/long run, implementation and fiscal cost. A valid alternative policy preference can earn positive feedback if justified.</w:t>
      </w:r>
    </w:p>
    <w:p>
      <w:r>
        <w:t>Quote response evidence for every learning-need judgement. Blank answers establish no particular misconception. Accept “maximum legal price” for price ceiling and equivalent sound explanations. Suggested learning groups are temporary, teacher-editable and based on these responses.</w:t>
      </w:r>
    </w:p>
    <w:p>
      <w:r>
        <w:t>For each pack: recognise one strength, select one priority need, give a targeted explanation and worked example, then three practice questions and one new-context exit ticket. Keep answer keys teacher-only. Check economics and accessibility before release.</w:t>
      </w:r>
    </w:p>
    <w:p>
      <w:pPr>
        <w:pStyle w:val="Heading1"/>
      </w:pPr>
      <w:r>
        <w:t>Economics teaching notes</w:t>
      </w:r>
    </w:p>
    <w:p>
      <w:pPr>
        <w:pStyle w:val="Heading2"/>
      </w:pPr>
      <w:r>
        <w:t>Supply and demand</w:t>
      </w:r>
    </w:p>
    <w:p>
      <w:r>
        <w:t>A cost increase reduces supply at each price: shift the supply curve left/up. With demand unchanged, equilibrium price rises and quantity falls. The price change causes a movement along the unchanged demand curve. Do not describe this as a shift in demand.</w:t>
      </w:r>
    </w:p>
    <w:p>
      <w:pPr>
        <w:pStyle w:val="Heading2"/>
      </w:pPr>
      <w:r>
        <w:t>Elasticity</w:t>
      </w:r>
    </w:p>
    <w:p>
      <w:r>
        <w:t>PED measures percentage quantity response to a percentage price change. A relatively price-inelastic demand response is proportionately smaller. Food being necessary does not prove that one type of prepared meal has perfectly inelastic demand: substitutes, time horizon and budget share matter. The case supplies no estimated PED.</w:t>
      </w:r>
    </w:p>
    <w:p>
      <w:pPr>
        <w:pStyle w:val="Heading2"/>
      </w:pPr>
      <w:r>
        <w:t>Price ceiling</w:t>
      </w:r>
    </w:p>
    <w:p>
      <w:r>
        <w:t>A ceiling below the new equilibrium price binds. At P=5, Qd=100 and Qs1=60 in hundreds of meals/day. The shortage is 40 hundreds (4,000 meals/day). Posted affordability does not guarantee access: rationing, queues and reduced supply matter. A ceiling above equilibrium is non-binding in this model.</w:t>
      </w:r>
    </w:p>
    <w:p>
      <w:pPr>
        <w:pStyle w:val="Heading2"/>
      </w:pPr>
      <w:r>
        <w:t>Policy evaluation</w:t>
      </w:r>
    </w:p>
    <w:p>
      <w:r>
        <w:t>A producer subsidy may expand supply but uses public funds and may benefit parties beyond the intended group. Targeted household support addresses purchasing power but does not directly reduce production costs and can sustain demand. A temporary cap may provide immediate price protection to buyers who obtain goods, yet availability and allocation can undermine it. Judge against a stated objective, timeframe and administrative constraints.</w:t>
      </w:r>
    </w:p>
    <w:p>
      <w:pPr>
        <w:pStyle w:val="Heading2"/>
      </w:pPr>
      <w:r>
        <w:t>Worked chain</w:t>
      </w:r>
    </w:p>
    <w:p>
      <w:r>
        <w:t>Imported input costs rise → supplying each quantity requires a higher price → supply shifts up/left → at the old price quantity demanded exceeds supplied → upward price pressure → new equilibrium P=6 and Q=80. This is the model's prediction, not a measured policy result.</w:t>
      </w:r>
    </w:p>
    <w:p>
      <w:pPr>
        <w:pStyle w:val="Heading1"/>
      </w:pPr>
      <w:r>
        <w:t>Practice question bank and teacher answers</w:t>
      </w:r>
    </w:p>
    <w:p>
      <w:r>
        <w:t>These original questions are teacher resources. Do not include answer paragraphs in student exports.</w:t>
      </w:r>
    </w:p>
    <w:p>
      <w:pPr>
        <w:pStyle w:val="Heading2"/>
      </w:pPr>
      <w:r>
        <w:t>Concept support</w:t>
      </w:r>
    </w:p>
    <w:p>
      <w:pPr/>
      <w:r>
        <w:t>1. A meal's price rises and buyers choose fewer meals. Is that alone a shift in demand? Answer: no; it is a movement along demand, other determinants unchanged.</w:t>
      </w:r>
    </w:p>
    <w:p>
      <w:pPr/>
      <w:r>
        <w:t>2. Label D, S0 and S1 after higher input costs. Answer: S1 is above/left of S0; demand stays fixed.</w:t>
      </w:r>
    </w:p>
    <w:p>
      <w:pPr/>
      <w:r>
        <w:t>3. Would a S$7 ceiling bind after the shock? Answer: no, because equilibrium is S$6.</w:t>
      </w:r>
    </w:p>
    <w:p>
      <w:pPr>
        <w:pStyle w:val="Heading2"/>
      </w:pPr>
      <w:r>
        <w:t>Evidence application</w:t>
      </w:r>
    </w:p>
    <w:p>
      <w:pPr/>
      <w:r>
        <w:t>4. Write a causal paragraph using S$5, S$6, Q=100 and Q=80. Answer: connect the supply shift to the new equilibrium and state the quantity unit.</w:t>
      </w:r>
    </w:p>
    <w:p>
      <w:pPr/>
      <w:r>
        <w:t>5. What in the case supports limited short-run substitution? Answer: workers' time constraints; this does not establish a numerical PED.</w:t>
      </w:r>
    </w:p>
    <w:p>
      <w:pPr>
        <w:pStyle w:val="Heading2"/>
      </w:pPr>
      <w:r>
        <w:t>Evaluation</w:t>
      </w:r>
    </w:p>
    <w:p>
      <w:pPr/>
      <w:r>
        <w:t>6. Compare the immediate effect on a buyer who obtains a meal and one who cannot under a cap. Answer: lower posted price versus shortage/queues and allocation limits.</w:t>
      </w:r>
    </w:p>
    <w:p>
      <w:pPr/>
      <w:r>
        <w:t>7. State one reason targeted support could be preferred and one implementation limitation. Answer: targeting household need; identification, timeliness, fiscal cost or supply response.</w:t>
      </w:r>
    </w:p>
    <w:p>
      <w:pPr>
        <w:pStyle w:val="Heading2"/>
      </w:pPr>
      <w:r>
        <w:t>Extension</w:t>
      </w:r>
    </w:p>
    <w:p>
      <w:pPr/>
      <w:r>
        <w:t>8. Explain why an intervention's effect may differ over time. Answer: firms and consumers adjust capacity, product choice and substitutes.</w:t>
      </w:r>
    </w:p>
    <w:p>
      <w:pPr/>
      <w:r>
        <w:t>9. Evaluate a temporary cap while transfer systems are being prepared. Answer: accept either conditional conclusion with mechanisms, trade-offs and evidence limits.</w:t>
      </w:r>
    </w:p>
    <w:p>
      <w:pPr>
        <w:pStyle w:val="Heading2"/>
      </w:pPr>
      <w:r>
        <w:t>Exit ticket model</w:t>
      </w:r>
    </w:p>
    <w:p>
      <w:r>
        <w:t>Suppose Qd=180−20P and Qs=20P−20. Find equilibrium and the shortage at P=4. Answer: P=5, Q=80; Qd=100, Qs=60 at P=4; shortage=40 in the stated quantity units.</w:t>
      </w:r>
    </w:p>
    <w:p>
      <w:pPr>
        <w:pStyle w:val="Heading1"/>
      </w:pPr>
      <w:r>
        <w:t>Student email workflow</w:t>
      </w:r>
    </w:p>
    <w:p>
      <w:r>
        <w:t>Create one encouraging message per student using the contact table below. Refer only to that student's learning pack. Exclude teacher answers, class summaries and other students' work. All newly generated feedback starts pending teacher review. Demonstrate approved examples separately without claiming the teacher has approved actual packs. Use a pack version to distinguish a revised pack from a duplicate draft.</w:t>
      </w:r>
    </w:p>
    <w:tbl>
      <w:tblPr>
        <w:tblW w:type="auto" w:w="0"/>
        <w:tblLayout w:type="fixed"/>
        <w:tblLook w:firstColumn="1" w:firstRow="1" w:lastColumn="0" w:lastRow="0" w:noHBand="0" w:noVBand="1" w:val="04A0"/>
      </w:tblPr>
      <w:tblGrid>
        <w:gridCol w:w="2592"/>
        <w:gridCol w:w="7056"/>
      </w:tblGrid>
      <w:tr>
        <w:trPr>
          <w:cantSplit/>
          <w:tblHeader/>
        </w:trPr>
        <w:tc>
          <w:tcPr>
            <w:tcW w:type="dxa" w:w="2592"/>
            <w:tcBorders>
              <w:top w:val="single" w:sz="4" w:color="D9D9D9"/>
              <w:left w:val="single" w:sz="4" w:color="D9D9D9"/>
              <w:bottom w:val="single" w:sz="4" w:color="D9D9D9"/>
              <w:right w:val="single" w:sz="4" w:color="D9D9D9"/>
            </w:tcBorders>
            <w:shd w:fill="E8ECEF"/>
          </w:tcPr>
          <w:p>
            <w:pPr>
              <w:spacing w:after="100" w:before="100"/>
            </w:pPr>
            <w:r>
              <w:rPr>
                <w:b/>
                <w:sz w:val="18"/>
              </w:rPr>
              <w:t>student_id</w:t>
            </w:r>
          </w:p>
        </w:tc>
        <w:tc>
          <w:tcPr>
            <w:tcW w:type="dxa" w:w="7056"/>
            <w:tcBorders>
              <w:top w:val="single" w:sz="4" w:color="D9D9D9"/>
              <w:left w:val="single" w:sz="4" w:color="D9D9D9"/>
              <w:bottom w:val="single" w:sz="4" w:color="D9D9D9"/>
              <w:right w:val="single" w:sz="4" w:color="D9D9D9"/>
            </w:tcBorders>
            <w:shd w:fill="E8ECEF"/>
          </w:tcPr>
          <w:p>
            <w:pPr>
              <w:spacing w:after="100" w:before="100"/>
            </w:pPr>
            <w:r>
              <w:rPr>
                <w:b/>
                <w:sz w:val="18"/>
              </w:rPr>
              <w:t>email</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S01</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student01@example.invalid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S02</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student02@example.invalid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S03</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student03@example.invalid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S04</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student04@example.invalid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S05</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student05@example.invalid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S06</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student06@example.invalid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S07</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student07@example.invalid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S08</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student08@example.invalid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S09</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student09@example.invalid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S10</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student10@example.invalid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S11</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student11@example.invalid</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8"/>
              </w:rPr>
              <w:t>S12</w:t>
            </w:r>
          </w:p>
        </w:tc>
        <w:tc>
          <w:tcPr>
            <w:tcW w:type="dxa" w:w="7056"/>
            <w:tcBorders>
              <w:top w:val="single" w:sz="4" w:color="D9D9D9"/>
              <w:left w:val="single" w:sz="4" w:color="D9D9D9"/>
              <w:bottom w:val="single" w:sz="4" w:color="D9D9D9"/>
              <w:right w:val="single" w:sz="4" w:color="D9D9D9"/>
            </w:tcBorders>
          </w:tcPr>
          <w:p>
            <w:pPr>
              <w:spacing w:after="100" w:before="100"/>
            </w:pPr>
            <w:r>
              <w:rPr>
                <w:b w:val="0"/>
                <w:sz w:val="18"/>
              </w:rPr>
              <w:t>student12@example.invalid</w:t>
            </w:r>
          </w:p>
        </w:tc>
      </w:tr>
    </w:tbl>
    <w:p/>
    <w:p>
      <w:pPr>
        <w:pStyle w:val="Heading1"/>
      </w:pPr>
      <w:r>
        <w:t>Curriculum context</w:t>
      </w:r>
    </w:p>
    <w:p>
      <w:r>
        <w:t>ACJC describes economics learning through analysis, application and reasoned evaluation of choices and trade-offs. Use these questions and the market model to practise analysis, application and evaluation.</w:t>
      </w:r>
    </w:p>
    <w:p>
      <w:pPr>
        <w:pStyle w:val="ListBullet"/>
      </w:pPr>
      <w:r>
        <w:t>ACJC Economics (https://www.acjc.moe.edu.sg/student-life/academics/subjects/economics/) – checked 22 September 2026.</w:t>
      </w:r>
    </w:p>
    <w:sectPr w:rsidR="00FC693F" w:rsidRPr="0006063C" w:rsidSect="00034616">
      <w:footerReference w:type="default" r:id="rId9"/>
      <w:pgSz w:w="11909" w:h="16834"/>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Reference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