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outreach session plan</w:t>
      </w:r>
    </w:p>
    <w:p>
      <w:r>
        <w:t>From the Community Outreach Lead</w:t>
      </w:r>
    </w:p>
    <w:p>
      <w:r>
        <w:t>Please prepare our next scam-awareness session for older residents in Bedok and Woodlands. Use the earlier practice-quiz results to decide what to reinforce. We need a short facilitator guide, a resident takeaway and a visual suitable for a community-club screen. Keep the tone calm and respectful and have any Chinese draft checked by a bilingual facilitator.</w:t>
      </w:r>
    </w:p>
    <w:p>
      <w:pPr>
        <w:pStyle w:val="Heading1"/>
      </w:pPr>
      <w:r>
        <w:t>Community scam awareness workshop</w:t>
      </w:r>
    </w:p>
    <w:p>
      <w:r>
        <w:t>Sessions at community clubs in Bedok and Woodlands. Use the responses to plan support for the participating learners.</w:t>
      </w:r>
    </w:p>
    <w:p>
      <w:r>
        <w:t>Use Singapore English with short sentences and familiar terms: Singpass, PayNow, OTP, community club and ScamShield. Explain abbreviations. Use large text, clear answer buttons and keyboard navigation. Avoid shaming a wrong answer. Explain the reasoning and the next action.</w:t>
      </w:r>
    </w:p>
    <w:p>
      <w:r>
        <w:t>Core language: English. Optional second language: Simplified Chinese for Singapore readers. All supplied Chinese terms and new translations are draft teaching text requiring bilingual facilitator review. Do not label them officially approved.</w:t>
      </w:r>
    </w:p>
    <w:p>
      <w:r>
        <w:t>Measure answered-item accuracy and unanswered counts separately. An anonymous learner can be partially complete. The questions are five worked teaching examples, not a validated assessment of scam susceptibility.</w:t>
      </w:r>
    </w:p>
    <w:p>
      <w:pPr>
        <w:pStyle w:val="Heading1"/>
      </w:pPr>
      <w:r>
        <w:t>Message image activity</w:t>
      </w:r>
    </w:p>
    <w:p>
      <w:r>
        <w:t>Use message-screenshots.png as three discussion examples, M1 to M3. Ask residents what they can see, what the message requests and how they would check independently. The display name alone cannot establish who sent it. These three examples are teaching material and do not add learner records to the quiz workbook.</w:t>
      </w:r>
    </w:p>
    <w:p>
      <w:pPr>
        <w:pStyle w:val="Heading1"/>
        <w:pageBreakBefore/>
      </w:pPr>
      <w:r>
        <w:t>Session follow up</w:t>
      </w:r>
    </w:p>
    <w:p>
      <w:r>
        <w:t>Prepare one session-specific organiser summary for each completed session using organiser@example.invalid. Include completion, weak topics, the takeaway and the visual. Exclude individual learner responses. Track the session and reporting date so the same session is not drafted twice. Proposed routine: after each completed outreach session.</w:t>
      </w:r>
    </w:p>
    <w:tbl>
      <w:tblPr>
        <w:tblW w:type="auto" w:w="0"/>
        <w:tblLayout w:type="fixed"/>
        <w:tblLook w:firstColumn="1" w:firstRow="1" w:lastColumn="0" w:lastRow="0" w:noHBand="0" w:noVBand="1" w:val="04A0"/>
      </w:tblPr>
      <w:tblGrid>
        <w:gridCol w:w="2592"/>
        <w:gridCol w:w="7056"/>
      </w:tblGrid>
      <w:tr>
        <w:trPr>
          <w:cantSplit/>
          <w:tblHeader/>
        </w:trPr>
        <w:tc>
          <w:tcPr>
            <w:tcW w:type="dxa" w:w="2592"/>
            <w:tcBorders>
              <w:top w:val="single" w:sz="4" w:color="D9D9D9"/>
              <w:left w:val="single" w:sz="4" w:color="D9D9D9"/>
              <w:bottom w:val="single" w:sz="4" w:color="D9D9D9"/>
              <w:right w:val="single" w:sz="4" w:color="D9D9D9"/>
            </w:tcBorders>
            <w:shd w:fill="E8ECEF"/>
          </w:tcPr>
          <w:p>
            <w:pPr>
              <w:spacing w:after="100" w:before="100"/>
            </w:pPr>
            <w:r>
              <w:rPr>
                <w:b/>
                <w:sz w:val="18"/>
              </w:rPr>
              <w:t>role</w:t>
            </w:r>
          </w:p>
        </w:tc>
        <w:tc>
          <w:tcPr>
            <w:tcW w:type="dxa" w:w="7056"/>
            <w:tcBorders>
              <w:top w:val="single" w:sz="4" w:color="D9D9D9"/>
              <w:left w:val="single" w:sz="4" w:color="D9D9D9"/>
              <w:bottom w:val="single" w:sz="4" w:color="D9D9D9"/>
              <w:right w:val="single" w:sz="4" w:color="D9D9D9"/>
            </w:tcBorders>
            <w:shd w:fill="E8ECEF"/>
          </w:tcPr>
          <w:p>
            <w:pPr>
              <w:spacing w:after="100" w:before="100"/>
            </w:pPr>
            <w:r>
              <w:rPr>
                <w:b/>
                <w:sz w:val="18"/>
              </w:rPr>
              <w:t>email</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workshop_reviewer</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reviewer@example.invalid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workshop_organiser</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organiser@example.invalid</w:t>
            </w:r>
          </w:p>
        </w:tc>
      </w:tr>
    </w:tbl>
    <w:p/>
    <w:p>
      <w:pPr>
        <w:pStyle w:val="Heading1"/>
      </w:pPr>
      <w:r>
        <w:t>Terminology for bilingual review</w:t>
      </w:r>
    </w:p>
    <w:tbl>
      <w:tblPr>
        <w:tblW w:type="auto" w:w="0"/>
        <w:tblLayout w:type="fixed"/>
        <w:tblLook w:firstColumn="1" w:firstRow="1" w:lastColumn="0" w:lastRow="0" w:noHBand="0" w:noVBand="1" w:val="04A0"/>
      </w:tblPr>
      <w:tblGrid>
        <w:gridCol w:w="3216"/>
        <w:gridCol w:w="3216"/>
        <w:gridCol w:w="3216"/>
      </w:tblGrid>
      <w:tr>
        <w:trPr>
          <w:cantSplit/>
          <w:tblHeader/>
        </w:trPr>
        <w:tc>
          <w:tcPr>
            <w:tcW w:type="dxa" w:w="3216"/>
            <w:tcBorders>
              <w:top w:val="single" w:sz="4" w:color="D9D9D9"/>
              <w:left w:val="single" w:sz="4" w:color="D9D9D9"/>
              <w:bottom w:val="single" w:sz="4" w:color="D9D9D9"/>
              <w:right w:val="single" w:sz="4" w:color="D9D9D9"/>
            </w:tcBorders>
            <w:shd w:fill="E8ECEF"/>
          </w:tcPr>
          <w:p>
            <w:pPr>
              <w:spacing w:after="100" w:before="100"/>
            </w:pPr>
            <w:r>
              <w:rPr>
                <w:b/>
                <w:sz w:val="18"/>
              </w:rPr>
              <w:t>english</w:t>
            </w:r>
          </w:p>
        </w:tc>
        <w:tc>
          <w:tcPr>
            <w:tcW w:type="dxa" w:w="3216"/>
            <w:tcBorders>
              <w:top w:val="single" w:sz="4" w:color="D9D9D9"/>
              <w:left w:val="single" w:sz="4" w:color="D9D9D9"/>
              <w:bottom w:val="single" w:sz="4" w:color="D9D9D9"/>
              <w:right w:val="single" w:sz="4" w:color="D9D9D9"/>
            </w:tcBorders>
            <w:shd w:fill="E8ECEF"/>
          </w:tcPr>
          <w:p>
            <w:pPr>
              <w:spacing w:after="100" w:before="100"/>
            </w:pPr>
            <w:r>
              <w:rPr>
                <w:b/>
                <w:sz w:val="18"/>
              </w:rPr>
              <w:t>simplified_chinese</w:t>
            </w:r>
          </w:p>
        </w:tc>
        <w:tc>
          <w:tcPr>
            <w:tcW w:type="dxa" w:w="3216"/>
            <w:tcBorders>
              <w:top w:val="single" w:sz="4" w:color="D9D9D9"/>
              <w:left w:val="single" w:sz="4" w:color="D9D9D9"/>
              <w:bottom w:val="single" w:sz="4" w:color="D9D9D9"/>
              <w:right w:val="single" w:sz="4" w:color="D9D9D9"/>
            </w:tcBorders>
            <w:shd w:fill="E8ECEF"/>
          </w:tcPr>
          <w:p>
            <w:pPr>
              <w:spacing w:after="100" w:before="100"/>
            </w:pPr>
            <w:r>
              <w:rPr>
                <w:b/>
                <w:sz w:val="18"/>
              </w:rPr>
              <w:t>status</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One-time password (OTP)</w:t>
            </w:r>
          </w:p>
        </w:tc>
        <w:tc>
          <w:tcPr>
            <w:tcW w:type="dxa" w:w="3216"/>
            <w:tcBorders>
              <w:top w:val="single" w:sz="4" w:color="D9D9D9"/>
              <w:left w:val="single" w:sz="4" w:color="D9D9D9"/>
              <w:bottom w:val="single" w:sz="4" w:color="D9D9D9"/>
              <w:right w:val="single" w:sz="4" w:color="D9D9D9"/>
            </w:tcBorders>
          </w:tcPr>
          <w:p>
            <w:pPr>
              <w:spacing w:after="100" w:before="100"/>
            </w:pPr>
            <w:r>
              <w:rPr>
                <w:rFonts w:ascii="Arial Unicode MS" w:hAnsi="Arial Unicode MS" w:eastAsia="Arial Unicode MS"/>
                <w:b w:val="0"/>
                <w:sz w:val="18"/>
              </w:rPr>
              <w:t>一次性密码（OTP）</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Draft for bilingual review</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Verify independently</w:t>
            </w:r>
          </w:p>
        </w:tc>
        <w:tc>
          <w:tcPr>
            <w:tcW w:type="dxa" w:w="3216"/>
            <w:tcBorders>
              <w:top w:val="single" w:sz="4" w:color="D9D9D9"/>
              <w:left w:val="single" w:sz="4" w:color="D9D9D9"/>
              <w:bottom w:val="single" w:sz="4" w:color="D9D9D9"/>
              <w:right w:val="single" w:sz="4" w:color="D9D9D9"/>
            </w:tcBorders>
          </w:tcPr>
          <w:p>
            <w:pPr>
              <w:spacing w:after="100" w:before="100"/>
            </w:pPr>
            <w:r>
              <w:rPr>
                <w:rFonts w:ascii="Arial Unicode MS" w:hAnsi="Arial Unicode MS" w:eastAsia="Arial Unicode MS"/>
                <w:b w:val="0"/>
                <w:sz w:val="18"/>
              </w:rPr>
              <w:t>通过独立渠道核实</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Draft for bilingual review</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Do not transfer money</w:t>
            </w:r>
          </w:p>
        </w:tc>
        <w:tc>
          <w:tcPr>
            <w:tcW w:type="dxa" w:w="3216"/>
            <w:tcBorders>
              <w:top w:val="single" w:sz="4" w:color="D9D9D9"/>
              <w:left w:val="single" w:sz="4" w:color="D9D9D9"/>
              <w:bottom w:val="single" w:sz="4" w:color="D9D9D9"/>
              <w:right w:val="single" w:sz="4" w:color="D9D9D9"/>
            </w:tcBorders>
          </w:tcPr>
          <w:p>
            <w:pPr>
              <w:spacing w:after="100" w:before="100"/>
            </w:pPr>
            <w:r>
              <w:rPr>
                <w:rFonts w:ascii="Arial Unicode MS" w:hAnsi="Arial Unicode MS" w:eastAsia="Arial Unicode MS"/>
                <w:b w:val="0"/>
                <w:sz w:val="18"/>
              </w:rPr>
              <w:t>不要转账</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Draft for bilingual review</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Government official</w:t>
            </w:r>
          </w:p>
        </w:tc>
        <w:tc>
          <w:tcPr>
            <w:tcW w:type="dxa" w:w="3216"/>
            <w:tcBorders>
              <w:top w:val="single" w:sz="4" w:color="D9D9D9"/>
              <w:left w:val="single" w:sz="4" w:color="D9D9D9"/>
              <w:bottom w:val="single" w:sz="4" w:color="D9D9D9"/>
              <w:right w:val="single" w:sz="4" w:color="D9D9D9"/>
            </w:tcBorders>
          </w:tcPr>
          <w:p>
            <w:pPr>
              <w:spacing w:after="100" w:before="100"/>
            </w:pPr>
            <w:r>
              <w:rPr>
                <w:rFonts w:ascii="Arial Unicode MS" w:hAnsi="Arial Unicode MS" w:eastAsia="Arial Unicode MS"/>
                <w:b w:val="0"/>
                <w:sz w:val="18"/>
              </w:rPr>
              <w:t>政府人员</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Draft for bilingual review</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Community club</w:t>
            </w:r>
          </w:p>
        </w:tc>
        <w:tc>
          <w:tcPr>
            <w:tcW w:type="dxa" w:w="3216"/>
            <w:tcBorders>
              <w:top w:val="single" w:sz="4" w:color="D9D9D9"/>
              <w:left w:val="single" w:sz="4" w:color="D9D9D9"/>
              <w:bottom w:val="single" w:sz="4" w:color="D9D9D9"/>
              <w:right w:val="single" w:sz="4" w:color="D9D9D9"/>
            </w:tcBorders>
          </w:tcPr>
          <w:p>
            <w:pPr>
              <w:spacing w:after="100" w:before="100"/>
            </w:pPr>
            <w:r>
              <w:rPr>
                <w:rFonts w:ascii="Arial Unicode MS" w:hAnsi="Arial Unicode MS" w:eastAsia="Arial Unicode MS"/>
                <w:b w:val="0"/>
                <w:sz w:val="18"/>
              </w:rPr>
              <w:t>民众俱乐部</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Draft for bilingual review</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Pause and check</w:t>
            </w:r>
          </w:p>
        </w:tc>
        <w:tc>
          <w:tcPr>
            <w:tcW w:type="dxa" w:w="3216"/>
            <w:tcBorders>
              <w:top w:val="single" w:sz="4" w:color="D9D9D9"/>
              <w:left w:val="single" w:sz="4" w:color="D9D9D9"/>
              <w:bottom w:val="single" w:sz="4" w:color="D9D9D9"/>
              <w:right w:val="single" w:sz="4" w:color="D9D9D9"/>
            </w:tcBorders>
          </w:tcPr>
          <w:p>
            <w:pPr>
              <w:spacing w:after="100" w:before="100"/>
            </w:pPr>
            <w:r>
              <w:rPr>
                <w:rFonts w:ascii="Arial Unicode MS" w:hAnsi="Arial Unicode MS" w:eastAsia="Arial Unicode MS"/>
                <w:b w:val="0"/>
                <w:sz w:val="18"/>
              </w:rPr>
              <w:t>先停一停，再核实</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Draft for bilingual review</w:t>
            </w:r>
          </w:p>
        </w:tc>
      </w:tr>
    </w:tbl>
    <w:p/>
    <w:sectPr w:rsidR="00FC693F" w:rsidRPr="0006063C" w:rsidSect="00034616">
      <w:footerReference w:type="default" r:id="rId9"/>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Reference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