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77777777" w:rsidR="00C95EB6" w:rsidRDefault="00C95EB6" w:rsidP="00C95EB6">
      <w:pPr>
        <w:ind w:firstLine="0"/>
      </w:pPr>
      <w:bookmarkStart w:id="0" w:name="_w1tuw9bhm23d" w:colFirst="0" w:colLast="0"/>
      <w:bookmarkEnd w:id="0"/>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Health: the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dataset </w:t>
      </w:r>
    </w:p>
    <w:p w14:paraId="2E21F927" w14:textId="00B8644D" w:rsidR="001438B8" w:rsidRDefault="001438B8" w:rsidP="001438B8">
      <w:r>
        <w:t>An exploratory Beta regression was fit to the observed distribution of binned</w:t>
      </w:r>
      <w:r w:rsidR="005D7E6F" w:rsidRPr="005D7E6F">
        <w:t xml:space="preserve"> </w:t>
      </w:r>
      <w:r w:rsidR="005D7E6F" w:rsidRPr="005D7E6F">
        <w:t>α</w:t>
      </w:r>
      <w:r w:rsidR="005D7E6F" w:rsidRPr="005D7E6F">
        <w:t xml:space="preserve">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dataset</w:t>
      </w:r>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S. Analyses of the I/O dataset after removing DOIs already present in the psychology dataset</w:t>
      </w:r>
    </w:p>
    <w:p w14:paraId="518E18A5" w14:textId="4B01C9D4" w:rsidR="00EA61B4" w:rsidRDefault="00000000" w:rsidP="0031364E">
      <w:r>
        <w:t>The test of the first hypothesis found a 14% excess of</w:t>
      </w:r>
      <w:r w:rsidR="00B537BF" w:rsidRPr="00B537BF">
        <w:t xml:space="preserve"> </w:t>
      </w:r>
      <w:r w:rsidR="00B537BF" w:rsidRPr="00B537BF">
        <w:t>α</w:t>
      </w:r>
      <w:r w:rsidR="00B537BF" w:rsidRPr="00B537BF">
        <w:t xml:space="preserve"> </w:t>
      </w:r>
      <w:r>
        <w:t xml:space="preserve">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w:t>
      </w:r>
      <w:r w:rsidR="007A4964" w:rsidRPr="007A4964">
        <w:t xml:space="preserve"> </w:t>
      </w:r>
      <w:r w:rsidR="007A4964" w:rsidRPr="007A4964">
        <w:t>α</w:t>
      </w:r>
      <w:r w:rsidR="007A4964" w:rsidRPr="007A4964">
        <w:t xml:space="preserve"> </w:t>
      </w:r>
      <w:r>
        <w:t>values at common rule-of-thumb thresholds.</w:t>
      </w:r>
      <w:bookmarkStart w:id="3" w:name="_w9szeog9riob" w:colFirst="0" w:colLast="0"/>
      <w:bookmarkEnd w:id="3"/>
    </w:p>
    <w:p w14:paraId="2EA65043" w14:textId="77777777" w:rsidR="0031364E" w:rsidRDefault="0031364E" w:rsidP="0031364E"/>
    <w:p w14:paraId="162ADE76" w14:textId="77777777" w:rsidR="00695D6B" w:rsidRDefault="00695D6B">
      <w:pPr>
        <w:rPr>
          <w:b/>
        </w:rPr>
      </w:pPr>
      <w:bookmarkStart w:id="4" w:name="_sstaomonxlav" w:colFirst="0" w:colLast="0"/>
      <w:bookmarkEnd w:id="4"/>
      <w:r>
        <w:br w:type="page"/>
      </w:r>
    </w:p>
    <w:p w14:paraId="525E245C" w14:textId="13F61783"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Observed counts of</w:t>
      </w:r>
      <w:r w:rsidR="009749AB" w:rsidRPr="009749AB">
        <w:t xml:space="preserve"> </w:t>
      </w:r>
      <w:r w:rsidR="009749AB" w:rsidRPr="009749AB">
        <w:rPr>
          <w:lang w:val="en-US"/>
        </w:rPr>
        <w:t>α</w:t>
      </w:r>
      <w:r w:rsidR="009749AB" w:rsidRPr="009749AB">
        <w:rPr>
          <w:lang w:val="en-US"/>
        </w:rPr>
        <w:t xml:space="preserve"> </w:t>
      </w:r>
      <w:r w:rsidRPr="003D7456">
        <w:rPr>
          <w:lang w:val="en-US"/>
        </w:rPr>
        <w:t>values with kernel smoothing (upper panel) and residuals (lower panel) in the I/O dataset</w:t>
      </w:r>
      <w:r>
        <w:rPr>
          <w:lang w:val="en-US"/>
        </w:rPr>
        <w:t>, when overlap with the psychology dataset was removed</w:t>
      </w:r>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5" w:name="_nlfqiz712ibn" w:colFirst="0" w:colLast="0"/>
      <w:bookmarkEnd w:id="5"/>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6" w:name="_jdvr7noi93e" w:colFirst="0" w:colLast="0"/>
      <w:bookmarkEnd w:id="6"/>
      <w:r>
        <w:br w:type="page"/>
      </w:r>
    </w:p>
    <w:p w14:paraId="4ABAC042" w14:textId="560DA5AC" w:rsidR="00EA61B4" w:rsidRDefault="00000000">
      <w:pPr>
        <w:pStyle w:val="Heading2"/>
      </w:pPr>
      <w:r>
        <w:lastRenderedPageBreak/>
        <w:t xml:space="preserve">Note </w:t>
      </w:r>
      <w:r w:rsidR="007338A4">
        <w:t>3</w:t>
      </w:r>
      <w:r>
        <w:t>S. Caliper tests</w:t>
      </w:r>
    </w:p>
    <w:p w14:paraId="796E7CD7" w14:textId="2EA50FC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w:t>
      </w:r>
      <w:r w:rsidR="008235BC" w:rsidRPr="008235BC">
        <w:t>α</w:t>
      </w:r>
      <w:r w:rsidR="008235BC" w:rsidRPr="008235BC">
        <w:t xml:space="preserve">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w:t>
      </w:r>
      <w:r w:rsidR="00A14363" w:rsidRPr="00A14363">
        <w:t>α</w:t>
      </w:r>
      <w:r w:rsidR="00A14363" w:rsidRPr="00A14363">
        <w:t xml:space="preserve">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w:t>
      </w:r>
      <w:r w:rsidR="009E0DB6" w:rsidRPr="009E0DB6">
        <w:t>α</w:t>
      </w:r>
      <w:r w:rsidR="009E0DB6" w:rsidRPr="009E0DB6">
        <w:t xml:space="preserve"> </w:t>
      </w:r>
      <w:r>
        <w:t xml:space="preserve">=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031DD82B" w:rsidR="00EA61B4" w:rsidRDefault="00000000">
      <w:r>
        <w:t>In the psychology dataset, the caliper ratio for the</w:t>
      </w:r>
      <w:r w:rsidR="00A06D12" w:rsidRPr="00A06D12">
        <w:t xml:space="preserve"> </w:t>
      </w:r>
      <w:r w:rsidR="00A06D12" w:rsidRPr="00A06D12">
        <w:t>α</w:t>
      </w:r>
      <w:r w:rsidR="00A06D12" w:rsidRPr="00A06D12">
        <w:t xml:space="preserve"> </w:t>
      </w:r>
      <w:r>
        <w:t>= .70 threshold 1.</w:t>
      </w:r>
      <w:r w:rsidR="00440103">
        <w:t>71</w:t>
      </w:r>
      <w:r>
        <w:t xml:space="preserve">. That is, </w:t>
      </w:r>
      <w:r w:rsidR="00440103">
        <w:t>roughly 70%</w:t>
      </w:r>
      <w:r>
        <w:t xml:space="preserve"> </w:t>
      </w:r>
      <w:r w:rsidR="005A2CC0">
        <w:t>more</w:t>
      </w:r>
      <w:r w:rsidR="001424F7" w:rsidRPr="001424F7">
        <w:t xml:space="preserve"> </w:t>
      </w:r>
      <w:r w:rsidR="001424F7" w:rsidRPr="001424F7">
        <w:t>α</w:t>
      </w:r>
      <w:r w:rsidR="001424F7" w:rsidRPr="001424F7">
        <w:t xml:space="preserve">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w:t>
      </w:r>
      <w:r w:rsidR="004065F8" w:rsidRPr="004065F8">
        <w:t>α</w:t>
      </w:r>
      <w:r w:rsidR="004065F8" w:rsidRPr="004065F8">
        <w:t xml:space="preserve">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w:t>
      </w:r>
      <w:r w:rsidR="00ED30F0" w:rsidRPr="00ED30F0">
        <w:t>α</w:t>
      </w:r>
      <w:r w:rsidR="00ED30F0" w:rsidRPr="00ED30F0">
        <w:t xml:space="preserve"> </w:t>
      </w:r>
      <w:r>
        <w:t>= .90: ratio = 1.0</w:t>
      </w:r>
      <w:r w:rsidR="00021F0D">
        <w:t>2</w:t>
      </w:r>
      <w:r>
        <w:t>). See Figure 3S. Rather than compare these ratios against a null hypothesis of zero (due to the above distributional considerations), we instead then calculated a ratio for every bin and its preceding bin between</w:t>
      </w:r>
      <w:r w:rsidR="00E41A5F" w:rsidRPr="00E41A5F">
        <w:t xml:space="preserve"> </w:t>
      </w:r>
      <w:r w:rsidR="00E41A5F" w:rsidRPr="00E41A5F">
        <w:t>α</w:t>
      </w:r>
      <w:r w:rsidR="00E41A5F" w:rsidRPr="00E41A5F">
        <w:t xml:space="preserve"> </w:t>
      </w:r>
      <w:r>
        <w:t xml:space="preserve">= .50 and .99. In order to test whether the caliper ratios at the thresholds were larger than other ratios, we then applied permutation tests to compare the threshold ratios against all non-threshold ratios. </w:t>
      </w:r>
      <w:r>
        <w:lastRenderedPageBreak/>
        <w:t>Results demonstrated that the</w:t>
      </w:r>
      <w:r w:rsidR="007B446F" w:rsidRPr="007B446F">
        <w:t xml:space="preserve"> </w:t>
      </w:r>
      <w:r w:rsidR="007B446F" w:rsidRPr="007B446F">
        <w:t>α</w:t>
      </w:r>
      <w:r w:rsidR="007B446F" w:rsidRPr="007B446F">
        <w:t xml:space="preserve">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000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.02617</w:t>
      </w:r>
      <w:r>
        <w:t xml:space="preserve">. </w:t>
      </w:r>
    </w:p>
    <w:p w14:paraId="1AD44278" w14:textId="5D7D993C" w:rsidR="00EA61B4" w:rsidRDefault="00000000">
      <w:r>
        <w:t xml:space="preserve">This pattern of results also generalized to the I/O dataset for two of the thresholds </w:t>
      </w:r>
      <w:r w:rsidR="00AF13DA">
        <w:t>(</w:t>
      </w:r>
      <w:r w:rsidR="00AF13DA" w:rsidRPr="00AF13DA">
        <w:t>α</w:t>
      </w:r>
      <w:r w:rsidR="00AF13DA" w:rsidRPr="00AF13DA">
        <w:t xml:space="preserve"> </w:t>
      </w:r>
      <w:r>
        <w:t>= .70: ratio 1.64;</w:t>
      </w:r>
      <w:r w:rsidR="00352642" w:rsidRPr="00352642">
        <w:t xml:space="preserve"> </w:t>
      </w:r>
      <w:r w:rsidR="00352642" w:rsidRPr="00352642">
        <w:t>α</w:t>
      </w:r>
      <w:r w:rsidR="00352642" w:rsidRPr="00352642">
        <w:t xml:space="preserve"> </w:t>
      </w:r>
      <w:r>
        <w:t>= .80: ratio = 1.13;</w:t>
      </w:r>
      <w:r w:rsidR="0080503C" w:rsidRPr="0080503C">
        <w:t xml:space="preserve"> </w:t>
      </w:r>
      <w:r w:rsidR="0080503C" w:rsidRPr="0080503C">
        <w:t>α</w:t>
      </w:r>
      <w:r w:rsidR="0080503C" w:rsidRPr="0080503C">
        <w:t xml:space="preserve"> </w:t>
      </w:r>
      <w:r>
        <w:t>= .90: ratio = 0.96). See Figure 4S. The</w:t>
      </w:r>
      <w:r w:rsidR="009F2277" w:rsidRPr="009F2277">
        <w:t xml:space="preserve"> </w:t>
      </w:r>
      <w:r w:rsidR="009F2277" w:rsidRPr="009F2277">
        <w:t>α</w:t>
      </w:r>
      <w:r w:rsidR="009F2277" w:rsidRPr="009F2277">
        <w:t xml:space="preserve"> </w:t>
      </w:r>
      <w:r>
        <w:t xml:space="preserve">= .70 caliper ratio was again found to be larger than the other ratios, </w:t>
      </w:r>
      <w:r>
        <w:rPr>
          <w:i/>
        </w:rPr>
        <w:t>Z</w:t>
      </w:r>
      <w:r>
        <w:t xml:space="preserve"> = 2.34, </w:t>
      </w:r>
      <w:r>
        <w:rPr>
          <w:i/>
        </w:rPr>
        <w:t>p</w:t>
      </w:r>
      <w:r>
        <w:t xml:space="preserve"> = .04; however the .70, .80, and .90 ratios were not found to be larger than the other ratios, </w:t>
      </w:r>
      <w:r>
        <w:rPr>
          <w:i/>
        </w:rPr>
        <w:t>Z</w:t>
      </w:r>
      <w:r>
        <w:t xml:space="preserve"> = 1.40, </w:t>
      </w:r>
      <w:r>
        <w:rPr>
          <w:i/>
        </w:rPr>
        <w:t>p</w:t>
      </w:r>
      <w:r>
        <w:t xml:space="preserve"> = .092. The pattern of excesses at</w:t>
      </w:r>
      <w:r w:rsidR="00CD3D98" w:rsidRPr="00CD3D98">
        <w:t xml:space="preserve"> </w:t>
      </w:r>
      <w:r w:rsidR="00CD3D98" w:rsidRPr="00CD3D98">
        <w:t>α</w:t>
      </w:r>
      <w:r w:rsidR="00CD3D98" w:rsidRPr="00CD3D98">
        <w:t xml:space="preserve"> </w:t>
      </w:r>
      <w:r>
        <w:t>= .70 were therefore robust to the choice of analytic method. The collective excesses at all three thresholds were not robust in the I/O dataset. This may be because of large ratios observed at other round values of</w:t>
      </w:r>
      <w:r w:rsidR="00787581" w:rsidRPr="00787581">
        <w:t xml:space="preserve"> </w:t>
      </w:r>
      <w:r w:rsidR="00787581" w:rsidRPr="00787581">
        <w:t>α</w:t>
      </w:r>
      <w:r w:rsidR="00787581" w:rsidRPr="00787581">
        <w:t xml:space="preserve"> </w:t>
      </w:r>
      <w:r>
        <w:t>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7" w:name="_v354yl64c2v0" w:colFirst="0" w:colLast="0"/>
      <w:bookmarkEnd w:id="7"/>
      <w:r>
        <w:br w:type="page"/>
      </w:r>
    </w:p>
    <w:p w14:paraId="0AE3976D" w14:textId="021F05C7" w:rsidR="00EA61B4" w:rsidRDefault="00000000">
      <w:pPr>
        <w:pStyle w:val="Heading2"/>
      </w:pPr>
      <w:r>
        <w:lastRenderedPageBreak/>
        <w:t xml:space="preserve">Figure </w:t>
      </w:r>
      <w:r w:rsidR="007338A4">
        <w:t>4</w:t>
      </w:r>
      <w:r>
        <w:t>S. Comparison between the kernel smoothing and caliper test methods in the psychology dataset</w:t>
      </w:r>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8" w:name="_l6jovl9n2ug0" w:colFirst="0" w:colLast="0"/>
      <w:bookmarkEnd w:id="8"/>
      <w:r>
        <w:br w:type="page"/>
      </w:r>
    </w:p>
    <w:p w14:paraId="7DFF3703" w14:textId="7B2D665A" w:rsidR="00EA61B4" w:rsidRDefault="00000000">
      <w:pPr>
        <w:pStyle w:val="Heading2"/>
      </w:pPr>
      <w:r>
        <w:lastRenderedPageBreak/>
        <w:t xml:space="preserve">Figure </w:t>
      </w:r>
      <w:r w:rsidR="007338A4">
        <w:t>5</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9" w:name="_c8dlqtyu5dox" w:colFirst="0" w:colLast="0"/>
      <w:bookmarkEnd w:id="9"/>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0" w:name="_4kdxp7cth7ts" w:colFirst="0" w:colLast="0"/>
      <w:bookmarkEnd w:id="10"/>
    </w:p>
    <w:p w14:paraId="695A7BC0" w14:textId="1723EDA2" w:rsidR="0059463B" w:rsidRDefault="00860129" w:rsidP="0059463B">
      <w:pPr>
        <w:ind w:firstLine="0"/>
      </w:pPr>
      <w:bookmarkStart w:id="11" w:name="_bvatj2qfqz06" w:colFirst="0" w:colLast="0"/>
      <w:bookmarkStart w:id="12" w:name="_c9ogt66hmcy7" w:colFirst="0" w:colLast="0"/>
      <w:bookmarkEnd w:id="11"/>
      <w:bookmarkEnd w:id="12"/>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S. Caliper ratios for each bin and the preceding bin in the I/O dataset, when overlap with the psychology dataset is removed</w:t>
      </w:r>
    </w:p>
    <w:p w14:paraId="3FF20206" w14:textId="6275E96D" w:rsidR="002D010F" w:rsidRDefault="00860129" w:rsidP="0059463B">
      <w:pPr>
        <w:ind w:firstLine="0"/>
        <w:rPr>
          <w:b/>
        </w:rPr>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r w:rsidR="002D010F">
        <w:br w:type="page"/>
      </w:r>
    </w:p>
    <w:p w14:paraId="05D9E0EA" w14:textId="41056AF2" w:rsidR="00EA61B4" w:rsidRDefault="00000000">
      <w:pPr>
        <w:pStyle w:val="Heading2"/>
      </w:pPr>
      <w:r>
        <w:lastRenderedPageBreak/>
        <w:t>Table 3S. Standard errors associated with Cronbach’s</w:t>
      </w:r>
      <w:r w:rsidR="006717EB" w:rsidRPr="006717EB">
        <w:t xml:space="preserve"> </w:t>
      </w:r>
      <w:r w:rsidR="006717EB" w:rsidRPr="006717EB">
        <w:t>α</w:t>
      </w:r>
      <w:r w:rsidR="006717EB" w:rsidRPr="006717EB">
        <w:t xml:space="preserve"> </w:t>
      </w:r>
      <w:r>
        <w:t>=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3" w:name="_qys4i817yeuz" w:colFirst="0" w:colLast="0"/>
      <w:bookmarkEnd w:id="13"/>
      <w:r>
        <w:br w:type="page"/>
      </w:r>
    </w:p>
    <w:p w14:paraId="261E5F92" w14:textId="6BEC2906" w:rsidR="00EA61B4" w:rsidRDefault="00000000">
      <w:pPr>
        <w:pStyle w:val="Heading2"/>
      </w:pPr>
      <w:r w:rsidRPr="00860129">
        <w:lastRenderedPageBreak/>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α</w:t>
      </w:r>
      <w:r w:rsidR="009D3348" w:rsidRPr="009D3348">
        <w:rPr>
          <w:lang w:val="en-US"/>
        </w:rPr>
        <w:t xml:space="preserve">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w:t>
      </w:r>
      <w:r w:rsidR="00105292" w:rsidRPr="00105292">
        <w:t>α</w:t>
      </w:r>
      <w:r w:rsidR="00105292">
        <w:t xml:space="preserve">’s </w:t>
      </w:r>
      <w:r>
        <w:t>variance is a function of (a) the value of</w:t>
      </w:r>
      <w:r w:rsidR="00F241B4" w:rsidRPr="00F241B4">
        <w:t xml:space="preserve"> </w:t>
      </w:r>
      <w:r w:rsidR="00F241B4" w:rsidRPr="00F241B4">
        <w:t>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In order to assess whether</w:t>
      </w:r>
      <w:r w:rsidR="00F43670" w:rsidRPr="00F43670">
        <w:t xml:space="preserve"> </w:t>
      </w:r>
      <w:r w:rsidR="00F43670" w:rsidRPr="00F43670">
        <w:t>α</w:t>
      </w:r>
      <w:r w:rsidR="00F43670" w:rsidRPr="00F43670">
        <w:t xml:space="preserve"> </w:t>
      </w:r>
      <w:r>
        <w:t>is sufficiently precisely estimated in common study designs that researchers could plausibly discriminate between scales whose population</w:t>
      </w:r>
      <w:r w:rsidR="008F2B1F" w:rsidRPr="008F2B1F">
        <w:t xml:space="preserve"> </w:t>
      </w:r>
      <w:r w:rsidR="008F2B1F" w:rsidRPr="008F2B1F">
        <w:t>α</w:t>
      </w:r>
      <w:r w:rsidR="008F2B1F" w:rsidRPr="008F2B1F">
        <w:t xml:space="preserve"> </w:t>
      </w:r>
      <w:r>
        <w:t>values were .69 versus .70, we calculated the standard error of</w:t>
      </w:r>
      <w:r w:rsidR="002D41AB" w:rsidRPr="002D41AB">
        <w:t xml:space="preserve"> </w:t>
      </w:r>
      <w:r w:rsidR="002D41AB" w:rsidRPr="002D41AB">
        <w:t>α</w:t>
      </w:r>
      <w:r w:rsidR="002D41AB" w:rsidRPr="002D41AB">
        <w:t xml:space="preserve">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w:t>
      </w:r>
      <w:r w:rsidR="00C96D5A" w:rsidRPr="00C96D5A">
        <w:t>α</w:t>
      </w:r>
      <w:r w:rsidR="00C96D5A" w:rsidRPr="00C96D5A">
        <w:t xml:space="preserve">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E830" w14:textId="77777777" w:rsidR="005C528D" w:rsidRDefault="005C528D">
      <w:pPr>
        <w:spacing w:line="240" w:lineRule="auto"/>
      </w:pPr>
      <w:r>
        <w:separator/>
      </w:r>
    </w:p>
  </w:endnote>
  <w:endnote w:type="continuationSeparator" w:id="0">
    <w:p w14:paraId="238887A9" w14:textId="77777777" w:rsidR="005C528D" w:rsidRDefault="005C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76CC" w14:textId="77777777" w:rsidR="005C528D" w:rsidRDefault="005C528D">
      <w:pPr>
        <w:spacing w:line="240" w:lineRule="auto"/>
      </w:pPr>
      <w:r>
        <w:separator/>
      </w:r>
    </w:p>
  </w:footnote>
  <w:footnote w:type="continuationSeparator" w:id="0">
    <w:p w14:paraId="5AA1FF23" w14:textId="77777777" w:rsidR="005C528D" w:rsidRDefault="005C5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21F0D"/>
    <w:rsid w:val="00027CA1"/>
    <w:rsid w:val="000B7A6C"/>
    <w:rsid w:val="00105292"/>
    <w:rsid w:val="001258D8"/>
    <w:rsid w:val="001424F7"/>
    <w:rsid w:val="001438B8"/>
    <w:rsid w:val="001450D7"/>
    <w:rsid w:val="001F5D6B"/>
    <w:rsid w:val="002C794E"/>
    <w:rsid w:val="002D010F"/>
    <w:rsid w:val="002D41AB"/>
    <w:rsid w:val="002E59CF"/>
    <w:rsid w:val="002E6712"/>
    <w:rsid w:val="002F34FA"/>
    <w:rsid w:val="00310A55"/>
    <w:rsid w:val="0031364E"/>
    <w:rsid w:val="00325118"/>
    <w:rsid w:val="003450F8"/>
    <w:rsid w:val="00352642"/>
    <w:rsid w:val="00386A6B"/>
    <w:rsid w:val="004065F8"/>
    <w:rsid w:val="00433D0B"/>
    <w:rsid w:val="00440103"/>
    <w:rsid w:val="00441C56"/>
    <w:rsid w:val="00496D87"/>
    <w:rsid w:val="005173DC"/>
    <w:rsid w:val="00580C32"/>
    <w:rsid w:val="00587D9C"/>
    <w:rsid w:val="0059463B"/>
    <w:rsid w:val="005A2CC0"/>
    <w:rsid w:val="005C528D"/>
    <w:rsid w:val="005D7E6F"/>
    <w:rsid w:val="005F6B35"/>
    <w:rsid w:val="00600C3D"/>
    <w:rsid w:val="00605C6C"/>
    <w:rsid w:val="006162E3"/>
    <w:rsid w:val="0064467B"/>
    <w:rsid w:val="006717EB"/>
    <w:rsid w:val="00675908"/>
    <w:rsid w:val="00695D6B"/>
    <w:rsid w:val="006F097C"/>
    <w:rsid w:val="007338A4"/>
    <w:rsid w:val="007472D9"/>
    <w:rsid w:val="00787581"/>
    <w:rsid w:val="007A4964"/>
    <w:rsid w:val="007B446F"/>
    <w:rsid w:val="0080503C"/>
    <w:rsid w:val="00817104"/>
    <w:rsid w:val="008235BC"/>
    <w:rsid w:val="00835585"/>
    <w:rsid w:val="00860129"/>
    <w:rsid w:val="008D15AF"/>
    <w:rsid w:val="008F2B1F"/>
    <w:rsid w:val="00901452"/>
    <w:rsid w:val="00902A3F"/>
    <w:rsid w:val="009225BE"/>
    <w:rsid w:val="009749AB"/>
    <w:rsid w:val="009D3348"/>
    <w:rsid w:val="009E0DB6"/>
    <w:rsid w:val="009F2277"/>
    <w:rsid w:val="00A06D12"/>
    <w:rsid w:val="00A14363"/>
    <w:rsid w:val="00A44F1D"/>
    <w:rsid w:val="00AF13DA"/>
    <w:rsid w:val="00B17374"/>
    <w:rsid w:val="00B537BF"/>
    <w:rsid w:val="00B96630"/>
    <w:rsid w:val="00BB7675"/>
    <w:rsid w:val="00C160EB"/>
    <w:rsid w:val="00C6466B"/>
    <w:rsid w:val="00C80CBE"/>
    <w:rsid w:val="00C827A9"/>
    <w:rsid w:val="00C95EB6"/>
    <w:rsid w:val="00C96D5A"/>
    <w:rsid w:val="00CD3D98"/>
    <w:rsid w:val="00CF7E01"/>
    <w:rsid w:val="00D75071"/>
    <w:rsid w:val="00D97D50"/>
    <w:rsid w:val="00DA36E9"/>
    <w:rsid w:val="00DB6C12"/>
    <w:rsid w:val="00DE10AB"/>
    <w:rsid w:val="00E335D3"/>
    <w:rsid w:val="00E41A5F"/>
    <w:rsid w:val="00E858D3"/>
    <w:rsid w:val="00EA61B4"/>
    <w:rsid w:val="00ED30F0"/>
    <w:rsid w:val="00F241B4"/>
    <w:rsid w:val="00F242EA"/>
    <w:rsid w:val="00F43670"/>
    <w:rsid w:val="00F45BC2"/>
    <w:rsid w:val="00F65843"/>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78</cp:revision>
  <cp:lastPrinted>2023-02-05T14:38:00Z</cp:lastPrinted>
  <dcterms:created xsi:type="dcterms:W3CDTF">2023-02-05T14:38:00Z</dcterms:created>
  <dcterms:modified xsi:type="dcterms:W3CDTF">2023-02-17T12:10:00Z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