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1BA78A" w14:textId="77777777" w:rsidR="00600C3D" w:rsidRDefault="00000000" w:rsidP="00600C3D">
      <w:pPr>
        <w:ind w:firstLine="0"/>
        <w:jc w:val="center"/>
      </w:pPr>
      <w:r>
        <w:t>An aberrant abundance of Cronbach’s alpha values at .70</w:t>
      </w:r>
      <w:bookmarkStart w:id="0" w:name="_krma0kbc8qtq" w:colFirst="0" w:colLast="0"/>
      <w:bookmarkStart w:id="1" w:name="_1y8ccjcpw584" w:colFirst="0" w:colLast="0"/>
      <w:bookmarkStart w:id="2" w:name="_sryf0rf5v25j" w:colFirst="0" w:colLast="0"/>
      <w:bookmarkStart w:id="3" w:name="_7srovwythutv" w:colFirst="0" w:colLast="0"/>
      <w:bookmarkEnd w:id="0"/>
      <w:bookmarkEnd w:id="1"/>
      <w:bookmarkEnd w:id="2"/>
      <w:bookmarkEnd w:id="3"/>
    </w:p>
    <w:p w14:paraId="28FFB3F4" w14:textId="24E25676" w:rsidR="00EA61B4" w:rsidRPr="00600C3D" w:rsidRDefault="00000000" w:rsidP="00600C3D">
      <w:pPr>
        <w:ind w:firstLine="0"/>
        <w:jc w:val="center"/>
        <w:rPr>
          <w:i/>
          <w:iCs/>
        </w:rPr>
      </w:pPr>
      <w:r w:rsidRPr="00600C3D">
        <w:rPr>
          <w:i/>
          <w:iCs/>
        </w:rPr>
        <w:t>Supplementary Materials</w:t>
      </w:r>
    </w:p>
    <w:p w14:paraId="6EF61F78" w14:textId="77777777" w:rsidR="00600C3D" w:rsidRDefault="00600C3D" w:rsidP="002D010F">
      <w:bookmarkStart w:id="4" w:name="_w1tuw9bhm23d" w:colFirst="0" w:colLast="0"/>
      <w:bookmarkEnd w:id="4"/>
    </w:p>
    <w:p w14:paraId="1D11F98A" w14:textId="69DD7EB6" w:rsidR="00EA61B4" w:rsidRDefault="00000000" w:rsidP="002D010F">
      <w:pPr>
        <w:pStyle w:val="Heading2"/>
      </w:pPr>
      <w:r>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Health: the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lastRenderedPageBreak/>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5A24312F" w14:textId="77777777" w:rsidTr="00620C47">
        <w:trPr>
          <w:trHeight w:val="230"/>
        </w:trPr>
        <w:tc>
          <w:tcPr>
            <w:tcW w:w="5760" w:type="dxa"/>
            <w:vAlign w:val="center"/>
          </w:tcPr>
          <w:p w14:paraId="29987DF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a Journal of Research in Music Cognition</w:t>
            </w:r>
          </w:p>
        </w:tc>
      </w:tr>
      <w:tr w:rsidR="00901452" w:rsidRPr="00F8213B" w14:paraId="74E17845" w14:textId="77777777" w:rsidTr="00620C47">
        <w:trPr>
          <w:trHeight w:val="230"/>
        </w:trPr>
        <w:tc>
          <w:tcPr>
            <w:tcW w:w="5760" w:type="dxa"/>
            <w:vAlign w:val="center"/>
          </w:tcPr>
          <w:p w14:paraId="397FBF7A"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5" w:name="_dsybduy6jldo" w:colFirst="0" w:colLast="0"/>
      <w:bookmarkEnd w:id="5"/>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6" w:name="_lgxko1ssooi1" w:colFirst="0" w:colLast="0"/>
      <w:bookmarkEnd w:id="6"/>
      <w:r>
        <w:br w:type="page"/>
      </w:r>
    </w:p>
    <w:p w14:paraId="3A38805C" w14:textId="27A83863" w:rsidR="00EA61B4" w:rsidRDefault="00000000">
      <w:pPr>
        <w:pStyle w:val="Heading2"/>
      </w:pPr>
      <w:r>
        <w:lastRenderedPageBreak/>
        <w:t>Note 1S. Analyses of the I/O dataset after removing DOIs already present in the psychology dataset</w:t>
      </w:r>
    </w:p>
    <w:p w14:paraId="518E18A5" w14:textId="5FC89FC6" w:rsidR="00EA61B4" w:rsidRDefault="00000000" w:rsidP="0031364E">
      <w:r>
        <w:t xml:space="preserve">The test of the first hypothesis found a 14% excess of </w:t>
      </w:r>
      <m:oMath>
        <m:r>
          <w:rPr>
            <w:rFonts w:ascii="Cambria Math" w:hAnsi="Cambria Math"/>
          </w:rPr>
          <m:t>α</m:t>
        </m:r>
      </m:oMath>
      <w:r>
        <w:t xml:space="preserve"> values of .70, </w:t>
      </w:r>
      <w:r>
        <w:rPr>
          <w:i/>
        </w:rPr>
        <w:t>Z</w:t>
      </w:r>
      <w:r>
        <w:t xml:space="preserve"> = 4.84, </w:t>
      </w:r>
      <w:r>
        <w:rPr>
          <w:i/>
        </w:rPr>
        <w:t>p</w:t>
      </w:r>
      <w:r>
        <w:t xml:space="preserve"> &lt; .00001. The test of the second hypothesis found excesses across the three bins, </w:t>
      </w:r>
      <w:r>
        <w:rPr>
          <w:i/>
        </w:rPr>
        <w:t>Z</w:t>
      </w:r>
      <w:r>
        <w:t xml:space="preserve"> = 4.68, </w:t>
      </w:r>
      <w:r>
        <w:rPr>
          <w:i/>
        </w:rPr>
        <w:t>p</w:t>
      </w:r>
      <w:r>
        <w:t xml:space="preserve"> = .00007, with an excess at .80 = 3%, excess at .90 = 1%. We therefore rejected the null hypothesis that there was no evidence of no excesses of </w:t>
      </w:r>
      <m:oMath>
        <m:r>
          <w:rPr>
            <w:rFonts w:ascii="Cambria Math" w:hAnsi="Cambria Math"/>
          </w:rPr>
          <m:t>α</m:t>
        </m:r>
      </m:oMath>
      <w:r>
        <w:t xml:space="preserve"> values at common rule-of-thumb thresholds.</w:t>
      </w:r>
      <w:bookmarkStart w:id="7" w:name="_w9szeog9riob" w:colFirst="0" w:colLast="0"/>
      <w:bookmarkEnd w:id="7"/>
    </w:p>
    <w:p w14:paraId="2EA65043" w14:textId="77777777" w:rsidR="0031364E" w:rsidRDefault="0031364E" w:rsidP="0031364E"/>
    <w:p w14:paraId="162ADE76" w14:textId="77777777" w:rsidR="00695D6B" w:rsidRDefault="00695D6B">
      <w:pPr>
        <w:rPr>
          <w:b/>
        </w:rPr>
      </w:pPr>
      <w:bookmarkStart w:id="8" w:name="_sstaomonxlav" w:colFirst="0" w:colLast="0"/>
      <w:bookmarkEnd w:id="8"/>
      <w:r>
        <w:br w:type="page"/>
      </w:r>
    </w:p>
    <w:p w14:paraId="525E245C" w14:textId="18BD1FFE" w:rsidR="002E59CF" w:rsidRPr="003D7456" w:rsidRDefault="002E59CF" w:rsidP="002E59CF">
      <w:pPr>
        <w:pStyle w:val="Heading2"/>
        <w:rPr>
          <w:lang w:val="en-US"/>
        </w:rPr>
      </w:pPr>
      <w:r>
        <w:lastRenderedPageBreak/>
        <w:t xml:space="preserve">Figure 1S. </w:t>
      </w:r>
      <w:r w:rsidRPr="003D7456">
        <w:rPr>
          <w:lang w:val="en-US"/>
        </w:rPr>
        <w:t xml:space="preserve">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I/O dataset</w:t>
      </w:r>
      <w:r>
        <w:rPr>
          <w:lang w:val="en-US"/>
        </w:rPr>
        <w:t>, when overlap with the psychology dataset was removed</w:t>
      </w:r>
    </w:p>
    <w:p w14:paraId="378E4843" w14:textId="3247E4C4" w:rsidR="002E59CF" w:rsidRDefault="008D15AF" w:rsidP="002E59CF">
      <w:pPr>
        <w:ind w:firstLine="0"/>
        <w:rPr>
          <w:b/>
        </w:rPr>
      </w:pPr>
      <w:r>
        <w:rPr>
          <w:noProof/>
        </w:rPr>
        <w:drawing>
          <wp:inline distT="0" distB="0" distL="0" distR="0" wp14:anchorId="0B200D45" wp14:editId="78A8272E">
            <wp:extent cx="54864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002E59CF">
        <w:br w:type="page"/>
      </w:r>
    </w:p>
    <w:p w14:paraId="5354554C" w14:textId="280C997E" w:rsidR="00EA61B4" w:rsidRDefault="00000000">
      <w:pPr>
        <w:pStyle w:val="Heading2"/>
      </w:pPr>
      <w:r>
        <w:lastRenderedPageBreak/>
        <w:t xml:space="preserve">Figure </w:t>
      </w:r>
      <w:r w:rsidR="00605C6C">
        <w:t>2</w:t>
      </w:r>
      <w:r>
        <w:t>S. Frequency of use of constructs in the I/O dataset.</w:t>
      </w:r>
    </w:p>
    <w:p w14:paraId="261D3D05" w14:textId="6939B7F5" w:rsidR="00EA61B4" w:rsidRDefault="0059463B" w:rsidP="0031364E">
      <w:pPr>
        <w:ind w:firstLine="0"/>
      </w:pPr>
      <w:bookmarkStart w:id="9" w:name="_nlfqiz712ibn" w:colFirst="0" w:colLast="0"/>
      <w:bookmarkEnd w:id="9"/>
      <w:r>
        <w:rPr>
          <w:noProof/>
        </w:rPr>
        <w:drawing>
          <wp:inline distT="0" distB="0" distL="0" distR="0" wp14:anchorId="66531C40" wp14:editId="612BE785">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10" w:name="_jdvr7noi93e" w:colFirst="0" w:colLast="0"/>
      <w:bookmarkEnd w:id="10"/>
      <w:r>
        <w:br w:type="page"/>
      </w:r>
    </w:p>
    <w:p w14:paraId="4ABAC042" w14:textId="05A50114" w:rsidR="00EA61B4" w:rsidRDefault="00000000">
      <w:pPr>
        <w:pStyle w:val="Heading2"/>
      </w:pPr>
      <w:r>
        <w:lastRenderedPageBreak/>
        <w:t>Note 2S. Caliper tests</w:t>
      </w:r>
    </w:p>
    <w:p w14:paraId="796E7CD7" w14:textId="415E30D4"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and 2).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 </w:t>
      </w:r>
      <m:oMath>
        <m:r>
          <w:rPr>
            <w:rFonts w:ascii="Cambria Math" w:hAnsi="Cambria Math"/>
          </w:rPr>
          <m:t>α</m:t>
        </m:r>
      </m:oMath>
      <w:r>
        <w:t xml:space="preserve"> = .78 than .77 even in the absence of any distortions. Nonetheless, given the conceptual analogy between excesses of barely-significant </w:t>
      </w:r>
      <w:r>
        <w:rPr>
          <w:i/>
        </w:rPr>
        <w:t>p</w:t>
      </w:r>
      <w:r>
        <w:t xml:space="preserve"> values and barely reliable α 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xml:space="preserve">. Caliper tests were not preregistered and were therefore exploratory. We employed a caliper width of one bin (i.e., </w:t>
      </w:r>
      <m:oMath>
        <m:r>
          <w:rPr>
            <w:rFonts w:ascii="Cambria Math" w:hAnsi="Cambria Math"/>
          </w:rPr>
          <m:t>α</m:t>
        </m:r>
      </m:oMath>
      <w:r>
        <w:t xml:space="preserve"> = .01) and therefore compare counts between each bin and the preceding bin (i.e., .69 vs. .70, .79 vs. .80, and .89 vs. .90). Caliper ratios were calculated for each comparison in each dataset (i.e., counts of .70 divided by counts of .69). See Figure 2S for a visual illustration of how the kernel smoothing and caliper tests differ. </w:t>
      </w:r>
    </w:p>
    <w:p w14:paraId="1EB82E48" w14:textId="77777777" w:rsidR="00EA61B4" w:rsidRDefault="00000000">
      <w:r>
        <w:t xml:space="preserve">In the psychology dataset, the caliper ratio for the </w:t>
      </w:r>
      <m:oMath>
        <m:r>
          <w:rPr>
            <w:rFonts w:ascii="Cambria Math" w:hAnsi="Cambria Math"/>
          </w:rPr>
          <m:t>α</m:t>
        </m:r>
      </m:oMath>
      <w:r>
        <w:t xml:space="preserve"> = .70 threshold 1.84. That is, nearly twice as many values of .70 were observed as .69. This larger over abundance relative to the kernel density approach can be attributed to the fact that the caliper tests also take the under-abundance of </w:t>
      </w:r>
      <m:oMath>
        <m:r>
          <w:rPr>
            <w:rFonts w:ascii="Cambria Math" w:hAnsi="Cambria Math"/>
          </w:rPr>
          <m:t>α</m:t>
        </m:r>
      </m:oMath>
      <w:r>
        <w:t xml:space="preserve"> values in the pre-threshold bins (e.g., .69) as well as the over-abundance of values in the threshold bins (e.g., .70). Ratios for the other two thresholds were less extreme (</w:t>
      </w:r>
      <m:oMath>
        <m:r>
          <w:rPr>
            <w:rFonts w:ascii="Cambria Math" w:hAnsi="Cambria Math"/>
          </w:rPr>
          <m:t>α</m:t>
        </m:r>
      </m:oMath>
      <w:r>
        <w:t xml:space="preserve"> = .80: ratio = 1.21; </w:t>
      </w:r>
      <m:oMath>
        <m:r>
          <w:rPr>
            <w:rFonts w:ascii="Cambria Math" w:hAnsi="Cambria Math"/>
          </w:rPr>
          <m:t>α</m:t>
        </m:r>
      </m:oMath>
      <w:r>
        <w:t xml:space="preserve"> = .90: ratio = 1.04). See Figure 3S. Rather than compare these ratios against a null hypothesis of zero (due to the above distributional considerations), we instead then calculated a ratio for every bin and its preceding bin between </w:t>
      </w:r>
      <m:oMath>
        <m:r>
          <w:rPr>
            <w:rFonts w:ascii="Cambria Math" w:hAnsi="Cambria Math"/>
          </w:rPr>
          <m:t>α</m:t>
        </m:r>
      </m:oMath>
      <w:r>
        <w:t xml:space="preserve"> = .50 and .99. In order to test whether the caliper ratios at the thresholds were larger than other ratios, we then applied permutation tests to compare the threshold ratios against all non-threshold ratios. </w:t>
      </w:r>
      <w:r>
        <w:lastRenderedPageBreak/>
        <w:t xml:space="preserve">Results demonstrated that the </w:t>
      </w:r>
      <m:oMath>
        <m:r>
          <w:rPr>
            <w:rFonts w:ascii="Cambria Math" w:hAnsi="Cambria Math"/>
          </w:rPr>
          <m:t>α</m:t>
        </m:r>
      </m:oMath>
      <w:r>
        <w:t xml:space="preserve"> = .70 caliper ratio was larger than the other ratios, </w:t>
      </w:r>
      <w:r>
        <w:rPr>
          <w:i/>
        </w:rPr>
        <w:t>Z</w:t>
      </w:r>
      <w:r>
        <w:t xml:space="preserve"> = 3.40, </w:t>
      </w:r>
      <w:r>
        <w:rPr>
          <w:i/>
        </w:rPr>
        <w:t>p</w:t>
      </w:r>
      <w:r>
        <w:t xml:space="preserve"> = .02; and that the .70, .80, and .90 ratios were larger than the other ratios, </w:t>
      </w:r>
      <w:r>
        <w:rPr>
          <w:i/>
        </w:rPr>
        <w:t>Z</w:t>
      </w:r>
      <w:r>
        <w:t xml:space="preserve"> = 2.40, </w:t>
      </w:r>
      <w:r>
        <w:rPr>
          <w:i/>
        </w:rPr>
        <w:t>p</w:t>
      </w:r>
      <w:r>
        <w:t xml:space="preserve"> = .014. </w:t>
      </w:r>
    </w:p>
    <w:p w14:paraId="1AD44278" w14:textId="77777777" w:rsidR="00EA61B4" w:rsidRDefault="00000000">
      <w:r>
        <w:t>This pattern of results also generalized to the I/O dataset for two of the thresholds (</w:t>
      </w:r>
      <m:oMath>
        <m:r>
          <w:rPr>
            <w:rFonts w:ascii="Cambria Math" w:hAnsi="Cambria Math"/>
          </w:rPr>
          <m:t>α</m:t>
        </m:r>
      </m:oMath>
      <w:r>
        <w:t xml:space="preserve"> = .70: ratio 1.64; </w:t>
      </w:r>
      <m:oMath>
        <m:r>
          <w:rPr>
            <w:rFonts w:ascii="Cambria Math" w:hAnsi="Cambria Math"/>
          </w:rPr>
          <m:t>α</m:t>
        </m:r>
      </m:oMath>
      <w:r>
        <w:t xml:space="preserve"> = .80: ratio = 1.13; </w:t>
      </w:r>
      <m:oMath>
        <m:r>
          <w:rPr>
            <w:rFonts w:ascii="Cambria Math" w:hAnsi="Cambria Math"/>
          </w:rPr>
          <m:t>α</m:t>
        </m:r>
      </m:oMath>
      <w:r>
        <w:t xml:space="preserve"> = .90: ratio = 0.96). See Figure 4S. The </w:t>
      </w:r>
      <m:oMath>
        <m:r>
          <w:rPr>
            <w:rFonts w:ascii="Cambria Math" w:hAnsi="Cambria Math"/>
          </w:rPr>
          <m:t>α</m:t>
        </m:r>
      </m:oMath>
      <w:r>
        <w:t xml:space="preserve"> = .70 caliper ratio was again found to be larger than the other ratios, </w:t>
      </w:r>
      <w:r>
        <w:rPr>
          <w:i/>
        </w:rPr>
        <w:t>Z</w:t>
      </w:r>
      <w:r>
        <w:t xml:space="preserve"> = 2.34, </w:t>
      </w:r>
      <w:r>
        <w:rPr>
          <w:i/>
        </w:rPr>
        <w:t>p</w:t>
      </w:r>
      <w:r>
        <w:t xml:space="preserve"> = .04; however the .70, .80, and .90 ratios were not found to be larger than the other ratios, </w:t>
      </w:r>
      <w:r>
        <w:rPr>
          <w:i/>
        </w:rPr>
        <w:t>Z</w:t>
      </w:r>
      <w:r>
        <w:t xml:space="preserve"> = 1.40, </w:t>
      </w:r>
      <w:r>
        <w:rPr>
          <w:i/>
        </w:rPr>
        <w:t>p</w:t>
      </w:r>
      <w:r>
        <w:t xml:space="preserve"> = .092. The pattern of excesses at </w:t>
      </w:r>
      <m:oMath>
        <m:r>
          <w:rPr>
            <w:rFonts w:ascii="Cambria Math" w:hAnsi="Cambria Math"/>
          </w:rPr>
          <m:t>α</m:t>
        </m:r>
      </m:oMath>
      <w:r>
        <w:t xml:space="preserve"> = .70 were therefore robust to the choice of analytic method. The collective excesses at all three thresholds were not robust in the I/O dataset. This may be because of large ratios observed at other round values of </w:t>
      </w:r>
      <m:oMath>
        <m:r>
          <w:rPr>
            <w:rFonts w:ascii="Cambria Math" w:hAnsi="Cambria Math"/>
          </w:rPr>
          <m:t>α</m:t>
        </m:r>
      </m:oMath>
      <w:r>
        <w:t xml:space="preserve"> which may have also been used as thresholds, but which we did not attempt to analyze (i.e., at .50 and .60; see Figure 4S).</w:t>
      </w:r>
    </w:p>
    <w:p w14:paraId="5C06C5EA" w14:textId="77777777" w:rsidR="00EA61B4" w:rsidRDefault="00EA61B4"/>
    <w:p w14:paraId="2188C1A7" w14:textId="77777777" w:rsidR="00695D6B" w:rsidRDefault="00695D6B">
      <w:pPr>
        <w:rPr>
          <w:b/>
        </w:rPr>
      </w:pPr>
      <w:bookmarkStart w:id="11" w:name="_v354yl64c2v0" w:colFirst="0" w:colLast="0"/>
      <w:bookmarkEnd w:id="11"/>
      <w:r>
        <w:br w:type="page"/>
      </w:r>
    </w:p>
    <w:p w14:paraId="0AE3976D" w14:textId="0BE86687" w:rsidR="00EA61B4" w:rsidRDefault="00000000">
      <w:pPr>
        <w:pStyle w:val="Heading2"/>
      </w:pPr>
      <w:r>
        <w:lastRenderedPageBreak/>
        <w:t xml:space="preserve">Figure </w:t>
      </w:r>
      <w:r w:rsidR="00605C6C">
        <w:t>3</w:t>
      </w:r>
      <w:r>
        <w:t>S. Comparison between the kernel smoothing and caliper test methods in the psychology dataset.</w:t>
      </w:r>
    </w:p>
    <w:p w14:paraId="64653E3F" w14:textId="031663B0" w:rsidR="0059463B" w:rsidRPr="0059463B" w:rsidRDefault="0059463B" w:rsidP="0059463B">
      <w:pPr>
        <w:ind w:firstLine="0"/>
      </w:pPr>
      <w:r>
        <w:rPr>
          <w:noProof/>
        </w:rPr>
        <w:drawing>
          <wp:inline distT="0" distB="0" distL="0" distR="0" wp14:anchorId="0CFB0552" wp14:editId="6A01F287">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12" w:name="_l6jovl9n2ug0" w:colFirst="0" w:colLast="0"/>
      <w:bookmarkEnd w:id="12"/>
      <w:r>
        <w:br w:type="page"/>
      </w:r>
    </w:p>
    <w:p w14:paraId="7DFF3703" w14:textId="621FB5BE" w:rsidR="00EA61B4" w:rsidRDefault="00000000">
      <w:pPr>
        <w:pStyle w:val="Heading2"/>
      </w:pPr>
      <w:r>
        <w:lastRenderedPageBreak/>
        <w:t xml:space="preserve">Figure </w:t>
      </w:r>
      <w:r w:rsidR="00605C6C">
        <w:t>4</w:t>
      </w:r>
      <w:r>
        <w:t>S. Caliper ratios for each bin and the preceding bin in the psychology dataset.</w:t>
      </w:r>
    </w:p>
    <w:p w14:paraId="42EE7975" w14:textId="32DB74D4" w:rsidR="00EA61B4" w:rsidRDefault="0059463B">
      <w:pPr>
        <w:ind w:firstLine="0"/>
      </w:pPr>
      <w:r>
        <w:rPr>
          <w:b/>
          <w:noProof/>
        </w:rPr>
        <w:drawing>
          <wp:inline distT="0" distB="0" distL="0" distR="0" wp14:anchorId="281DB7D8" wp14:editId="1722903F">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650ED54" w14:textId="77777777" w:rsidR="0059463B" w:rsidRDefault="0059463B">
      <w:pPr>
        <w:rPr>
          <w:b/>
        </w:rPr>
      </w:pPr>
      <w:bookmarkStart w:id="13" w:name="_c8dlqtyu5dox" w:colFirst="0" w:colLast="0"/>
      <w:bookmarkEnd w:id="13"/>
      <w:r>
        <w:br w:type="page"/>
      </w:r>
    </w:p>
    <w:p w14:paraId="5A672678" w14:textId="1CD9B4D1" w:rsidR="00EA61B4" w:rsidRDefault="00000000" w:rsidP="0031364E">
      <w:pPr>
        <w:pStyle w:val="Heading2"/>
      </w:pPr>
      <w:r>
        <w:lastRenderedPageBreak/>
        <w:t xml:space="preserve">Figure </w:t>
      </w:r>
      <w:r w:rsidR="00605C6C">
        <w:t>5</w:t>
      </w:r>
      <w:r>
        <w:t>S. Caliper ratios for each bin and the preceding bin in the I/O dataset</w:t>
      </w:r>
      <w:bookmarkStart w:id="14" w:name="_4kdxp7cth7ts" w:colFirst="0" w:colLast="0"/>
      <w:bookmarkEnd w:id="14"/>
    </w:p>
    <w:p w14:paraId="695A7BC0" w14:textId="77777777" w:rsidR="0059463B" w:rsidRDefault="0059463B" w:rsidP="0059463B">
      <w:pPr>
        <w:ind w:firstLine="0"/>
      </w:pPr>
      <w:bookmarkStart w:id="15" w:name="_bvatj2qfqz06" w:colFirst="0" w:colLast="0"/>
      <w:bookmarkStart w:id="16" w:name="_c9ogt66hmcy7" w:colFirst="0" w:colLast="0"/>
      <w:bookmarkEnd w:id="15"/>
      <w:bookmarkEnd w:id="16"/>
      <w:r>
        <w:rPr>
          <w:noProof/>
        </w:rPr>
        <w:drawing>
          <wp:inline distT="0" distB="0" distL="0" distR="0" wp14:anchorId="4D59FBC2" wp14:editId="2179024A">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FF2E3D4" w14:textId="77777777" w:rsidR="0059463B" w:rsidRDefault="0059463B">
      <w:pPr>
        <w:rPr>
          <w:b/>
        </w:rPr>
      </w:pPr>
      <w:r>
        <w:br w:type="page"/>
      </w:r>
    </w:p>
    <w:p w14:paraId="4F4A5D59" w14:textId="334DBC30" w:rsidR="0059463B" w:rsidRDefault="0059463B" w:rsidP="0059463B">
      <w:pPr>
        <w:pStyle w:val="Heading2"/>
      </w:pPr>
      <w:r>
        <w:lastRenderedPageBreak/>
        <w:t xml:space="preserve">Figure </w:t>
      </w:r>
      <w:r w:rsidR="00605C6C">
        <w:t>6</w:t>
      </w:r>
      <w:r>
        <w:t>S. Caliper ratios for each bin and the preceding bin in the I/O dataset</w:t>
      </w:r>
      <w:r>
        <w:t>, when overlap with the psychology dataset is removed</w:t>
      </w:r>
    </w:p>
    <w:p w14:paraId="3FF20206" w14:textId="72EC0F0C" w:rsidR="002D010F" w:rsidRDefault="0059463B" w:rsidP="0059463B">
      <w:pPr>
        <w:ind w:firstLine="0"/>
        <w:rPr>
          <w:b/>
        </w:rPr>
      </w:pPr>
      <w:r>
        <w:rPr>
          <w:noProof/>
        </w:rPr>
        <w:drawing>
          <wp:inline distT="0" distB="0" distL="0" distR="0" wp14:anchorId="650A38E4" wp14:editId="543574A5">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D010F">
        <w:br w:type="page"/>
      </w:r>
    </w:p>
    <w:p w14:paraId="05D9E0EA" w14:textId="7AF4BE02" w:rsidR="00EA61B4" w:rsidRDefault="00000000">
      <w:pPr>
        <w:pStyle w:val="Heading2"/>
      </w:pPr>
      <w:r>
        <w:lastRenderedPageBreak/>
        <w:t xml:space="preserve">Table 3S. Standard errors associated with Cronbach’s </w:t>
      </w:r>
      <m:oMath>
        <m:r>
          <m:rPr>
            <m:sty m:val="bi"/>
          </m:rPr>
          <w:rPr>
            <w:rFonts w:ascii="Cambria Math" w:hAnsi="Cambria Math"/>
          </w:rPr>
          <m:t>α</m:t>
        </m:r>
      </m:oMath>
      <w:r>
        <w:t xml:space="preserve"> = .70 for different sample sizes and numbers of items.</w:t>
      </w:r>
    </w:p>
    <w:tbl>
      <w:tblPr>
        <w:tblW w:w="5704" w:type="dxa"/>
        <w:tblCellMar>
          <w:top w:w="15" w:type="dxa"/>
          <w:left w:w="15" w:type="dxa"/>
          <w:bottom w:w="15" w:type="dxa"/>
          <w:right w:w="15" w:type="dxa"/>
        </w:tblCellMar>
        <w:tblLook w:val="04A0" w:firstRow="1" w:lastRow="0" w:firstColumn="1" w:lastColumn="0" w:noHBand="0" w:noVBand="1"/>
      </w:tblPr>
      <w:tblGrid>
        <w:gridCol w:w="1564"/>
        <w:gridCol w:w="690"/>
        <w:gridCol w:w="690"/>
        <w:gridCol w:w="690"/>
        <w:gridCol w:w="690"/>
        <w:gridCol w:w="690"/>
        <w:gridCol w:w="690"/>
      </w:tblGrid>
      <w:tr w:rsidR="00310A55" w:rsidRPr="00310A55" w14:paraId="6CF7351C" w14:textId="77777777" w:rsidTr="00310A55">
        <w:trPr>
          <w:trHeight w:val="178"/>
        </w:trPr>
        <w:tc>
          <w:tcPr>
            <w:tcW w:w="0" w:type="auto"/>
            <w:tcBorders>
              <w:top w:val="single" w:sz="4" w:space="0" w:color="auto"/>
            </w:tcBorders>
            <w:tcMar>
              <w:top w:w="100" w:type="dxa"/>
              <w:left w:w="80" w:type="dxa"/>
              <w:bottom w:w="100" w:type="dxa"/>
              <w:right w:w="80" w:type="dxa"/>
            </w:tcMar>
            <w:hideMark/>
          </w:tcPr>
          <w:p w14:paraId="210F253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 </w:t>
            </w:r>
          </w:p>
        </w:tc>
        <w:tc>
          <w:tcPr>
            <w:tcW w:w="0" w:type="auto"/>
            <w:gridSpan w:val="6"/>
            <w:tcBorders>
              <w:top w:val="single" w:sz="4" w:space="0" w:color="auto"/>
              <w:bottom w:val="single" w:sz="6" w:space="0" w:color="000000"/>
            </w:tcBorders>
            <w:tcMar>
              <w:top w:w="100" w:type="dxa"/>
              <w:left w:w="80" w:type="dxa"/>
              <w:bottom w:w="100" w:type="dxa"/>
              <w:right w:w="80" w:type="dxa"/>
            </w:tcMar>
            <w:hideMark/>
          </w:tcPr>
          <w:p w14:paraId="5D144064" w14:textId="57600C90"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Number of items</w:t>
            </w:r>
            <w:r w:rsidR="00675908">
              <w:rPr>
                <w:color w:val="202122"/>
                <w:sz w:val="18"/>
                <w:szCs w:val="18"/>
                <w:shd w:val="clear" w:color="auto" w:fill="FFFFFF"/>
              </w:rPr>
              <w:t xml:space="preserve"> (</w:t>
            </w:r>
            <w:r w:rsidR="00675908" w:rsidRPr="00675908">
              <w:rPr>
                <w:i/>
                <w:iCs/>
                <w:color w:val="202122"/>
                <w:sz w:val="18"/>
                <w:szCs w:val="18"/>
                <w:shd w:val="clear" w:color="auto" w:fill="FFFFFF"/>
              </w:rPr>
              <w:t>k</w:t>
            </w:r>
            <w:r w:rsidR="00675908">
              <w:rPr>
                <w:color w:val="202122"/>
                <w:sz w:val="18"/>
                <w:szCs w:val="18"/>
                <w:shd w:val="clear" w:color="auto" w:fill="FFFFFF"/>
              </w:rPr>
              <w:t>)</w:t>
            </w:r>
          </w:p>
        </w:tc>
      </w:tr>
      <w:tr w:rsidR="00310A55" w:rsidRPr="00310A55" w14:paraId="267CF080" w14:textId="77777777" w:rsidTr="00310A55">
        <w:trPr>
          <w:trHeight w:val="177"/>
        </w:trPr>
        <w:tc>
          <w:tcPr>
            <w:tcW w:w="0" w:type="auto"/>
            <w:tcBorders>
              <w:bottom w:val="single" w:sz="6" w:space="0" w:color="000000"/>
            </w:tcBorders>
            <w:tcMar>
              <w:top w:w="100" w:type="dxa"/>
              <w:left w:w="80" w:type="dxa"/>
              <w:bottom w:w="100" w:type="dxa"/>
              <w:right w:w="80" w:type="dxa"/>
            </w:tcMar>
            <w:hideMark/>
          </w:tcPr>
          <w:p w14:paraId="62BD6BE1"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Sample size (</w:t>
            </w:r>
            <w:r w:rsidRPr="00310A55">
              <w:rPr>
                <w:i/>
                <w:iCs/>
                <w:color w:val="202122"/>
                <w:sz w:val="18"/>
                <w:szCs w:val="18"/>
                <w:shd w:val="clear" w:color="auto" w:fill="FFFFFF"/>
              </w:rPr>
              <w:t>n</w:t>
            </w:r>
            <w:r w:rsidRPr="00310A55">
              <w:rPr>
                <w:color w:val="202122"/>
                <w:sz w:val="18"/>
                <w:szCs w:val="18"/>
                <w:shd w:val="clear" w:color="auto" w:fill="FFFFFF"/>
              </w:rPr>
              <w:t>)</w:t>
            </w:r>
          </w:p>
        </w:tc>
        <w:tc>
          <w:tcPr>
            <w:tcW w:w="0" w:type="auto"/>
            <w:tcBorders>
              <w:top w:val="single" w:sz="6" w:space="0" w:color="000000"/>
              <w:bottom w:val="single" w:sz="6" w:space="0" w:color="000000"/>
            </w:tcBorders>
            <w:tcMar>
              <w:top w:w="100" w:type="dxa"/>
              <w:left w:w="80" w:type="dxa"/>
              <w:bottom w:w="100" w:type="dxa"/>
              <w:right w:w="80" w:type="dxa"/>
            </w:tcMar>
            <w:hideMark/>
          </w:tcPr>
          <w:p w14:paraId="17E088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3</w:t>
            </w:r>
          </w:p>
        </w:tc>
        <w:tc>
          <w:tcPr>
            <w:tcW w:w="0" w:type="auto"/>
            <w:tcBorders>
              <w:top w:val="single" w:sz="6" w:space="0" w:color="000000"/>
              <w:bottom w:val="single" w:sz="6" w:space="0" w:color="000000"/>
            </w:tcBorders>
            <w:tcMar>
              <w:top w:w="100" w:type="dxa"/>
              <w:left w:w="80" w:type="dxa"/>
              <w:bottom w:w="100" w:type="dxa"/>
              <w:right w:w="80" w:type="dxa"/>
            </w:tcMar>
            <w:hideMark/>
          </w:tcPr>
          <w:p w14:paraId="1BE3860E"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w:t>
            </w:r>
          </w:p>
        </w:tc>
        <w:tc>
          <w:tcPr>
            <w:tcW w:w="0" w:type="auto"/>
            <w:tcBorders>
              <w:top w:val="single" w:sz="6" w:space="0" w:color="000000"/>
              <w:bottom w:val="single" w:sz="6" w:space="0" w:color="000000"/>
            </w:tcBorders>
            <w:tcMar>
              <w:top w:w="100" w:type="dxa"/>
              <w:left w:w="80" w:type="dxa"/>
              <w:bottom w:w="100" w:type="dxa"/>
              <w:right w:w="80" w:type="dxa"/>
            </w:tcMar>
            <w:hideMark/>
          </w:tcPr>
          <w:p w14:paraId="029A921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w:t>
            </w:r>
          </w:p>
        </w:tc>
        <w:tc>
          <w:tcPr>
            <w:tcW w:w="0" w:type="auto"/>
            <w:tcBorders>
              <w:top w:val="single" w:sz="6" w:space="0" w:color="000000"/>
              <w:bottom w:val="single" w:sz="6" w:space="0" w:color="000000"/>
            </w:tcBorders>
            <w:tcMar>
              <w:top w:w="100" w:type="dxa"/>
              <w:left w:w="80" w:type="dxa"/>
              <w:bottom w:w="100" w:type="dxa"/>
              <w:right w:w="80" w:type="dxa"/>
            </w:tcMar>
            <w:hideMark/>
          </w:tcPr>
          <w:p w14:paraId="7EE34F5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25</w:t>
            </w:r>
          </w:p>
        </w:tc>
        <w:tc>
          <w:tcPr>
            <w:tcW w:w="0" w:type="auto"/>
            <w:tcBorders>
              <w:top w:val="single" w:sz="6" w:space="0" w:color="000000"/>
              <w:bottom w:val="single" w:sz="6" w:space="0" w:color="000000"/>
            </w:tcBorders>
            <w:tcMar>
              <w:top w:w="100" w:type="dxa"/>
              <w:left w:w="80" w:type="dxa"/>
              <w:bottom w:w="100" w:type="dxa"/>
              <w:right w:w="80" w:type="dxa"/>
            </w:tcMar>
            <w:hideMark/>
          </w:tcPr>
          <w:p w14:paraId="7168F99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50</w:t>
            </w:r>
          </w:p>
        </w:tc>
        <w:tc>
          <w:tcPr>
            <w:tcW w:w="0" w:type="auto"/>
            <w:tcBorders>
              <w:top w:val="single" w:sz="6" w:space="0" w:color="000000"/>
              <w:bottom w:val="single" w:sz="6" w:space="0" w:color="000000"/>
            </w:tcBorders>
            <w:tcMar>
              <w:top w:w="100" w:type="dxa"/>
              <w:left w:w="80" w:type="dxa"/>
              <w:bottom w:w="100" w:type="dxa"/>
              <w:right w:w="80" w:type="dxa"/>
            </w:tcMar>
            <w:hideMark/>
          </w:tcPr>
          <w:p w14:paraId="633C971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100</w:t>
            </w:r>
          </w:p>
        </w:tc>
      </w:tr>
      <w:tr w:rsidR="00310A55" w:rsidRPr="00310A55" w14:paraId="714D5274" w14:textId="77777777" w:rsidTr="00310A55">
        <w:trPr>
          <w:trHeight w:val="178"/>
        </w:trPr>
        <w:tc>
          <w:tcPr>
            <w:tcW w:w="0" w:type="auto"/>
            <w:tcBorders>
              <w:top w:val="single" w:sz="6" w:space="0" w:color="000000"/>
            </w:tcBorders>
            <w:tcMar>
              <w:top w:w="100" w:type="dxa"/>
              <w:left w:w="80" w:type="dxa"/>
              <w:bottom w:w="100" w:type="dxa"/>
              <w:right w:w="80" w:type="dxa"/>
            </w:tcMar>
            <w:hideMark/>
          </w:tcPr>
          <w:p w14:paraId="2223193F"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w:t>
            </w:r>
          </w:p>
        </w:tc>
        <w:tc>
          <w:tcPr>
            <w:tcW w:w="0" w:type="auto"/>
            <w:tcBorders>
              <w:top w:val="single" w:sz="6" w:space="0" w:color="000000"/>
            </w:tcBorders>
            <w:tcMar>
              <w:top w:w="100" w:type="dxa"/>
              <w:left w:w="80" w:type="dxa"/>
              <w:bottom w:w="100" w:type="dxa"/>
              <w:right w:w="80" w:type="dxa"/>
            </w:tcMar>
            <w:hideMark/>
          </w:tcPr>
          <w:p w14:paraId="378C48F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0.076</w:t>
            </w:r>
          </w:p>
        </w:tc>
        <w:tc>
          <w:tcPr>
            <w:tcW w:w="0" w:type="auto"/>
            <w:tcBorders>
              <w:top w:val="single" w:sz="6" w:space="0" w:color="000000"/>
            </w:tcBorders>
            <w:tcMar>
              <w:top w:w="100" w:type="dxa"/>
              <w:left w:w="80" w:type="dxa"/>
              <w:bottom w:w="100" w:type="dxa"/>
              <w:right w:w="80" w:type="dxa"/>
            </w:tcMar>
            <w:hideMark/>
          </w:tcPr>
          <w:p w14:paraId="1BD75B8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0.069</w:t>
            </w:r>
          </w:p>
        </w:tc>
        <w:tc>
          <w:tcPr>
            <w:tcW w:w="0" w:type="auto"/>
            <w:tcBorders>
              <w:top w:val="single" w:sz="6" w:space="0" w:color="000000"/>
            </w:tcBorders>
            <w:tcMar>
              <w:top w:w="100" w:type="dxa"/>
              <w:left w:w="80" w:type="dxa"/>
              <w:bottom w:w="100" w:type="dxa"/>
              <w:right w:w="80" w:type="dxa"/>
            </w:tcMar>
            <w:hideMark/>
          </w:tcPr>
          <w:p w14:paraId="2FE0492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0.064</w:t>
            </w:r>
          </w:p>
        </w:tc>
        <w:tc>
          <w:tcPr>
            <w:tcW w:w="0" w:type="auto"/>
            <w:tcBorders>
              <w:top w:val="single" w:sz="6" w:space="0" w:color="000000"/>
            </w:tcBorders>
            <w:tcMar>
              <w:top w:w="100" w:type="dxa"/>
              <w:left w:w="80" w:type="dxa"/>
              <w:bottom w:w="100" w:type="dxa"/>
              <w:right w:w="80" w:type="dxa"/>
            </w:tcMar>
            <w:hideMark/>
          </w:tcPr>
          <w:p w14:paraId="4A632C9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0.062</w:t>
            </w:r>
          </w:p>
        </w:tc>
        <w:tc>
          <w:tcPr>
            <w:tcW w:w="0" w:type="auto"/>
            <w:tcBorders>
              <w:top w:val="single" w:sz="6" w:space="0" w:color="000000"/>
            </w:tcBorders>
            <w:tcMar>
              <w:top w:w="100" w:type="dxa"/>
              <w:left w:w="80" w:type="dxa"/>
              <w:bottom w:w="100" w:type="dxa"/>
              <w:right w:w="80" w:type="dxa"/>
            </w:tcMar>
            <w:hideMark/>
          </w:tcPr>
          <w:p w14:paraId="59B28B6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c>
          <w:tcPr>
            <w:tcW w:w="0" w:type="auto"/>
            <w:tcBorders>
              <w:top w:val="single" w:sz="6" w:space="0" w:color="000000"/>
            </w:tcBorders>
            <w:tcMar>
              <w:top w:w="100" w:type="dxa"/>
              <w:left w:w="80" w:type="dxa"/>
              <w:bottom w:w="100" w:type="dxa"/>
              <w:right w:w="80" w:type="dxa"/>
            </w:tcMar>
            <w:hideMark/>
          </w:tcPr>
          <w:p w14:paraId="3199B8A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0.061</w:t>
            </w:r>
          </w:p>
        </w:tc>
      </w:tr>
      <w:tr w:rsidR="00310A55" w:rsidRPr="00310A55" w14:paraId="088CE58B" w14:textId="77777777" w:rsidTr="00310A55">
        <w:trPr>
          <w:trHeight w:val="173"/>
        </w:trPr>
        <w:tc>
          <w:tcPr>
            <w:tcW w:w="0" w:type="auto"/>
            <w:tcMar>
              <w:top w:w="100" w:type="dxa"/>
              <w:left w:w="80" w:type="dxa"/>
              <w:bottom w:w="100" w:type="dxa"/>
              <w:right w:w="80" w:type="dxa"/>
            </w:tcMar>
            <w:hideMark/>
          </w:tcPr>
          <w:p w14:paraId="3E61150A"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w:t>
            </w:r>
          </w:p>
        </w:tc>
        <w:tc>
          <w:tcPr>
            <w:tcW w:w="0" w:type="auto"/>
            <w:tcMar>
              <w:top w:w="100" w:type="dxa"/>
              <w:left w:w="80" w:type="dxa"/>
              <w:bottom w:w="100" w:type="dxa"/>
              <w:right w:w="80" w:type="dxa"/>
            </w:tcMar>
            <w:hideMark/>
          </w:tcPr>
          <w:p w14:paraId="2D7105D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0.053</w:t>
            </w:r>
          </w:p>
        </w:tc>
        <w:tc>
          <w:tcPr>
            <w:tcW w:w="0" w:type="auto"/>
            <w:tcMar>
              <w:top w:w="100" w:type="dxa"/>
              <w:left w:w="80" w:type="dxa"/>
              <w:bottom w:w="100" w:type="dxa"/>
              <w:right w:w="80" w:type="dxa"/>
            </w:tcMar>
            <w:hideMark/>
          </w:tcPr>
          <w:p w14:paraId="63FAB1F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0.048</w:t>
            </w:r>
          </w:p>
        </w:tc>
        <w:tc>
          <w:tcPr>
            <w:tcW w:w="0" w:type="auto"/>
            <w:tcMar>
              <w:top w:w="100" w:type="dxa"/>
              <w:left w:w="80" w:type="dxa"/>
              <w:bottom w:w="100" w:type="dxa"/>
              <w:right w:w="80" w:type="dxa"/>
            </w:tcMar>
            <w:hideMark/>
          </w:tcPr>
          <w:p w14:paraId="238A6A4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0.045</w:t>
            </w:r>
          </w:p>
        </w:tc>
        <w:tc>
          <w:tcPr>
            <w:tcW w:w="0" w:type="auto"/>
            <w:tcMar>
              <w:top w:w="100" w:type="dxa"/>
              <w:left w:w="80" w:type="dxa"/>
              <w:bottom w:w="100" w:type="dxa"/>
              <w:right w:w="80" w:type="dxa"/>
            </w:tcMar>
            <w:hideMark/>
          </w:tcPr>
          <w:p w14:paraId="101B46C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01775A9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c>
          <w:tcPr>
            <w:tcW w:w="0" w:type="auto"/>
            <w:tcMar>
              <w:top w:w="100" w:type="dxa"/>
              <w:left w:w="80" w:type="dxa"/>
              <w:bottom w:w="100" w:type="dxa"/>
              <w:right w:w="80" w:type="dxa"/>
            </w:tcMar>
            <w:hideMark/>
          </w:tcPr>
          <w:p w14:paraId="5ADA6CC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0.043</w:t>
            </w:r>
          </w:p>
        </w:tc>
      </w:tr>
      <w:tr w:rsidR="00310A55" w:rsidRPr="00310A55" w14:paraId="6358A34C" w14:textId="77777777" w:rsidTr="00310A55">
        <w:trPr>
          <w:trHeight w:val="173"/>
        </w:trPr>
        <w:tc>
          <w:tcPr>
            <w:tcW w:w="0" w:type="auto"/>
            <w:tcMar>
              <w:top w:w="100" w:type="dxa"/>
              <w:left w:w="80" w:type="dxa"/>
              <w:bottom w:w="100" w:type="dxa"/>
              <w:right w:w="80" w:type="dxa"/>
            </w:tcMar>
            <w:hideMark/>
          </w:tcPr>
          <w:p w14:paraId="204EC81C"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250</w:t>
            </w:r>
          </w:p>
        </w:tc>
        <w:tc>
          <w:tcPr>
            <w:tcW w:w="0" w:type="auto"/>
            <w:tcMar>
              <w:top w:w="100" w:type="dxa"/>
              <w:left w:w="80" w:type="dxa"/>
              <w:bottom w:w="100" w:type="dxa"/>
              <w:right w:w="80" w:type="dxa"/>
            </w:tcMar>
            <w:hideMark/>
          </w:tcPr>
          <w:p w14:paraId="095FA00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0.033</w:t>
            </w:r>
          </w:p>
        </w:tc>
        <w:tc>
          <w:tcPr>
            <w:tcW w:w="0" w:type="auto"/>
            <w:tcMar>
              <w:top w:w="100" w:type="dxa"/>
              <w:left w:w="80" w:type="dxa"/>
              <w:bottom w:w="100" w:type="dxa"/>
              <w:right w:w="80" w:type="dxa"/>
            </w:tcMar>
            <w:hideMark/>
          </w:tcPr>
          <w:p w14:paraId="348A2B4B"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0.030</w:t>
            </w:r>
          </w:p>
        </w:tc>
        <w:tc>
          <w:tcPr>
            <w:tcW w:w="0" w:type="auto"/>
            <w:tcMar>
              <w:top w:w="100" w:type="dxa"/>
              <w:left w:w="80" w:type="dxa"/>
              <w:bottom w:w="100" w:type="dxa"/>
              <w:right w:w="80" w:type="dxa"/>
            </w:tcMar>
            <w:hideMark/>
          </w:tcPr>
          <w:p w14:paraId="33ABA96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0.028</w:t>
            </w:r>
          </w:p>
        </w:tc>
        <w:tc>
          <w:tcPr>
            <w:tcW w:w="0" w:type="auto"/>
            <w:tcMar>
              <w:top w:w="100" w:type="dxa"/>
              <w:left w:w="80" w:type="dxa"/>
              <w:bottom w:w="100" w:type="dxa"/>
              <w:right w:w="80" w:type="dxa"/>
            </w:tcMar>
            <w:hideMark/>
          </w:tcPr>
          <w:p w14:paraId="5B8F71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2902DAA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c>
          <w:tcPr>
            <w:tcW w:w="0" w:type="auto"/>
            <w:tcMar>
              <w:top w:w="100" w:type="dxa"/>
              <w:left w:w="80" w:type="dxa"/>
              <w:bottom w:w="100" w:type="dxa"/>
              <w:right w:w="80" w:type="dxa"/>
            </w:tcMar>
            <w:hideMark/>
          </w:tcPr>
          <w:p w14:paraId="6D8A07C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0.027</w:t>
            </w:r>
          </w:p>
        </w:tc>
      </w:tr>
      <w:tr w:rsidR="00310A55" w:rsidRPr="00310A55" w14:paraId="4AA56B89" w14:textId="77777777" w:rsidTr="00310A55">
        <w:trPr>
          <w:trHeight w:val="173"/>
        </w:trPr>
        <w:tc>
          <w:tcPr>
            <w:tcW w:w="0" w:type="auto"/>
            <w:tcMar>
              <w:top w:w="100" w:type="dxa"/>
              <w:left w:w="80" w:type="dxa"/>
              <w:bottom w:w="100" w:type="dxa"/>
              <w:right w:w="80" w:type="dxa"/>
            </w:tcMar>
            <w:hideMark/>
          </w:tcPr>
          <w:p w14:paraId="5A7D8455"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w:t>
            </w:r>
          </w:p>
        </w:tc>
        <w:tc>
          <w:tcPr>
            <w:tcW w:w="0" w:type="auto"/>
            <w:tcMar>
              <w:top w:w="100" w:type="dxa"/>
              <w:left w:w="80" w:type="dxa"/>
              <w:bottom w:w="100" w:type="dxa"/>
              <w:right w:w="80" w:type="dxa"/>
            </w:tcMar>
            <w:hideMark/>
          </w:tcPr>
          <w:p w14:paraId="1C4A960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0.023</w:t>
            </w:r>
          </w:p>
        </w:tc>
        <w:tc>
          <w:tcPr>
            <w:tcW w:w="0" w:type="auto"/>
            <w:tcMar>
              <w:top w:w="100" w:type="dxa"/>
              <w:left w:w="80" w:type="dxa"/>
              <w:bottom w:w="100" w:type="dxa"/>
              <w:right w:w="80" w:type="dxa"/>
            </w:tcMar>
            <w:hideMark/>
          </w:tcPr>
          <w:p w14:paraId="746A92FC"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0.021</w:t>
            </w:r>
          </w:p>
        </w:tc>
        <w:tc>
          <w:tcPr>
            <w:tcW w:w="0" w:type="auto"/>
            <w:tcMar>
              <w:top w:w="100" w:type="dxa"/>
              <w:left w:w="80" w:type="dxa"/>
              <w:bottom w:w="100" w:type="dxa"/>
              <w:right w:w="80" w:type="dxa"/>
            </w:tcMar>
            <w:hideMark/>
          </w:tcPr>
          <w:p w14:paraId="3795C4D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0.020</w:t>
            </w:r>
          </w:p>
        </w:tc>
        <w:tc>
          <w:tcPr>
            <w:tcW w:w="0" w:type="auto"/>
            <w:tcMar>
              <w:top w:w="100" w:type="dxa"/>
              <w:left w:w="80" w:type="dxa"/>
              <w:bottom w:w="100" w:type="dxa"/>
              <w:right w:w="80" w:type="dxa"/>
            </w:tcMar>
            <w:hideMark/>
          </w:tcPr>
          <w:p w14:paraId="07ACFFD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12DE9FA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c>
          <w:tcPr>
            <w:tcW w:w="0" w:type="auto"/>
            <w:tcMar>
              <w:top w:w="100" w:type="dxa"/>
              <w:left w:w="80" w:type="dxa"/>
              <w:bottom w:w="100" w:type="dxa"/>
              <w:right w:w="80" w:type="dxa"/>
            </w:tcMar>
            <w:hideMark/>
          </w:tcPr>
          <w:p w14:paraId="019EF83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0.019</w:t>
            </w:r>
          </w:p>
        </w:tc>
      </w:tr>
      <w:tr w:rsidR="00310A55" w:rsidRPr="00310A55" w14:paraId="442BDA9B" w14:textId="77777777" w:rsidTr="00310A55">
        <w:trPr>
          <w:trHeight w:val="173"/>
        </w:trPr>
        <w:tc>
          <w:tcPr>
            <w:tcW w:w="0" w:type="auto"/>
            <w:tcMar>
              <w:top w:w="100" w:type="dxa"/>
              <w:left w:w="80" w:type="dxa"/>
              <w:bottom w:w="100" w:type="dxa"/>
              <w:right w:w="80" w:type="dxa"/>
            </w:tcMar>
            <w:hideMark/>
          </w:tcPr>
          <w:p w14:paraId="471B55E4"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1000</w:t>
            </w:r>
          </w:p>
        </w:tc>
        <w:tc>
          <w:tcPr>
            <w:tcW w:w="0" w:type="auto"/>
            <w:tcMar>
              <w:top w:w="100" w:type="dxa"/>
              <w:left w:w="80" w:type="dxa"/>
              <w:bottom w:w="100" w:type="dxa"/>
              <w:right w:w="80" w:type="dxa"/>
            </w:tcMar>
            <w:hideMark/>
          </w:tcPr>
          <w:p w14:paraId="7EBAD91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0.016</w:t>
            </w:r>
          </w:p>
        </w:tc>
        <w:tc>
          <w:tcPr>
            <w:tcW w:w="0" w:type="auto"/>
            <w:tcMar>
              <w:top w:w="100" w:type="dxa"/>
              <w:left w:w="80" w:type="dxa"/>
              <w:bottom w:w="100" w:type="dxa"/>
              <w:right w:w="80" w:type="dxa"/>
            </w:tcMar>
            <w:hideMark/>
          </w:tcPr>
          <w:p w14:paraId="6126B8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0.015</w:t>
            </w:r>
          </w:p>
        </w:tc>
        <w:tc>
          <w:tcPr>
            <w:tcW w:w="0" w:type="auto"/>
            <w:tcMar>
              <w:top w:w="100" w:type="dxa"/>
              <w:left w:w="80" w:type="dxa"/>
              <w:bottom w:w="100" w:type="dxa"/>
              <w:right w:w="80" w:type="dxa"/>
            </w:tcMar>
            <w:hideMark/>
          </w:tcPr>
          <w:p w14:paraId="2581A1A8"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236D9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5F311A1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0.014</w:t>
            </w:r>
          </w:p>
        </w:tc>
        <w:tc>
          <w:tcPr>
            <w:tcW w:w="0" w:type="auto"/>
            <w:tcMar>
              <w:top w:w="100" w:type="dxa"/>
              <w:left w:w="80" w:type="dxa"/>
              <w:bottom w:w="100" w:type="dxa"/>
              <w:right w:w="80" w:type="dxa"/>
            </w:tcMar>
            <w:hideMark/>
          </w:tcPr>
          <w:p w14:paraId="79C2E08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0.013</w:t>
            </w:r>
          </w:p>
        </w:tc>
      </w:tr>
      <w:tr w:rsidR="00310A55" w:rsidRPr="00310A55" w14:paraId="5E04B4D4" w14:textId="77777777" w:rsidTr="00310A55">
        <w:trPr>
          <w:trHeight w:val="173"/>
        </w:trPr>
        <w:tc>
          <w:tcPr>
            <w:tcW w:w="0" w:type="auto"/>
            <w:tcMar>
              <w:top w:w="100" w:type="dxa"/>
              <w:left w:w="80" w:type="dxa"/>
              <w:bottom w:w="100" w:type="dxa"/>
              <w:right w:w="80" w:type="dxa"/>
            </w:tcMar>
            <w:hideMark/>
          </w:tcPr>
          <w:p w14:paraId="616E3E0E"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2000</w:t>
            </w:r>
          </w:p>
        </w:tc>
        <w:tc>
          <w:tcPr>
            <w:tcW w:w="0" w:type="auto"/>
            <w:tcMar>
              <w:top w:w="100" w:type="dxa"/>
              <w:left w:w="80" w:type="dxa"/>
              <w:bottom w:w="100" w:type="dxa"/>
              <w:right w:w="80" w:type="dxa"/>
            </w:tcMar>
            <w:hideMark/>
          </w:tcPr>
          <w:p w14:paraId="5D4F7F71"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0.012</w:t>
            </w:r>
          </w:p>
        </w:tc>
        <w:tc>
          <w:tcPr>
            <w:tcW w:w="0" w:type="auto"/>
            <w:tcMar>
              <w:top w:w="100" w:type="dxa"/>
              <w:left w:w="80" w:type="dxa"/>
              <w:bottom w:w="100" w:type="dxa"/>
              <w:right w:w="80" w:type="dxa"/>
            </w:tcMar>
            <w:hideMark/>
          </w:tcPr>
          <w:p w14:paraId="4DD90285"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0.011</w:t>
            </w:r>
          </w:p>
        </w:tc>
        <w:tc>
          <w:tcPr>
            <w:tcW w:w="0" w:type="auto"/>
            <w:tcMar>
              <w:top w:w="100" w:type="dxa"/>
              <w:left w:w="80" w:type="dxa"/>
              <w:bottom w:w="100" w:type="dxa"/>
              <w:right w:w="80" w:type="dxa"/>
            </w:tcMar>
            <w:hideMark/>
          </w:tcPr>
          <w:p w14:paraId="1942747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257A01DF"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54A6944A"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c>
          <w:tcPr>
            <w:tcW w:w="0" w:type="auto"/>
            <w:tcMar>
              <w:top w:w="100" w:type="dxa"/>
              <w:left w:w="80" w:type="dxa"/>
              <w:bottom w:w="100" w:type="dxa"/>
              <w:right w:w="80" w:type="dxa"/>
            </w:tcMar>
            <w:hideMark/>
          </w:tcPr>
          <w:p w14:paraId="1593B147"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0.010</w:t>
            </w:r>
          </w:p>
        </w:tc>
      </w:tr>
      <w:tr w:rsidR="00310A55" w:rsidRPr="00310A55" w14:paraId="098C32F5" w14:textId="77777777" w:rsidTr="00310A55">
        <w:trPr>
          <w:trHeight w:val="178"/>
        </w:trPr>
        <w:tc>
          <w:tcPr>
            <w:tcW w:w="0" w:type="auto"/>
            <w:tcBorders>
              <w:bottom w:val="single" w:sz="6" w:space="0" w:color="000000"/>
            </w:tcBorders>
            <w:tcMar>
              <w:top w:w="100" w:type="dxa"/>
              <w:left w:w="80" w:type="dxa"/>
              <w:bottom w:w="100" w:type="dxa"/>
              <w:right w:w="80" w:type="dxa"/>
            </w:tcMar>
            <w:hideMark/>
          </w:tcPr>
          <w:p w14:paraId="759A0027" w14:textId="77777777" w:rsidR="00310A55" w:rsidRPr="00310A55" w:rsidRDefault="00310A55" w:rsidP="00620C47">
            <w:pPr>
              <w:pStyle w:val="NormalWeb"/>
              <w:spacing w:before="0" w:beforeAutospacing="0" w:after="0" w:afterAutospacing="0"/>
              <w:rPr>
                <w:sz w:val="18"/>
                <w:szCs w:val="18"/>
              </w:rPr>
            </w:pPr>
            <w:r w:rsidRPr="00310A55">
              <w:rPr>
                <w:color w:val="202122"/>
                <w:sz w:val="18"/>
                <w:szCs w:val="18"/>
                <w:shd w:val="clear" w:color="auto" w:fill="FFFFFF"/>
              </w:rPr>
              <w:t>5000</w:t>
            </w:r>
          </w:p>
        </w:tc>
        <w:tc>
          <w:tcPr>
            <w:tcW w:w="0" w:type="auto"/>
            <w:tcBorders>
              <w:bottom w:val="single" w:sz="6" w:space="0" w:color="000000"/>
            </w:tcBorders>
            <w:tcMar>
              <w:top w:w="100" w:type="dxa"/>
              <w:left w:w="80" w:type="dxa"/>
              <w:bottom w:w="100" w:type="dxa"/>
              <w:right w:w="80" w:type="dxa"/>
            </w:tcMar>
            <w:hideMark/>
          </w:tcPr>
          <w:p w14:paraId="3004E1E3"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465A95E9"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0.007</w:t>
            </w:r>
          </w:p>
        </w:tc>
        <w:tc>
          <w:tcPr>
            <w:tcW w:w="0" w:type="auto"/>
            <w:tcBorders>
              <w:bottom w:val="single" w:sz="6" w:space="0" w:color="000000"/>
            </w:tcBorders>
            <w:tcMar>
              <w:top w:w="100" w:type="dxa"/>
              <w:left w:w="80" w:type="dxa"/>
              <w:bottom w:w="100" w:type="dxa"/>
              <w:right w:w="80" w:type="dxa"/>
            </w:tcMar>
            <w:hideMark/>
          </w:tcPr>
          <w:p w14:paraId="1C35DA52"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59054AFD"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3B1AA586"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c>
          <w:tcPr>
            <w:tcW w:w="0" w:type="auto"/>
            <w:tcBorders>
              <w:bottom w:val="single" w:sz="6" w:space="0" w:color="000000"/>
            </w:tcBorders>
            <w:tcMar>
              <w:top w:w="100" w:type="dxa"/>
              <w:left w:w="80" w:type="dxa"/>
              <w:bottom w:w="100" w:type="dxa"/>
              <w:right w:w="80" w:type="dxa"/>
            </w:tcMar>
            <w:hideMark/>
          </w:tcPr>
          <w:p w14:paraId="084CE8D0" w14:textId="77777777" w:rsidR="00310A55" w:rsidRPr="00310A55" w:rsidRDefault="00310A55" w:rsidP="00620C47">
            <w:pPr>
              <w:pStyle w:val="NormalWeb"/>
              <w:spacing w:before="0" w:beforeAutospacing="0" w:after="0" w:afterAutospacing="0"/>
              <w:jc w:val="center"/>
              <w:rPr>
                <w:sz w:val="18"/>
                <w:szCs w:val="18"/>
              </w:rPr>
            </w:pPr>
            <w:r w:rsidRPr="00310A55">
              <w:rPr>
                <w:color w:val="202122"/>
                <w:sz w:val="18"/>
                <w:szCs w:val="18"/>
                <w:shd w:val="clear" w:color="auto" w:fill="FFFFFF"/>
              </w:rPr>
              <w:t>0.006</w:t>
            </w:r>
          </w:p>
        </w:tc>
      </w:tr>
    </w:tbl>
    <w:p w14:paraId="1A2A5E52" w14:textId="6671328C" w:rsidR="00310A55" w:rsidRDefault="00310A55" w:rsidP="00310A55">
      <w:pPr>
        <w:ind w:firstLine="0"/>
      </w:pPr>
    </w:p>
    <w:p w14:paraId="1DE35A58" w14:textId="77777777" w:rsidR="00310A55" w:rsidRDefault="00310A55">
      <w:pPr>
        <w:rPr>
          <w:b/>
        </w:rPr>
      </w:pPr>
      <w:bookmarkStart w:id="17" w:name="_qys4i817yeuz" w:colFirst="0" w:colLast="0"/>
      <w:bookmarkEnd w:id="17"/>
      <w:r>
        <w:br w:type="page"/>
      </w:r>
    </w:p>
    <w:p w14:paraId="261E5F92" w14:textId="628B87BD" w:rsidR="00EA61B4" w:rsidRDefault="00000000">
      <w:pPr>
        <w:pStyle w:val="Heading2"/>
      </w:pPr>
      <w:r>
        <w:lastRenderedPageBreak/>
        <w:t>Note 3S. Caliper tests</w:t>
      </w:r>
    </w:p>
    <w:p w14:paraId="764527EC" w14:textId="0DBC2EFC" w:rsidR="00DE10AB" w:rsidRDefault="00000000">
      <w:r>
        <w:t xml:space="preserve">Cronbach’s </w:t>
      </w:r>
      <m:oMath>
        <m:r>
          <w:rPr>
            <w:rFonts w:ascii="Cambria Math" w:hAnsi="Cambria Math"/>
          </w:rPr>
          <m:t>α</m:t>
        </m:r>
      </m:oMath>
      <w:r>
        <w:t xml:space="preserve">’s variance is a function of (a) the value of </w:t>
      </w:r>
      <m:oMath>
        <m:r>
          <w:rPr>
            <w:rFonts w:ascii="Cambria Math" w:hAnsi="Cambria Math"/>
          </w:rPr>
          <m:t>α</m:t>
        </m:r>
      </m:oMath>
      <w:r>
        <w:t>, (b)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xml:space="preserve">. In order to assess whether </w:t>
      </w:r>
      <m:oMath>
        <m:r>
          <w:rPr>
            <w:rFonts w:ascii="Cambria Math" w:hAnsi="Cambria Math"/>
          </w:rPr>
          <m:t>α</m:t>
        </m:r>
      </m:oMath>
      <w:r>
        <w:t xml:space="preserve"> is sufficiently precisely estimated in common study designs that researchers could plausibly discriminate between scales whose population </w:t>
      </w:r>
      <m:oMath>
        <m:r>
          <w:rPr>
            <w:rFonts w:ascii="Cambria Math" w:hAnsi="Cambria Math"/>
          </w:rPr>
          <m:t>α</m:t>
        </m:r>
      </m:oMath>
      <w:r>
        <w:t xml:space="preserve"> values were .69 versus .70, we calculated the standard error of </w:t>
      </w:r>
      <m:oMath>
        <m:r>
          <w:rPr>
            <w:rFonts w:ascii="Cambria Math" w:hAnsi="Cambria Math"/>
          </w:rPr>
          <m:t>α</m:t>
        </m:r>
      </m:oMath>
      <w:r>
        <w:t xml:space="preserve"> =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 </w:t>
      </w:r>
      <m:oMath>
        <m:r>
          <w:rPr>
            <w:rFonts w:ascii="Cambria Math" w:hAnsi="Cambria Math"/>
          </w:rPr>
          <m:t>α</m:t>
        </m:r>
      </m:oMath>
      <w:r>
        <w:t xml:space="preserve"> =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2E6712" w:rsidRDefault="00DE10AB" w:rsidP="002E6712">
      <w:pPr>
        <w:pStyle w:val="Bibliography"/>
        <w:rPr>
          <w:lang w:val="en-GB"/>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2E6712">
        <w:rPr>
          <w:i/>
          <w:iCs/>
          <w:lang w:val="en-GB"/>
        </w:rPr>
        <w:t>PeerJ</w:t>
      </w:r>
      <w:r w:rsidR="002E6712" w:rsidRPr="002E6712">
        <w:rPr>
          <w:lang w:val="en-GB"/>
        </w:rPr>
        <w:t xml:space="preserve">, </w:t>
      </w:r>
      <w:r w:rsidR="002E6712" w:rsidRPr="002E6712">
        <w:rPr>
          <w:i/>
          <w:iCs/>
          <w:lang w:val="en-GB"/>
        </w:rPr>
        <w:t>4</w:t>
      </w:r>
      <w:r w:rsidR="002E6712" w:rsidRPr="002E6712">
        <w:rPr>
          <w:lang w:val="en-GB"/>
        </w:rPr>
        <w:t>, e1935. https://doi.org/10.7717/peerj.1935</w:t>
      </w:r>
    </w:p>
    <w:p w14:paraId="1D655FAB" w14:textId="77777777" w:rsidR="002E6712" w:rsidRPr="002E6712" w:rsidRDefault="002E6712" w:rsidP="002E6712">
      <w:pPr>
        <w:pStyle w:val="Bibliography"/>
        <w:rPr>
          <w:lang w:val="en-GB"/>
        </w:rPr>
      </w:pPr>
      <w:r w:rsidRPr="002E6712">
        <w:rPr>
          <w:lang w:val="en-GB"/>
        </w:rPr>
        <w:t xml:space="preserve">Masicampo, E. J., &amp; Lalande, D. R. (2012). 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0F6E" w14:textId="77777777" w:rsidR="009225BE" w:rsidRDefault="009225BE">
      <w:pPr>
        <w:spacing w:line="240" w:lineRule="auto"/>
      </w:pPr>
      <w:r>
        <w:separator/>
      </w:r>
    </w:p>
  </w:endnote>
  <w:endnote w:type="continuationSeparator" w:id="0">
    <w:p w14:paraId="781F0379" w14:textId="77777777" w:rsidR="009225BE" w:rsidRDefault="009225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5E362" w14:textId="77777777" w:rsidR="009225BE" w:rsidRDefault="009225BE">
      <w:pPr>
        <w:spacing w:line="240" w:lineRule="auto"/>
      </w:pPr>
      <w:r>
        <w:separator/>
      </w:r>
    </w:p>
  </w:footnote>
  <w:footnote w:type="continuationSeparator" w:id="0">
    <w:p w14:paraId="509237D1" w14:textId="77777777" w:rsidR="009225BE" w:rsidRDefault="009225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2D010F"/>
    <w:rsid w:val="002E59CF"/>
    <w:rsid w:val="002E6712"/>
    <w:rsid w:val="00310A55"/>
    <w:rsid w:val="0031364E"/>
    <w:rsid w:val="00325118"/>
    <w:rsid w:val="00386A6B"/>
    <w:rsid w:val="0059463B"/>
    <w:rsid w:val="00600C3D"/>
    <w:rsid w:val="00605C6C"/>
    <w:rsid w:val="00675908"/>
    <w:rsid w:val="00695D6B"/>
    <w:rsid w:val="008D15AF"/>
    <w:rsid w:val="00901452"/>
    <w:rsid w:val="00902A3F"/>
    <w:rsid w:val="009225BE"/>
    <w:rsid w:val="00B17374"/>
    <w:rsid w:val="00C160EB"/>
    <w:rsid w:val="00C827A9"/>
    <w:rsid w:val="00D97D50"/>
    <w:rsid w:val="00DB6C12"/>
    <w:rsid w:val="00DE10AB"/>
    <w:rsid w:val="00EA61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2386</Words>
  <Characters>13603</Characters>
  <Application>Microsoft Office Word</Application>
  <DocSecurity>0</DocSecurity>
  <Lines>113</Lines>
  <Paragraphs>31</Paragraphs>
  <ScaleCrop>false</ScaleCrop>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29</cp:revision>
  <dcterms:created xsi:type="dcterms:W3CDTF">2023-02-03T17:02:00Z</dcterms:created>
  <dcterms:modified xsi:type="dcterms:W3CDTF">2023-02-03T17:39:00Z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