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7251F" w14:textId="77777777" w:rsidR="007D1EE4" w:rsidRDefault="007D1EE4" w:rsidP="007D1EE4">
      <w:pPr>
        <w:rPr>
          <w:b/>
        </w:rPr>
      </w:pPr>
    </w:p>
    <w:p w14:paraId="6897C790" w14:textId="77777777" w:rsidR="007D1EE4" w:rsidRDefault="007D1EE4" w:rsidP="007D1EE4">
      <w:pPr>
        <w:rPr>
          <w:b/>
        </w:rPr>
      </w:pPr>
    </w:p>
    <w:p w14:paraId="21CFCD16" w14:textId="77777777" w:rsidR="007D1EE4" w:rsidRDefault="007D1EE4" w:rsidP="007D1EE4">
      <w:pPr>
        <w:rPr>
          <w:b/>
        </w:rPr>
      </w:pPr>
    </w:p>
    <w:p w14:paraId="3BFB7C71" w14:textId="77777777" w:rsidR="007D1EE4" w:rsidRDefault="007D1EE4" w:rsidP="007D1EE4">
      <w:pPr>
        <w:rPr>
          <w:b/>
        </w:rPr>
      </w:pPr>
    </w:p>
    <w:p w14:paraId="39E1BE69" w14:textId="77777777" w:rsidR="007D1EE4" w:rsidRDefault="007D1EE4" w:rsidP="007D1EE4">
      <w:pPr>
        <w:rPr>
          <w:b/>
        </w:rPr>
      </w:pPr>
    </w:p>
    <w:p w14:paraId="2452A74D" w14:textId="77777777" w:rsidR="007D1EE4" w:rsidRDefault="007D1EE4" w:rsidP="007D1EE4">
      <w:pPr>
        <w:rPr>
          <w:b/>
        </w:rPr>
      </w:pPr>
    </w:p>
    <w:p w14:paraId="11E8F0B2" w14:textId="77777777" w:rsidR="007D1EE4" w:rsidRDefault="007D1EE4" w:rsidP="007D1EE4">
      <w:pPr>
        <w:rPr>
          <w:b/>
        </w:rPr>
      </w:pPr>
    </w:p>
    <w:p w14:paraId="685E7623" w14:textId="77777777" w:rsidR="007D1EE4" w:rsidRDefault="007D1EE4" w:rsidP="007D1EE4">
      <w:pPr>
        <w:rPr>
          <w:b/>
        </w:rPr>
      </w:pPr>
    </w:p>
    <w:p w14:paraId="0AE71427" w14:textId="77777777" w:rsidR="007D1EE4" w:rsidRDefault="007D1EE4" w:rsidP="007D1EE4">
      <w:pPr>
        <w:rPr>
          <w:b/>
        </w:rPr>
      </w:pPr>
    </w:p>
    <w:p w14:paraId="5DFCE42C" w14:textId="77777777" w:rsidR="007D1EE4" w:rsidRDefault="007D1EE4" w:rsidP="007D1EE4">
      <w:pPr>
        <w:rPr>
          <w:b/>
        </w:rPr>
      </w:pPr>
    </w:p>
    <w:p w14:paraId="49CA5B2D" w14:textId="77777777" w:rsidR="007D1EE4" w:rsidRDefault="007D1EE4" w:rsidP="007D1EE4">
      <w:pPr>
        <w:rPr>
          <w:b/>
        </w:rPr>
      </w:pPr>
    </w:p>
    <w:p w14:paraId="7318BC77" w14:textId="77777777" w:rsidR="007D1EE4" w:rsidRDefault="007D1EE4" w:rsidP="007D1EE4">
      <w:pPr>
        <w:rPr>
          <w:b/>
        </w:rPr>
      </w:pPr>
    </w:p>
    <w:p w14:paraId="17030962" w14:textId="77777777" w:rsidR="007D1EE4" w:rsidRDefault="007D1EE4" w:rsidP="007D1EE4">
      <w:pPr>
        <w:rPr>
          <w:b/>
        </w:rPr>
      </w:pPr>
    </w:p>
    <w:p w14:paraId="6A8BBAA8" w14:textId="77777777" w:rsidR="007D1EE4" w:rsidRDefault="007D1EE4" w:rsidP="007D1EE4">
      <w:pPr>
        <w:rPr>
          <w:b/>
        </w:rPr>
      </w:pPr>
    </w:p>
    <w:p w14:paraId="0D84B8DE" w14:textId="6D1B58DE" w:rsidR="007D1EE4" w:rsidRDefault="00B21FA3" w:rsidP="007D1EE4">
      <w:pPr>
        <w:jc w:val="center"/>
        <w:rPr>
          <w:b/>
        </w:rPr>
      </w:pPr>
      <w:r>
        <w:t>Influence awareness in the AMP: A replication of Experiment 3 of Payne et al. (2013)</w:t>
      </w:r>
    </w:p>
    <w:p w14:paraId="37B4DD76" w14:textId="77777777" w:rsidR="007D1EE4" w:rsidRDefault="007D1EE4" w:rsidP="007D1EE4">
      <w:pPr>
        <w:jc w:val="center"/>
        <w:rPr>
          <w:b/>
        </w:rPr>
      </w:pPr>
    </w:p>
    <w:p w14:paraId="30A0D647" w14:textId="77777777" w:rsidR="007D1EE4" w:rsidRDefault="007D1EE4" w:rsidP="007D1EE4">
      <w:pPr>
        <w:jc w:val="center"/>
        <w:rPr>
          <w:b/>
        </w:rPr>
      </w:pPr>
    </w:p>
    <w:p w14:paraId="2549368A" w14:textId="77777777" w:rsidR="007D1EE4" w:rsidRDefault="007D1EE4" w:rsidP="007D1EE4">
      <w:pPr>
        <w:jc w:val="center"/>
      </w:pPr>
    </w:p>
    <w:p w14:paraId="04BE1052" w14:textId="77777777" w:rsidR="007D1EE4" w:rsidRDefault="007D1EE4" w:rsidP="007D1EE4">
      <w:pPr>
        <w:jc w:val="center"/>
      </w:pPr>
    </w:p>
    <w:p w14:paraId="0A84D882" w14:textId="77777777" w:rsidR="007D1EE4" w:rsidRDefault="007D1EE4" w:rsidP="007D1EE4">
      <w:pPr>
        <w:jc w:val="center"/>
      </w:pPr>
      <w:r w:rsidRPr="001B11FE">
        <w:t xml:space="preserve">Jamie Cummins, Ian Hussey, &amp; Sean Hughes </w:t>
      </w:r>
    </w:p>
    <w:p w14:paraId="2572A7FA" w14:textId="77777777" w:rsidR="007D1EE4" w:rsidRDefault="007D1EE4" w:rsidP="007D1EE4">
      <w:pPr>
        <w:jc w:val="center"/>
      </w:pPr>
    </w:p>
    <w:p w14:paraId="3AA2F6DD" w14:textId="77777777" w:rsidR="007D1EE4" w:rsidRDefault="007D1EE4" w:rsidP="007D1EE4">
      <w:pPr>
        <w:jc w:val="center"/>
      </w:pPr>
      <w:r>
        <w:t>Ghent University, Belgium</w:t>
      </w:r>
    </w:p>
    <w:p w14:paraId="18E55C59" w14:textId="77777777" w:rsidR="007D1EE4" w:rsidRDefault="007D1EE4" w:rsidP="007D1EE4">
      <w:pPr>
        <w:jc w:val="center"/>
      </w:pPr>
    </w:p>
    <w:p w14:paraId="32147090" w14:textId="77777777" w:rsidR="007D1EE4" w:rsidRDefault="007D1EE4" w:rsidP="007D1EE4">
      <w:pPr>
        <w:jc w:val="center"/>
      </w:pPr>
    </w:p>
    <w:p w14:paraId="552F20EC" w14:textId="77777777" w:rsidR="007D1EE4" w:rsidRDefault="007D1EE4" w:rsidP="007D1EE4">
      <w:pPr>
        <w:jc w:val="center"/>
      </w:pPr>
    </w:p>
    <w:p w14:paraId="0C0EEB0F" w14:textId="77777777" w:rsidR="007D1EE4" w:rsidRPr="001B11FE" w:rsidRDefault="007D1EE4" w:rsidP="007D1EE4">
      <w:pPr>
        <w:jc w:val="center"/>
        <w:rPr>
          <w:i/>
          <w:color w:val="FF0000"/>
        </w:rPr>
      </w:pPr>
      <w:r w:rsidRPr="001B11FE">
        <w:rPr>
          <w:i/>
          <w:color w:val="FF0000"/>
        </w:rPr>
        <w:t>Pre</w:t>
      </w:r>
      <w:r>
        <w:rPr>
          <w:i/>
          <w:color w:val="FF0000"/>
        </w:rPr>
        <w:t>-</w:t>
      </w:r>
      <w:r w:rsidRPr="001B11FE">
        <w:rPr>
          <w:i/>
          <w:color w:val="FF0000"/>
        </w:rPr>
        <w:t>registration</w:t>
      </w:r>
    </w:p>
    <w:p w14:paraId="335C5273" w14:textId="77777777" w:rsidR="007D1EE4" w:rsidRDefault="007D1EE4" w:rsidP="007D1EE4">
      <w:pPr>
        <w:jc w:val="center"/>
      </w:pPr>
    </w:p>
    <w:p w14:paraId="77D3E1DC" w14:textId="77777777" w:rsidR="007D1EE4" w:rsidRDefault="007D1EE4" w:rsidP="007D1EE4">
      <w:pPr>
        <w:jc w:val="center"/>
      </w:pPr>
    </w:p>
    <w:p w14:paraId="168CBE31" w14:textId="77777777" w:rsidR="007D1EE4" w:rsidRDefault="007D1EE4" w:rsidP="007D1EE4">
      <w:pPr>
        <w:jc w:val="center"/>
      </w:pPr>
    </w:p>
    <w:p w14:paraId="30692EA6" w14:textId="77777777" w:rsidR="007D1EE4" w:rsidRDefault="007D1EE4" w:rsidP="007D1EE4">
      <w:pPr>
        <w:jc w:val="center"/>
      </w:pPr>
    </w:p>
    <w:p w14:paraId="4E2F6FC5" w14:textId="77777777" w:rsidR="007D1EE4" w:rsidRDefault="007D1EE4" w:rsidP="007D1EE4">
      <w:pPr>
        <w:jc w:val="center"/>
      </w:pPr>
    </w:p>
    <w:p w14:paraId="0CDFADC3" w14:textId="77777777" w:rsidR="007D1EE4" w:rsidRDefault="007D1EE4" w:rsidP="007D1EE4">
      <w:pPr>
        <w:jc w:val="center"/>
      </w:pPr>
    </w:p>
    <w:p w14:paraId="7C19D978" w14:textId="77777777" w:rsidR="007D1EE4" w:rsidRDefault="007D1EE4" w:rsidP="007D1EE4">
      <w:pPr>
        <w:jc w:val="center"/>
      </w:pPr>
    </w:p>
    <w:p w14:paraId="06B8C350" w14:textId="77777777" w:rsidR="007D1EE4" w:rsidRDefault="007D1EE4" w:rsidP="007D1EE4">
      <w:pPr>
        <w:jc w:val="center"/>
      </w:pPr>
    </w:p>
    <w:p w14:paraId="79298B22" w14:textId="77777777" w:rsidR="007D1EE4" w:rsidRDefault="007D1EE4" w:rsidP="007D1EE4">
      <w:pPr>
        <w:jc w:val="center"/>
      </w:pPr>
    </w:p>
    <w:p w14:paraId="49CB8499" w14:textId="77777777" w:rsidR="007D1EE4" w:rsidRPr="00895BC2" w:rsidRDefault="007D1EE4" w:rsidP="007D1EE4">
      <w:pPr>
        <w:spacing w:line="480" w:lineRule="auto"/>
        <w:jc w:val="center"/>
        <w:rPr>
          <w:b/>
        </w:rPr>
      </w:pPr>
      <w:r w:rsidRPr="00895BC2">
        <w:rPr>
          <w:b/>
        </w:rPr>
        <w:t xml:space="preserve">Author </w:t>
      </w:r>
      <w:proofErr w:type="gramStart"/>
      <w:r w:rsidRPr="00895BC2">
        <w:rPr>
          <w:b/>
        </w:rPr>
        <w:t>note</w:t>
      </w:r>
      <w:proofErr w:type="gramEnd"/>
    </w:p>
    <w:p w14:paraId="1FAAB521" w14:textId="14885FFE" w:rsidR="007D1EE4" w:rsidRPr="001B11FE" w:rsidRDefault="007D1EE4" w:rsidP="007D1EE4">
      <w:pPr>
        <w:adjustRightInd w:val="0"/>
        <w:spacing w:line="480" w:lineRule="auto"/>
        <w:jc w:val="both"/>
      </w:pPr>
      <w:r>
        <w:tab/>
        <w:t xml:space="preserve">JC, IH, and </w:t>
      </w:r>
      <w:r>
        <w:rPr>
          <w:lang w:val="en-IE"/>
        </w:rPr>
        <w:t xml:space="preserve">SH, </w:t>
      </w:r>
      <w:r w:rsidRPr="00FF2EF1">
        <w:rPr>
          <w:lang w:val="en-IE"/>
        </w:rPr>
        <w:t xml:space="preserve">Department of Experimental Clinical and Health Psychology, Ghent University. </w:t>
      </w:r>
      <w:r>
        <w:t xml:space="preserve">This research was conducted with the support of </w:t>
      </w:r>
      <w:r w:rsidRPr="00984D55">
        <w:t xml:space="preserve">Grant </w:t>
      </w:r>
      <w:r w:rsidRPr="0053101B">
        <w:t>BOF16/MET_V/002</w:t>
      </w:r>
      <w:r>
        <w:t xml:space="preserve"> to Jan De Houwer and Ghent University postdoctoral fellowship </w:t>
      </w:r>
      <w:r w:rsidRPr="00E15460">
        <w:t xml:space="preserve">01P05517 </w:t>
      </w:r>
      <w:r>
        <w:t xml:space="preserve">to IH. </w:t>
      </w:r>
      <w:r w:rsidRPr="00FF2EF1">
        <w:rPr>
          <w:lang w:val="en-IE"/>
        </w:rPr>
        <w:t xml:space="preserve">Correspondence concerning this article </w:t>
      </w:r>
      <w:r>
        <w:rPr>
          <w:lang w:val="en-IE"/>
        </w:rPr>
        <w:t xml:space="preserve">should be sent to </w:t>
      </w:r>
      <w:r w:rsidR="00B21FA3" w:rsidRPr="00B21FA3">
        <w:rPr>
          <w:lang w:val="en-IE"/>
        </w:rPr>
        <w:t>jamie.cummins@</w:t>
      </w:r>
      <w:r w:rsidR="00B21FA3">
        <w:rPr>
          <w:lang w:val="en-IE"/>
        </w:rPr>
        <w:t>ug</w:t>
      </w:r>
      <w:r w:rsidR="00B21FA3" w:rsidRPr="00B21FA3">
        <w:rPr>
          <w:lang w:val="en-IE"/>
        </w:rPr>
        <w:t>ent.be</w:t>
      </w:r>
      <w:r w:rsidR="00B21FA3">
        <w:rPr>
          <w:lang w:val="en-IE"/>
        </w:rPr>
        <w:t xml:space="preserve">, </w:t>
      </w:r>
      <w:r w:rsidR="00B21FA3" w:rsidRPr="00B21FA3">
        <w:rPr>
          <w:lang w:val="en-IE"/>
        </w:rPr>
        <w:t>ian.hussey@ugent.be</w:t>
      </w:r>
      <w:r w:rsidR="00B21FA3">
        <w:rPr>
          <w:lang w:val="en-IE"/>
        </w:rPr>
        <w:t>, or sean.hughes@ugent.be</w:t>
      </w:r>
      <w:r w:rsidRPr="00FF2EF1">
        <w:rPr>
          <w:lang w:val="en-IE"/>
        </w:rPr>
        <w:t>.</w:t>
      </w:r>
    </w:p>
    <w:p w14:paraId="72F37AC4" w14:textId="77777777" w:rsidR="007D1EE4" w:rsidRPr="00CF4353" w:rsidRDefault="007D1EE4" w:rsidP="007D1EE4">
      <w:pPr>
        <w:spacing w:line="480" w:lineRule="auto"/>
        <w:jc w:val="center"/>
        <w:rPr>
          <w:b/>
        </w:rPr>
      </w:pPr>
      <w:r w:rsidRPr="00CF4353">
        <w:rPr>
          <w:b/>
        </w:rPr>
        <w:lastRenderedPageBreak/>
        <w:t>Background and rationale</w:t>
      </w:r>
    </w:p>
    <w:p w14:paraId="172416CA" w14:textId="46A504E4" w:rsidR="00182BD8" w:rsidRDefault="007D1EE4" w:rsidP="007D1EE4">
      <w:pPr>
        <w:spacing w:line="480" w:lineRule="auto"/>
        <w:ind w:firstLine="720"/>
      </w:pPr>
      <w:r w:rsidRPr="002B12DB">
        <w:t>The Affec</w:t>
      </w:r>
      <w:r>
        <w:t>t Misattribution Procedure (AMP: Payne et al., 2005</w:t>
      </w:r>
      <w:r w:rsidRPr="002B12DB">
        <w:t xml:space="preserve">) is a popular indirect </w:t>
      </w:r>
      <w:r w:rsidR="00325CD7">
        <w:t>procedure that aims to provide a measure of one’s “</w:t>
      </w:r>
      <w:r w:rsidRPr="002B12DB">
        <w:t>implicit attitudes</w:t>
      </w:r>
      <w:r w:rsidR="00325CD7">
        <w:t>”</w:t>
      </w:r>
      <w:r>
        <w:t xml:space="preserve"> (</w:t>
      </w:r>
      <w:r w:rsidRPr="000410B1">
        <w:t>Nosek, Hawkins</w:t>
      </w:r>
      <w:r>
        <w:t>,</w:t>
      </w:r>
      <w:r w:rsidRPr="000410B1">
        <w:t xml:space="preserve"> </w:t>
      </w:r>
      <w:r>
        <w:t>&amp;</w:t>
      </w:r>
      <w:r w:rsidRPr="000410B1">
        <w:t xml:space="preserve"> Frazier</w:t>
      </w:r>
      <w:r>
        <w:t>, 2012)</w:t>
      </w:r>
      <w:r w:rsidRPr="002B12DB">
        <w:t xml:space="preserve">. It is often </w:t>
      </w:r>
      <w:r w:rsidR="00325CD7">
        <w:t xml:space="preserve">framed positively in terms of its </w:t>
      </w:r>
      <w:r w:rsidRPr="002B12DB">
        <w:t>large effect sizes, relatively simpl</w:t>
      </w:r>
      <w:r>
        <w:t>e</w:t>
      </w:r>
      <w:r w:rsidRPr="002B12DB">
        <w:t xml:space="preserve"> </w:t>
      </w:r>
      <w:r w:rsidR="00325CD7">
        <w:t>procedural parameters</w:t>
      </w:r>
      <w:r w:rsidRPr="002B12DB">
        <w:t xml:space="preserve">, and high internal consistency relative to </w:t>
      </w:r>
      <w:r w:rsidR="00325CD7">
        <w:t xml:space="preserve">other </w:t>
      </w:r>
      <w:r w:rsidRPr="002B12DB">
        <w:t>reaction</w:t>
      </w:r>
      <w:r>
        <w:t xml:space="preserve"> </w:t>
      </w:r>
      <w:r w:rsidRPr="002B12DB">
        <w:t>time</w:t>
      </w:r>
      <w:r>
        <w:t>-</w:t>
      </w:r>
      <w:r w:rsidRPr="002B12DB">
        <w:t>based measures (Gawronski &amp; Ye, 2015).</w:t>
      </w:r>
      <w:r w:rsidR="00182BD8">
        <w:t xml:space="preserve"> </w:t>
      </w:r>
      <w:r w:rsidR="00325CD7">
        <w:t>Put simply</w:t>
      </w:r>
      <w:r w:rsidR="00182BD8">
        <w:t xml:space="preserve">, the </w:t>
      </w:r>
      <w:r w:rsidR="00325CD7">
        <w:t xml:space="preserve">task </w:t>
      </w:r>
      <w:r w:rsidR="00182BD8">
        <w:t xml:space="preserve">presents </w:t>
      </w:r>
      <w:r w:rsidR="00325CD7">
        <w:t xml:space="preserve">a </w:t>
      </w:r>
      <w:r w:rsidR="00182BD8">
        <w:t>prime stimul</w:t>
      </w:r>
      <w:r w:rsidR="00325CD7">
        <w:t>us</w:t>
      </w:r>
      <w:r w:rsidR="00182BD8">
        <w:t xml:space="preserve"> (</w:t>
      </w:r>
      <w:r w:rsidR="00325CD7">
        <w:t xml:space="preserve">e.g., a </w:t>
      </w:r>
      <w:r w:rsidR="00182BD8">
        <w:t>positive</w:t>
      </w:r>
      <w:r w:rsidR="00325CD7">
        <w:t xml:space="preserve"> or </w:t>
      </w:r>
      <w:r w:rsidR="00182BD8">
        <w:t>negative image) followed by a target stimulus (</w:t>
      </w:r>
      <w:r w:rsidR="00325CD7">
        <w:t xml:space="preserve">e.g., </w:t>
      </w:r>
      <w:r w:rsidR="00182BD8">
        <w:t xml:space="preserve">an image of a Chinese character) in quick succession. Participants are required to evaluate the valence of the Chinese character (i.e., whether they find it pleasant or unpleasant) and to ignore the prime. </w:t>
      </w:r>
      <w:r w:rsidR="00325CD7">
        <w:t xml:space="preserve">Despite </w:t>
      </w:r>
      <w:r w:rsidR="00182BD8">
        <w:t xml:space="preserve">instructions to ignore the prime, participants tend to respond </w:t>
      </w:r>
      <w:r w:rsidR="00325CD7">
        <w:t xml:space="preserve">evaluatively in ways that are </w:t>
      </w:r>
      <w:r w:rsidR="00182BD8">
        <w:t xml:space="preserve">consistent with </w:t>
      </w:r>
      <w:r w:rsidR="00325CD7">
        <w:t xml:space="preserve">the </w:t>
      </w:r>
      <w:r w:rsidR="00182BD8">
        <w:t>valence</w:t>
      </w:r>
      <w:r w:rsidR="00325CD7">
        <w:t xml:space="preserve"> of the prime</w:t>
      </w:r>
      <w:r w:rsidR="00182BD8">
        <w:t xml:space="preserve">. </w:t>
      </w:r>
      <w:r w:rsidRPr="002B12DB">
        <w:t xml:space="preserve"> </w:t>
      </w:r>
    </w:p>
    <w:p w14:paraId="0A3F8A7A" w14:textId="45910A25" w:rsidR="00B61EF2" w:rsidRDefault="00325CD7" w:rsidP="007D1EE4">
      <w:pPr>
        <w:spacing w:line="480" w:lineRule="auto"/>
        <w:ind w:firstLine="720"/>
      </w:pPr>
      <w:r>
        <w:t xml:space="preserve">The </w:t>
      </w:r>
      <w:r w:rsidR="00182BD8">
        <w:t>AMP</w:t>
      </w:r>
      <w:r>
        <w:t xml:space="preserve"> is frequently under the assumption that it</w:t>
      </w:r>
      <w:r w:rsidR="00B21FA3">
        <w:t xml:space="preserve"> captur</w:t>
      </w:r>
      <w:r>
        <w:t>es</w:t>
      </w:r>
      <w:r w:rsidR="00B21FA3">
        <w:t xml:space="preserve"> respon</w:t>
      </w:r>
      <w:r>
        <w:t>ding</w:t>
      </w:r>
      <w:r w:rsidR="00B21FA3">
        <w:t xml:space="preserve"> </w:t>
      </w:r>
      <w:r>
        <w:t xml:space="preserve">in the absence of </w:t>
      </w:r>
      <w:r w:rsidR="00B21FA3">
        <w:t>awareness</w:t>
      </w:r>
      <w:r>
        <w:t xml:space="preserve"> or </w:t>
      </w:r>
      <w:r w:rsidR="00B21FA3">
        <w:t xml:space="preserve">intention to emit such responses. </w:t>
      </w:r>
      <w:r>
        <w:t xml:space="preserve">Although several </w:t>
      </w:r>
      <w:r w:rsidR="00182BD8">
        <w:t>studies have investigated the intentionality of AMP effects</w:t>
      </w:r>
      <w:r>
        <w:t>, often with</w:t>
      </w:r>
      <w:r w:rsidR="00182BD8">
        <w:t xml:space="preserve"> mixed findings (e.g., Bar-Anan &amp; Nosek, 2012; Payne et al., 2013; Gawronski &amp; Ye, 2015), </w:t>
      </w:r>
      <w:r>
        <w:t xml:space="preserve">less work </w:t>
      </w:r>
      <w:r w:rsidR="00182BD8">
        <w:t xml:space="preserve">has </w:t>
      </w:r>
      <w:r>
        <w:t xml:space="preserve">examined the extent to which people are </w:t>
      </w:r>
      <w:r w:rsidR="00182BD8">
        <w:t xml:space="preserve">unaware of </w:t>
      </w:r>
      <w:r>
        <w:t>their pattern of responding on the task</w:t>
      </w:r>
      <w:r w:rsidR="00182BD8">
        <w:t xml:space="preserve">. To date, the only direct empirical investigation </w:t>
      </w:r>
      <w:r>
        <w:t xml:space="preserve">of this </w:t>
      </w:r>
      <w:r w:rsidR="00182BD8">
        <w:t xml:space="preserve">has been </w:t>
      </w:r>
      <w:r>
        <w:t xml:space="preserve">carried out by </w:t>
      </w:r>
      <w:r w:rsidR="00182BD8">
        <w:t>Payne et al</w:t>
      </w:r>
      <w:r>
        <w:t>.</w:t>
      </w:r>
      <w:r w:rsidR="00182BD8">
        <w:t xml:space="preserve"> </w:t>
      </w:r>
      <w:r>
        <w:t>(2013) E</w:t>
      </w:r>
      <w:r w:rsidR="00182BD8">
        <w:t>xperiment</w:t>
      </w:r>
      <w:r>
        <w:t xml:space="preserve"> 3</w:t>
      </w:r>
      <w:r w:rsidR="00182BD8">
        <w:t xml:space="preserve">. </w:t>
      </w:r>
      <w:r>
        <w:t xml:space="preserve">In this study participants completed </w:t>
      </w:r>
      <w:r w:rsidR="00182BD8">
        <w:t xml:space="preserve">one of two AMPs: either a standard AMP, or a so-called </w:t>
      </w:r>
      <w:r>
        <w:t>‘</w:t>
      </w:r>
      <w:r w:rsidR="00182BD8">
        <w:t xml:space="preserve">skip-AMP. In the skip-AMP, </w:t>
      </w:r>
      <w:r>
        <w:t xml:space="preserve">they </w:t>
      </w:r>
      <w:r w:rsidR="00182BD8">
        <w:t xml:space="preserve">were provided </w:t>
      </w:r>
      <w:r>
        <w:t xml:space="preserve">an </w:t>
      </w:r>
      <w:r w:rsidR="00182BD8">
        <w:t xml:space="preserve">option to skip </w:t>
      </w:r>
      <w:r>
        <w:t xml:space="preserve">responding </w:t>
      </w:r>
      <w:r w:rsidR="00182BD8">
        <w:t xml:space="preserve">on trials where they felt that their evaluation of the target stimulus would be influenced by the </w:t>
      </w:r>
      <w:r>
        <w:t xml:space="preserve">proceeding </w:t>
      </w:r>
      <w:r w:rsidR="00182BD8">
        <w:t xml:space="preserve">prime stimulus. The authors </w:t>
      </w:r>
      <w:r>
        <w:t xml:space="preserve">found </w:t>
      </w:r>
      <w:r w:rsidR="00182BD8">
        <w:t xml:space="preserve">that effects </w:t>
      </w:r>
      <w:r>
        <w:t xml:space="preserve">on the standard AMP did not differ </w:t>
      </w:r>
      <w:r w:rsidR="00182BD8">
        <w:t>significantly in magnitude</w:t>
      </w:r>
      <w:r>
        <w:t xml:space="preserve"> from those in the skip-AMP</w:t>
      </w:r>
      <w:r w:rsidR="00182BD8">
        <w:t xml:space="preserve">. </w:t>
      </w:r>
    </w:p>
    <w:p w14:paraId="01B9B1DC" w14:textId="65B809DE" w:rsidR="007D1EE4" w:rsidRDefault="00325CD7" w:rsidP="00307948">
      <w:pPr>
        <w:spacing w:line="480" w:lineRule="auto"/>
        <w:ind w:firstLine="720"/>
      </w:pPr>
      <w:r>
        <w:lastRenderedPageBreak/>
        <w:t xml:space="preserve">On the one hand, </w:t>
      </w:r>
      <w:r w:rsidR="00B61EF2">
        <w:t>this represent</w:t>
      </w:r>
      <w:r>
        <w:t>s</w:t>
      </w:r>
      <w:r w:rsidR="00B61EF2">
        <w:t xml:space="preserve"> a good initial step towards exploring awareness in the AMP</w:t>
      </w:r>
      <w:r>
        <w:t>. On the other hand,</w:t>
      </w:r>
      <w:r w:rsidR="00B61EF2">
        <w:t xml:space="preserve"> Payne et al.’s approach </w:t>
      </w:r>
      <w:r>
        <w:t xml:space="preserve">is </w:t>
      </w:r>
      <w:r w:rsidR="00B61EF2">
        <w:t xml:space="preserve">not without issue. </w:t>
      </w:r>
      <w:r>
        <w:t>T</w:t>
      </w:r>
      <w:r w:rsidR="005C556C">
        <w:t xml:space="preserve">he sample size in </w:t>
      </w:r>
      <w:r>
        <w:t xml:space="preserve">their </w:t>
      </w:r>
      <w:r w:rsidR="005C556C">
        <w:t>study was relatively small (N = 36 per cell). Although Payne et al. argued that this sample w</w:t>
      </w:r>
      <w:r w:rsidR="00307948">
        <w:t xml:space="preserve">ould provide </w:t>
      </w:r>
      <w:r>
        <w:t xml:space="preserve">power </w:t>
      </w:r>
      <w:r w:rsidR="00307948">
        <w:t xml:space="preserve">“greater than .85 to detect an interaction between the repeated measures and between-subjects factors, even assuming a small effect size” (p. 383), the authors did not specify what effect size they qualified as “small”, nor what they specified as the correlation between the different within-subject measurements (i.e., the correlation between evaluations of the positive and negative primes). This unspecified correlation can make such a power analysis vary widely. </w:t>
      </w:r>
      <w:r w:rsidR="00511A80">
        <w:t xml:space="preserve">Combining this with the fact that their sample size was relatively small, it is very possible that a true difference between the AMP types exists, but the authors simply did achieve sufficient power to detect such a difference. </w:t>
      </w:r>
    </w:p>
    <w:p w14:paraId="74A45D7A" w14:textId="5F61EDAF" w:rsidR="00307948" w:rsidRPr="00511A80" w:rsidRDefault="00307948" w:rsidP="00307948">
      <w:pPr>
        <w:spacing w:line="480" w:lineRule="auto"/>
        <w:ind w:firstLine="720"/>
      </w:pPr>
      <w:r>
        <w:t xml:space="preserve">In the current experiment, we </w:t>
      </w:r>
      <w:r w:rsidR="00CA2B01">
        <w:t xml:space="preserve">sought </w:t>
      </w:r>
      <w:r>
        <w:t>to replicate Payne et al</w:t>
      </w:r>
      <w:r w:rsidR="00CA2B01">
        <w:t>. (2013) E</w:t>
      </w:r>
      <w:r>
        <w:t xml:space="preserve">xperiment </w:t>
      </w:r>
      <w:r w:rsidR="00CA2B01">
        <w:t xml:space="preserve">3 </w:t>
      </w:r>
      <w:r>
        <w:t>with an increased sample size</w:t>
      </w:r>
      <w:r w:rsidR="00FF3FC0">
        <w:t xml:space="preserve"> and </w:t>
      </w:r>
      <w:r w:rsidR="00CA2B01">
        <w:t xml:space="preserve">by using a </w:t>
      </w:r>
      <w:r w:rsidR="00FF3FC0">
        <w:t xml:space="preserve">within-subject </w:t>
      </w:r>
      <w:r w:rsidR="00CA2B01">
        <w:t xml:space="preserve">design </w:t>
      </w:r>
      <w:r w:rsidR="00FF3FC0">
        <w:t>to increase statistical power. Specifically, we</w:t>
      </w:r>
      <w:r w:rsidR="002A55BC">
        <w:t xml:space="preserve"> will</w:t>
      </w:r>
      <w:r w:rsidR="00FF3FC0">
        <w:t xml:space="preserve"> administer </w:t>
      </w:r>
      <w:r w:rsidR="00CA2B01">
        <w:t xml:space="preserve">an identical </w:t>
      </w:r>
      <w:r w:rsidR="00FF3FC0">
        <w:t xml:space="preserve">standard AMP and skip-AMP </w:t>
      </w:r>
      <w:r w:rsidR="00CA2B01">
        <w:t xml:space="preserve">as in the original Payne et al. (2013) study. However, instead of using a between subject design we </w:t>
      </w:r>
      <w:proofErr w:type="gramStart"/>
      <w:r w:rsidR="00CA2B01">
        <w:t>will  administer</w:t>
      </w:r>
      <w:proofErr w:type="gramEnd"/>
      <w:r w:rsidR="00CA2B01">
        <w:t xml:space="preserve"> both AMPs to </w:t>
      </w:r>
      <w:r w:rsidR="00FF3FC0">
        <w:t>all participants</w:t>
      </w:r>
      <w:r w:rsidR="002A55BC">
        <w:t xml:space="preserve"> </w:t>
      </w:r>
      <w:r w:rsidR="008F368D">
        <w:t xml:space="preserve">and compare </w:t>
      </w:r>
      <w:r w:rsidR="00CA2B01">
        <w:t xml:space="preserve">AMP </w:t>
      </w:r>
      <w:r w:rsidR="008F368D">
        <w:t xml:space="preserve">effect sizes within (rather than between) </w:t>
      </w:r>
      <w:r w:rsidR="00CA2B01">
        <w:t>participants</w:t>
      </w:r>
      <w:r w:rsidR="008F368D">
        <w:t>.</w:t>
      </w:r>
      <w:r w:rsidR="00FF3FC0">
        <w:t xml:space="preserve"> </w:t>
      </w:r>
      <w:r w:rsidR="00CA2B01">
        <w:t>Furthermore</w:t>
      </w:r>
      <w:r w:rsidR="00FF3FC0">
        <w:t xml:space="preserve">, we preregister a better-fitting statistical methodology, by </w:t>
      </w:r>
      <w:r w:rsidR="00E64028">
        <w:t xml:space="preserve">using a </w:t>
      </w:r>
      <w:proofErr w:type="gramStart"/>
      <w:r w:rsidR="00E64028">
        <w:t>partially-overlapping</w:t>
      </w:r>
      <w:proofErr w:type="gramEnd"/>
      <w:r w:rsidR="00E64028">
        <w:t xml:space="preserve"> t-test to account for participants who skip either all trials or no trials.</w:t>
      </w:r>
      <w:r w:rsidR="00FF3FC0">
        <w:t xml:space="preserve"> </w:t>
      </w:r>
      <w:r w:rsidR="00511A80">
        <w:t xml:space="preserve">We expect that, contrary to the findings of Payne et al. (2013), there </w:t>
      </w:r>
      <w:r w:rsidR="00511A80">
        <w:rPr>
          <w:i/>
          <w:iCs/>
        </w:rPr>
        <w:t xml:space="preserve">will </w:t>
      </w:r>
      <w:r w:rsidR="00511A80">
        <w:t xml:space="preserve">be a statistically significant difference between AMP effects in the standard AMP vs. skip AMP, such that skip AMP effect sizes will be significantly smaller. </w:t>
      </w:r>
    </w:p>
    <w:p w14:paraId="0C2F54BF" w14:textId="77777777" w:rsidR="007D1EE4" w:rsidRPr="003D2216" w:rsidRDefault="007D1EE4" w:rsidP="007D1EE4">
      <w:pPr>
        <w:spacing w:line="480" w:lineRule="auto"/>
        <w:jc w:val="center"/>
        <w:rPr>
          <w:b/>
        </w:rPr>
      </w:pPr>
      <w:r w:rsidRPr="003D2216">
        <w:rPr>
          <w:b/>
        </w:rPr>
        <w:t>Method</w:t>
      </w:r>
    </w:p>
    <w:p w14:paraId="0ED2D152" w14:textId="77777777" w:rsidR="007D1EE4" w:rsidRDefault="007D1EE4" w:rsidP="007D1EE4">
      <w:pPr>
        <w:spacing w:line="480" w:lineRule="auto"/>
        <w:rPr>
          <w:b/>
        </w:rPr>
      </w:pPr>
      <w:r w:rsidRPr="003D5695">
        <w:rPr>
          <w:b/>
        </w:rPr>
        <w:t>Sample</w:t>
      </w:r>
    </w:p>
    <w:p w14:paraId="48B4F787" w14:textId="08572444" w:rsidR="007D1EE4" w:rsidRPr="002B12DB" w:rsidRDefault="007D1EE4" w:rsidP="007D1EE4">
      <w:pPr>
        <w:spacing w:line="480" w:lineRule="auto"/>
        <w:ind w:firstLine="720"/>
      </w:pPr>
      <w:r w:rsidRPr="002B12DB">
        <w:lastRenderedPageBreak/>
        <w:t xml:space="preserve">Data </w:t>
      </w:r>
      <w:r>
        <w:t xml:space="preserve">will be </w:t>
      </w:r>
      <w:r w:rsidRPr="002B12DB">
        <w:t xml:space="preserve">collected online </w:t>
      </w:r>
      <w:r>
        <w:t xml:space="preserve">via the </w:t>
      </w:r>
      <w:r w:rsidRPr="002B12DB">
        <w:t>Prolific</w:t>
      </w:r>
      <w:r>
        <w:t xml:space="preserve"> Academic website</w:t>
      </w:r>
      <w:r w:rsidRPr="002B12DB">
        <w:t xml:space="preserve">. Based on an expected mean duration of </w:t>
      </w:r>
      <w:r w:rsidR="00FF3FC0">
        <w:t>10</w:t>
      </w:r>
      <w:r w:rsidRPr="002B12DB">
        <w:t xml:space="preserve"> minutes, participants will be paid </w:t>
      </w:r>
      <w:r>
        <w:t>£</w:t>
      </w:r>
      <w:r w:rsidR="00CA2B01">
        <w:t>0</w:t>
      </w:r>
      <w:r w:rsidR="00FF3FC0">
        <w:t>.85</w:t>
      </w:r>
      <w:r w:rsidRPr="002B12DB">
        <w:t xml:space="preserve">. </w:t>
      </w:r>
    </w:p>
    <w:p w14:paraId="6188CD7C" w14:textId="77777777" w:rsidR="007D1EE4" w:rsidRDefault="007D1EE4" w:rsidP="007D1EE4">
      <w:pPr>
        <w:spacing w:line="480" w:lineRule="auto"/>
        <w:rPr>
          <w:b/>
          <w:i/>
        </w:rPr>
      </w:pPr>
      <w:r w:rsidRPr="003D5695">
        <w:rPr>
          <w:b/>
          <w:i/>
        </w:rPr>
        <w:t>Planned sample size &amp; stopping rules</w:t>
      </w:r>
    </w:p>
    <w:p w14:paraId="583FE6E9" w14:textId="74CA7E96" w:rsidR="007D1EE4" w:rsidRPr="002B12DB" w:rsidRDefault="007D1EE4" w:rsidP="007D1EE4">
      <w:pPr>
        <w:spacing w:line="480" w:lineRule="auto"/>
        <w:ind w:firstLine="720"/>
      </w:pPr>
      <w:r>
        <w:t xml:space="preserve">For our </w:t>
      </w:r>
      <w:r w:rsidR="008A2DEA">
        <w:t>first</w:t>
      </w:r>
      <w:r w:rsidR="00FE2121">
        <w:t xml:space="preserve"> hypothesis test</w:t>
      </w:r>
      <w:r>
        <w:t xml:space="preserve">, we </w:t>
      </w:r>
      <w:r w:rsidR="00FD41C3">
        <w:t xml:space="preserve">firstly </w:t>
      </w:r>
      <w:r>
        <w:t xml:space="preserve">used the </w:t>
      </w:r>
      <w:proofErr w:type="spellStart"/>
      <w:r>
        <w:t>pwr</w:t>
      </w:r>
      <w:proofErr w:type="spellEnd"/>
      <w:r>
        <w:t xml:space="preserve"> package in R to compute the number of subjects required to detect </w:t>
      </w:r>
      <w:r w:rsidR="008A2DEA">
        <w:t xml:space="preserve">a small Cohen’s d </w:t>
      </w:r>
      <w:r>
        <w:t>effect size (i.e., 0.</w:t>
      </w:r>
      <w:r w:rsidR="008A2DEA">
        <w:t>3</w:t>
      </w:r>
      <w:r>
        <w:t xml:space="preserve">) in </w:t>
      </w:r>
      <w:r w:rsidR="008A2DEA">
        <w:t>a paired-samples t-test</w:t>
      </w:r>
      <w:r>
        <w:t xml:space="preserve"> at the conventional alpha level (.05) </w:t>
      </w:r>
      <w:r w:rsidR="008A2DEA">
        <w:t>with</w:t>
      </w:r>
      <w:r>
        <w:t xml:space="preserve"> 95% power. </w:t>
      </w:r>
      <w:r w:rsidR="008A2DEA">
        <w:t>On the basis of this, 147</w:t>
      </w:r>
      <w:r>
        <w:t xml:space="preserve"> subjects would be required. </w:t>
      </w:r>
      <w:r w:rsidR="00FD41C3">
        <w:t xml:space="preserve">We then calculated how many participants would be required to detect such an effect size in a two-sample t-test with otherwise identical parameters; in this case, 289 participants would be required. Given that a </w:t>
      </w:r>
      <w:proofErr w:type="gramStart"/>
      <w:r w:rsidR="00FD41C3">
        <w:t>partially-overlapping</w:t>
      </w:r>
      <w:proofErr w:type="gramEnd"/>
      <w:r w:rsidR="00FD41C3">
        <w:t xml:space="preserve"> t-test’s power typically falls somewhere between a paired-samples t-test and a two-sample t-test (Derrick et al., 2017), 289 participants would provide us with at least 95% power to detect a small effect size in a partially-overlapping t-test. 289</w:t>
      </w:r>
      <w:r w:rsidR="008A2DEA">
        <w:t xml:space="preserve"> participants would also provide us with power to detect a </w:t>
      </w:r>
      <w:r w:rsidR="00FD41C3">
        <w:t xml:space="preserve">very </w:t>
      </w:r>
      <w:r w:rsidR="00956910">
        <w:t>small Cohen’s f effect size (i.e., 0.0</w:t>
      </w:r>
      <w:r w:rsidR="00FD41C3">
        <w:t>45</w:t>
      </w:r>
      <w:r w:rsidR="00956910">
        <w:t>) in a linear regression with one dependent variable and one independent variable (i.e., the analysis for our second hypothesis test). We</w:t>
      </w:r>
      <w:r w:rsidRPr="002B12DB">
        <w:t xml:space="preserve"> will </w:t>
      </w:r>
      <w:r w:rsidR="008A2DEA">
        <w:t xml:space="preserve">therefore </w:t>
      </w:r>
      <w:r w:rsidRPr="002B12DB">
        <w:t xml:space="preserve">collect data from </w:t>
      </w:r>
      <w:r w:rsidR="00FD41C3">
        <w:t>290</w:t>
      </w:r>
      <w:r w:rsidRPr="002B12DB">
        <w:t xml:space="preserve"> participants based on the availability of resources. </w:t>
      </w:r>
      <w:r w:rsidR="008A2DEA">
        <w:t xml:space="preserve">For our sampling strategy, </w:t>
      </w:r>
      <w:r w:rsidR="00FD41C3">
        <w:t>290</w:t>
      </w:r>
      <w:r w:rsidRPr="002B12DB">
        <w:t xml:space="preserve"> </w:t>
      </w:r>
      <w:r w:rsidR="008A2DEA">
        <w:t xml:space="preserve">initial </w:t>
      </w:r>
      <w:r w:rsidRPr="002B12DB">
        <w:t xml:space="preserve">participants will be </w:t>
      </w:r>
      <w:r w:rsidR="008A2DEA" w:rsidRPr="002B12DB">
        <w:t>collected,</w:t>
      </w:r>
      <w:r w:rsidRPr="002B12DB">
        <w:t xml:space="preserve"> and exclusion criteria will be applied. Then participants will be added in batches of 10 until at there are at least </w:t>
      </w:r>
      <w:r w:rsidR="00FD41C3">
        <w:t>290</w:t>
      </w:r>
      <w:r w:rsidRPr="002B12DB">
        <w:t xml:space="preserve"> participants who meet both inclusion and exclusion criteria</w:t>
      </w:r>
      <w:r>
        <w:t>.</w:t>
      </w:r>
      <w:r w:rsidRPr="002B12DB">
        <w:t xml:space="preserve"> </w:t>
      </w:r>
      <w:r>
        <w:t xml:space="preserve">Thereafter </w:t>
      </w:r>
      <w:r w:rsidRPr="002B12DB">
        <w:t>data collection will stop.</w:t>
      </w:r>
    </w:p>
    <w:p w14:paraId="268A62D2" w14:textId="77777777" w:rsidR="007D1EE4" w:rsidRDefault="007D1EE4" w:rsidP="007D1EE4">
      <w:pPr>
        <w:spacing w:line="480" w:lineRule="auto"/>
        <w:ind w:firstLine="720"/>
      </w:pPr>
      <w:r w:rsidRPr="00CE3895">
        <w:rPr>
          <w:b/>
        </w:rPr>
        <w:t>Inclusion criteria</w:t>
      </w:r>
      <w:r w:rsidRPr="004B551D">
        <w:rPr>
          <w:b/>
          <w:i/>
        </w:rPr>
        <w:t xml:space="preserve">. </w:t>
      </w:r>
      <w:r w:rsidRPr="002B12DB">
        <w:t>Age 18-65, fluent English, Prolific rating &gt;= 90%, no participation in similar studies by our research group.</w:t>
      </w:r>
    </w:p>
    <w:p w14:paraId="25FDD487" w14:textId="5DEED5C6" w:rsidR="007D1EE4" w:rsidRPr="004B551D" w:rsidRDefault="007D1EE4" w:rsidP="007D1EE4">
      <w:pPr>
        <w:spacing w:line="480" w:lineRule="auto"/>
        <w:ind w:firstLine="720"/>
        <w:rPr>
          <w:b/>
          <w:i/>
        </w:rPr>
      </w:pPr>
      <w:r w:rsidRPr="00CE3895">
        <w:rPr>
          <w:b/>
        </w:rPr>
        <w:t>Exclusion criteria.</w:t>
      </w:r>
      <w:r>
        <w:rPr>
          <w:b/>
          <w:i/>
        </w:rPr>
        <w:t xml:space="preserve"> </w:t>
      </w:r>
      <w:r w:rsidRPr="002B12DB">
        <w:t xml:space="preserve">Completion time on Prolific &lt; 3 minutes, and partial data on the </w:t>
      </w:r>
      <w:proofErr w:type="gramStart"/>
      <w:r w:rsidRPr="002B12DB">
        <w:t>demographics</w:t>
      </w:r>
      <w:proofErr w:type="gramEnd"/>
      <w:r w:rsidRPr="002B12DB">
        <w:t xml:space="preserve"> questionnaire o</w:t>
      </w:r>
      <w:r w:rsidR="002A55BC">
        <w:t xml:space="preserve">r either </w:t>
      </w:r>
      <w:r w:rsidRPr="002B12DB">
        <w:t>AMP.</w:t>
      </w:r>
    </w:p>
    <w:p w14:paraId="15CF0867" w14:textId="77777777" w:rsidR="007D1EE4" w:rsidRDefault="007D1EE4" w:rsidP="007D1EE4">
      <w:pPr>
        <w:spacing w:line="480" w:lineRule="auto"/>
        <w:rPr>
          <w:b/>
        </w:rPr>
      </w:pPr>
      <w:r w:rsidRPr="004B551D">
        <w:rPr>
          <w:b/>
        </w:rPr>
        <w:t>Design</w:t>
      </w:r>
    </w:p>
    <w:p w14:paraId="10E8F060" w14:textId="77777777" w:rsidR="007D1EE4" w:rsidRPr="00CE3895" w:rsidRDefault="007D1EE4" w:rsidP="007D1EE4">
      <w:pPr>
        <w:spacing w:line="480" w:lineRule="auto"/>
        <w:ind w:firstLine="720"/>
        <w:rPr>
          <w:b/>
        </w:rPr>
      </w:pPr>
      <w:r w:rsidRPr="00CE3895">
        <w:rPr>
          <w:b/>
        </w:rPr>
        <w:lastRenderedPageBreak/>
        <w:t>IVs.</w:t>
      </w:r>
    </w:p>
    <w:p w14:paraId="0C08FA66" w14:textId="01759D63" w:rsidR="00FF3FC0" w:rsidRDefault="00FF3FC0" w:rsidP="007D1EE4">
      <w:pPr>
        <w:spacing w:line="480" w:lineRule="auto"/>
        <w:ind w:firstLine="720"/>
      </w:pPr>
      <w:r>
        <w:t>1. AMP type (standard AMP vs. skip AMP).</w:t>
      </w:r>
    </w:p>
    <w:p w14:paraId="4C717807" w14:textId="268E6FE0" w:rsidR="007D1EE4" w:rsidRPr="002B12DB" w:rsidRDefault="00FF3FC0" w:rsidP="002A55BC">
      <w:pPr>
        <w:spacing w:line="480" w:lineRule="auto"/>
        <w:ind w:firstLine="720"/>
      </w:pPr>
      <w:r>
        <w:t>2</w:t>
      </w:r>
      <w:r w:rsidR="007D1EE4" w:rsidRPr="002B12DB">
        <w:t xml:space="preserve">. Valence of the prime stimuli used in the AMP (positive vs. negative). </w:t>
      </w:r>
    </w:p>
    <w:p w14:paraId="50D8F456" w14:textId="66C34D69" w:rsidR="007D1EE4" w:rsidRPr="002B12DB" w:rsidRDefault="007D1EE4" w:rsidP="008D5589">
      <w:pPr>
        <w:spacing w:line="480" w:lineRule="auto"/>
        <w:ind w:firstLine="720"/>
      </w:pPr>
      <w:r w:rsidRPr="006830EA">
        <w:rPr>
          <w:b/>
        </w:rPr>
        <w:t>DV</w:t>
      </w:r>
      <w:r w:rsidRPr="008B5125">
        <w:rPr>
          <w:b/>
        </w:rPr>
        <w:t>.</w:t>
      </w:r>
      <w:r>
        <w:t xml:space="preserve"> </w:t>
      </w:r>
      <w:r w:rsidRPr="002B12DB">
        <w:t xml:space="preserve">Evaluations within </w:t>
      </w:r>
      <w:r w:rsidR="00FF3FC0">
        <w:t>each</w:t>
      </w:r>
      <w:r w:rsidRPr="002B12DB">
        <w:t xml:space="preserve"> AMP </w:t>
      </w:r>
      <w:r w:rsidR="00FF3FC0">
        <w:t>(</w:t>
      </w:r>
      <w:r w:rsidRPr="002B12DB">
        <w:t>pleasant or unpleasant</w:t>
      </w:r>
      <w:r w:rsidR="002A55BC">
        <w:t>; skipped trials in the skip AMP are discarded</w:t>
      </w:r>
      <w:r w:rsidR="00FF3FC0">
        <w:t>)</w:t>
      </w:r>
      <w:r w:rsidRPr="002B12DB">
        <w:t xml:space="preserve">. </w:t>
      </w:r>
    </w:p>
    <w:p w14:paraId="55014862" w14:textId="77777777" w:rsidR="007D1EE4" w:rsidRDefault="007D1EE4" w:rsidP="007D1EE4">
      <w:pPr>
        <w:spacing w:line="480" w:lineRule="auto"/>
        <w:rPr>
          <w:b/>
        </w:rPr>
      </w:pPr>
      <w:r w:rsidRPr="005B3352">
        <w:rPr>
          <w:b/>
        </w:rPr>
        <w:t>Procedure</w:t>
      </w:r>
    </w:p>
    <w:p w14:paraId="2D42AE25" w14:textId="1783D791" w:rsidR="007D1EE4" w:rsidRPr="002B12DB" w:rsidRDefault="007D1EE4" w:rsidP="007D1EE4">
      <w:pPr>
        <w:spacing w:line="480" w:lineRule="auto"/>
        <w:ind w:firstLine="720"/>
      </w:pPr>
      <w:r w:rsidRPr="002B12DB">
        <w:t>Participants will complete the demographics questionnaire,</w:t>
      </w:r>
      <w:r w:rsidR="00FA1B54">
        <w:t xml:space="preserve"> then </w:t>
      </w:r>
      <w:r w:rsidRPr="002B12DB">
        <w:t xml:space="preserve">the </w:t>
      </w:r>
      <w:r w:rsidR="00FF3FC0">
        <w:t>standard AMP</w:t>
      </w:r>
      <w:r w:rsidR="008D5589">
        <w:t>, and then the skip AMP.</w:t>
      </w:r>
    </w:p>
    <w:p w14:paraId="721F9369" w14:textId="77777777" w:rsidR="007D1EE4" w:rsidRDefault="007D1EE4" w:rsidP="007D1EE4">
      <w:pPr>
        <w:spacing w:line="480" w:lineRule="auto"/>
        <w:rPr>
          <w:b/>
        </w:rPr>
      </w:pPr>
      <w:r>
        <w:rPr>
          <w:b/>
        </w:rPr>
        <w:t xml:space="preserve">Measures </w:t>
      </w:r>
    </w:p>
    <w:p w14:paraId="6C52C889" w14:textId="3EB8C50A" w:rsidR="00511A80" w:rsidRPr="00D71177" w:rsidRDefault="007D1EE4" w:rsidP="00511A80">
      <w:pPr>
        <w:spacing w:line="480" w:lineRule="auto"/>
        <w:ind w:firstLine="720"/>
      </w:pPr>
      <w:r w:rsidRPr="002B12DB">
        <w:t>A</w:t>
      </w:r>
      <w:r w:rsidR="00FD7618">
        <w:t xml:space="preserve"> standard </w:t>
      </w:r>
      <w:r w:rsidRPr="002B12DB">
        <w:t>Affect Misattribution Procedure (AMP; Payne et al., 2005) with the following pa</w:t>
      </w:r>
      <w:r>
        <w:t xml:space="preserve">rameters: 10 practice trials, </w:t>
      </w:r>
      <w:r w:rsidR="00FD7618">
        <w:t>72</w:t>
      </w:r>
      <w:r w:rsidRPr="002B12DB">
        <w:t xml:space="preserve"> main trials, </w:t>
      </w:r>
      <w:r>
        <w:t xml:space="preserve">12 positive and 12 </w:t>
      </w:r>
      <w:r w:rsidRPr="002B12DB">
        <w:t>negative valence images</w:t>
      </w:r>
      <w:r>
        <w:t xml:space="preserve">, and </w:t>
      </w:r>
      <w:r w:rsidR="00FD7618">
        <w:t>72</w:t>
      </w:r>
      <w:r w:rsidRPr="002B12DB">
        <w:t xml:space="preserve"> Chinese characters. </w:t>
      </w:r>
      <w:r w:rsidR="00FD7618">
        <w:t xml:space="preserve">Participants must respond to each Chinese character as either pleasant or unpleasant using the E and I computer keys. The skip AMP </w:t>
      </w:r>
      <w:r w:rsidR="00C01C87">
        <w:t xml:space="preserve">is </w:t>
      </w:r>
      <w:r w:rsidR="00FD7618">
        <w:t>identical to the standard AMP, with the exception that participants can skip trials where they feel they will be influenced by the prime by pressing the spacebar, rather than the E or I key.</w:t>
      </w:r>
      <w:r w:rsidR="00511A80">
        <w:t xml:space="preserve"> Notably, our AMPs are identical to those used by Payne et al., with two exceptions: (</w:t>
      </w:r>
      <w:proofErr w:type="spellStart"/>
      <w:r w:rsidR="00511A80">
        <w:t>i</w:t>
      </w:r>
      <w:proofErr w:type="spellEnd"/>
      <w:r w:rsidR="00511A80">
        <w:t xml:space="preserve">) we use 72, rather than 120, trials, and (ii) we do not use neutral primes, as these are regularly unused in other AMP studies (e.g., Gawronski &amp; Ye, 2015). </w:t>
      </w:r>
    </w:p>
    <w:p w14:paraId="4E2031F6" w14:textId="77777777" w:rsidR="007D1EE4" w:rsidRPr="00E97295" w:rsidRDefault="007D1EE4" w:rsidP="007D1EE4">
      <w:pPr>
        <w:spacing w:line="480" w:lineRule="auto"/>
        <w:rPr>
          <w:b/>
        </w:rPr>
      </w:pPr>
      <w:r>
        <w:rPr>
          <w:b/>
        </w:rPr>
        <w:t>Hypotheses</w:t>
      </w:r>
    </w:p>
    <w:p w14:paraId="226B784B" w14:textId="7E3CA172" w:rsidR="007D1EE4" w:rsidRDefault="007D1EE4" w:rsidP="002A55BC">
      <w:pPr>
        <w:spacing w:line="480" w:lineRule="auto"/>
        <w:ind w:firstLine="720"/>
      </w:pPr>
      <w:r w:rsidRPr="00CE3895">
        <w:rPr>
          <w:b/>
        </w:rPr>
        <w:t>H1.</w:t>
      </w:r>
      <w:r w:rsidR="008D5589">
        <w:t xml:space="preserve"> The AMP effect</w:t>
      </w:r>
      <w:r w:rsidRPr="002B12DB">
        <w:t xml:space="preserve"> </w:t>
      </w:r>
      <w:r w:rsidR="002A55BC">
        <w:t xml:space="preserve">in the skip AMP will be smaller than in the standard AMP. </w:t>
      </w:r>
    </w:p>
    <w:p w14:paraId="770A9550" w14:textId="5D87ACC7" w:rsidR="008A2DEA" w:rsidRPr="008A2DEA" w:rsidRDefault="008A2DEA" w:rsidP="002A55BC">
      <w:pPr>
        <w:spacing w:line="480" w:lineRule="auto"/>
        <w:ind w:firstLine="720"/>
      </w:pPr>
      <w:r>
        <w:rPr>
          <w:b/>
          <w:bCs/>
        </w:rPr>
        <w:t xml:space="preserve">H2. </w:t>
      </w:r>
      <w:r>
        <w:t>The rate of skipping in the skip AMP will predict effect sizes in the standard AMP.</w:t>
      </w:r>
    </w:p>
    <w:p w14:paraId="0FF2AC17" w14:textId="77777777" w:rsidR="007D1EE4" w:rsidRPr="00AE35B1" w:rsidRDefault="007D1EE4" w:rsidP="007D1EE4">
      <w:pPr>
        <w:spacing w:line="480" w:lineRule="auto"/>
        <w:jc w:val="center"/>
        <w:rPr>
          <w:b/>
        </w:rPr>
      </w:pPr>
      <w:r w:rsidRPr="00AE35B1">
        <w:rPr>
          <w:b/>
        </w:rPr>
        <w:t>Results</w:t>
      </w:r>
    </w:p>
    <w:p w14:paraId="6BC0B5D6" w14:textId="77777777" w:rsidR="007D1EE4" w:rsidRPr="00AE35B1" w:rsidRDefault="007D1EE4" w:rsidP="007D1EE4">
      <w:pPr>
        <w:spacing w:line="480" w:lineRule="auto"/>
        <w:rPr>
          <w:b/>
        </w:rPr>
      </w:pPr>
      <w:r w:rsidRPr="00AE35B1">
        <w:rPr>
          <w:b/>
        </w:rPr>
        <w:t>Analytic strategy</w:t>
      </w:r>
    </w:p>
    <w:p w14:paraId="3E8852C5" w14:textId="78698DBE" w:rsidR="007D1EE4" w:rsidRDefault="008F368D" w:rsidP="00FE2121">
      <w:pPr>
        <w:spacing w:line="480" w:lineRule="auto"/>
        <w:ind w:firstLine="720"/>
      </w:pPr>
      <w:r>
        <w:rPr>
          <w:b/>
        </w:rPr>
        <w:lastRenderedPageBreak/>
        <w:t xml:space="preserve">Hypothesis </w:t>
      </w:r>
      <w:r w:rsidR="007D1EE4" w:rsidRPr="004F71DA">
        <w:rPr>
          <w:b/>
        </w:rPr>
        <w:t>tests.</w:t>
      </w:r>
      <w:r w:rsidR="007D1EE4">
        <w:rPr>
          <w:b/>
        </w:rPr>
        <w:t xml:space="preserve"> </w:t>
      </w:r>
      <w:r>
        <w:t xml:space="preserve">We will compare AMP effects for both the standard AMP and the skip AMP using a </w:t>
      </w:r>
      <w:proofErr w:type="gramStart"/>
      <w:r w:rsidR="008A2DEA">
        <w:t>partially-overlapping</w:t>
      </w:r>
      <w:proofErr w:type="gramEnd"/>
      <w:r w:rsidR="008A2DEA">
        <w:t xml:space="preserve"> </w:t>
      </w:r>
      <w:r>
        <w:t>t-test</w:t>
      </w:r>
      <w:r w:rsidR="008A2DEA">
        <w:t xml:space="preserve"> (Derrick et al., 2017)</w:t>
      </w:r>
      <w:r>
        <w:t>.</w:t>
      </w:r>
      <w:r w:rsidR="008A2DEA">
        <w:t xml:space="preserve"> Specifically, the partially-overlapping t-test will be used due to the fact that participants who exhibit a very high degree of awareness in the skip-AMP (i.e., skip most or all trials) may not demonstrate an AMP effect at all, and their exclu</w:t>
      </w:r>
      <w:r w:rsidR="00C01C87">
        <w:t xml:space="preserve">sion </w:t>
      </w:r>
      <w:r w:rsidR="008A2DEA">
        <w:t xml:space="preserve">would distort our results (given that those participants who are most highly influence-aware may also be those who would demonstrate the largest AMP effects. </w:t>
      </w:r>
      <w:r>
        <w:t>We expect that</w:t>
      </w:r>
      <w:r w:rsidR="00F1202A">
        <w:t xml:space="preserve"> AMP effects should be larger in the standard AMP than in the skip AMP.</w:t>
      </w:r>
      <w:r w:rsidR="00FE2121">
        <w:rPr>
          <w:rFonts w:ascii="Monaco" w:hAnsi="Monaco"/>
          <w:sz w:val="20"/>
          <w:szCs w:val="20"/>
        </w:rPr>
        <w:t xml:space="preserve"> </w:t>
      </w:r>
    </w:p>
    <w:p w14:paraId="04BFD7B9" w14:textId="6998A433" w:rsidR="00956910" w:rsidRPr="00FE2121" w:rsidRDefault="00956910" w:rsidP="00FE2121">
      <w:pPr>
        <w:spacing w:line="480" w:lineRule="auto"/>
        <w:ind w:firstLine="720"/>
        <w:rPr>
          <w:rFonts w:ascii="Monaco" w:hAnsi="Monaco"/>
          <w:sz w:val="20"/>
          <w:szCs w:val="20"/>
        </w:rPr>
      </w:pPr>
      <w:r>
        <w:t>For our second hypothesis, we will conduct a linear regression analysis with rate of skipping in the skip AMP as an independent variable, and AMP effect in the standard AMP as a dependent variable. We expect that higher rates of skipping in the skip AMP should predict larger AMP effects in the standard AMP.</w:t>
      </w:r>
    </w:p>
    <w:p w14:paraId="3E233E59" w14:textId="77777777" w:rsidR="00663327" w:rsidRDefault="00663327"/>
    <w:sectPr w:rsidR="00663327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77B892" w14:textId="77777777" w:rsidR="00D859CB" w:rsidRDefault="00D859CB">
      <w:r>
        <w:separator/>
      </w:r>
    </w:p>
  </w:endnote>
  <w:endnote w:type="continuationSeparator" w:id="0">
    <w:p w14:paraId="7D488A0A" w14:textId="77777777" w:rsidR="00D859CB" w:rsidRDefault="00D85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MU Serif Roman">
    <w:altName w:val="Cambria Math"/>
    <w:panose1 w:val="020B0604020202020204"/>
    <w:charset w:val="00"/>
    <w:family w:val="auto"/>
    <w:pitch w:val="variable"/>
    <w:sig w:usb0="E10002FF" w:usb1="5201E9EB" w:usb2="02020004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E8E346" w14:textId="77777777" w:rsidR="00D859CB" w:rsidRDefault="00D859CB">
      <w:r>
        <w:separator/>
      </w:r>
    </w:p>
  </w:footnote>
  <w:footnote w:type="continuationSeparator" w:id="0">
    <w:p w14:paraId="51B4B1E5" w14:textId="77777777" w:rsidR="00D859CB" w:rsidRDefault="00D859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78C18A" w14:textId="77777777" w:rsidR="003A04CC" w:rsidRDefault="00D276FF" w:rsidP="00FB6F3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A594A3" w14:textId="77777777" w:rsidR="003A04CC" w:rsidRDefault="00D859CB" w:rsidP="00D51C4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7FBD37" w14:textId="386AA58D" w:rsidR="003A04CC" w:rsidRDefault="00D276FF" w:rsidP="00FB6F3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01C87">
      <w:rPr>
        <w:rStyle w:val="PageNumber"/>
        <w:noProof/>
      </w:rPr>
      <w:t>6</w:t>
    </w:r>
    <w:r>
      <w:rPr>
        <w:rStyle w:val="PageNumber"/>
      </w:rPr>
      <w:fldChar w:fldCharType="end"/>
    </w:r>
  </w:p>
  <w:p w14:paraId="448AB043" w14:textId="77777777" w:rsidR="003A04CC" w:rsidRDefault="00D276FF" w:rsidP="00FB6F38">
    <w:pPr>
      <w:pStyle w:val="Header"/>
      <w:ind w:right="360"/>
    </w:pPr>
    <w:r>
      <w:t>INFLUENCE AND THE AMP EFFECT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0591EB" w14:textId="0BA36DEC" w:rsidR="003A04CC" w:rsidRDefault="00D276FF" w:rsidP="00F42DE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01C87">
      <w:rPr>
        <w:rStyle w:val="PageNumber"/>
        <w:noProof/>
      </w:rPr>
      <w:t>1</w:t>
    </w:r>
    <w:r>
      <w:rPr>
        <w:rStyle w:val="PageNumber"/>
      </w:rPr>
      <w:fldChar w:fldCharType="end"/>
    </w:r>
  </w:p>
  <w:p w14:paraId="7FBBD2E3" w14:textId="77777777" w:rsidR="003A04CC" w:rsidRPr="001B11FE" w:rsidRDefault="00D276FF" w:rsidP="001B11FE">
    <w:pPr>
      <w:pStyle w:val="Header"/>
      <w:ind w:right="360"/>
      <w:rPr>
        <w:rFonts w:ascii="Times New Roman" w:hAnsi="Times New Roman" w:cs="Times New Roman"/>
      </w:rPr>
    </w:pPr>
    <w:r w:rsidRPr="001B11FE">
      <w:rPr>
        <w:rFonts w:ascii="Times New Roman" w:hAnsi="Times New Roman" w:cs="Times New Roman"/>
      </w:rPr>
      <w:t>Running head: INFLUENCE AND THE AMP EFFECT</w:t>
    </w:r>
    <w:r>
      <w:rPr>
        <w:rFonts w:ascii="Times New Roman" w:hAnsi="Times New Roman" w:cs="Times New Roma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6733C6"/>
    <w:multiLevelType w:val="hybridMultilevel"/>
    <w:tmpl w:val="056A2C7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EE4"/>
    <w:rsid w:val="00162559"/>
    <w:rsid w:val="00182BD8"/>
    <w:rsid w:val="001F25C1"/>
    <w:rsid w:val="00286DD6"/>
    <w:rsid w:val="002A55BC"/>
    <w:rsid w:val="00307948"/>
    <w:rsid w:val="00325CD7"/>
    <w:rsid w:val="00511A80"/>
    <w:rsid w:val="00547CF7"/>
    <w:rsid w:val="005C556C"/>
    <w:rsid w:val="00663327"/>
    <w:rsid w:val="006F2970"/>
    <w:rsid w:val="00712BD8"/>
    <w:rsid w:val="007D1EE4"/>
    <w:rsid w:val="00812593"/>
    <w:rsid w:val="00865ED0"/>
    <w:rsid w:val="008A2DEA"/>
    <w:rsid w:val="008D5589"/>
    <w:rsid w:val="008F368D"/>
    <w:rsid w:val="00910CA0"/>
    <w:rsid w:val="00956910"/>
    <w:rsid w:val="009C0D6D"/>
    <w:rsid w:val="00B21FA3"/>
    <w:rsid w:val="00B61EF2"/>
    <w:rsid w:val="00B97230"/>
    <w:rsid w:val="00C01C87"/>
    <w:rsid w:val="00CA2B01"/>
    <w:rsid w:val="00D151EC"/>
    <w:rsid w:val="00D276FF"/>
    <w:rsid w:val="00D859CB"/>
    <w:rsid w:val="00E64028"/>
    <w:rsid w:val="00EB2335"/>
    <w:rsid w:val="00F1202A"/>
    <w:rsid w:val="00F22751"/>
    <w:rsid w:val="00F720B2"/>
    <w:rsid w:val="00FA1B54"/>
    <w:rsid w:val="00FD41C3"/>
    <w:rsid w:val="00FD7618"/>
    <w:rsid w:val="00FE2121"/>
    <w:rsid w:val="00FF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5C2BD"/>
  <w15:chartTrackingRefBased/>
  <w15:docId w15:val="{849FE3DA-13B6-C74F-A1C8-39C84CB03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D1EE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EE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EE4"/>
    <w:rPr>
      <w:rFonts w:ascii="Times New Roman" w:hAnsi="Times New Roman" w:cs="Times New Roman"/>
      <w:sz w:val="18"/>
      <w:szCs w:val="18"/>
      <w:lang w:val="en-GB"/>
    </w:rPr>
  </w:style>
  <w:style w:type="paragraph" w:styleId="Header">
    <w:name w:val="header"/>
    <w:link w:val="HeaderChar"/>
    <w:rsid w:val="007D1EE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MU Serif Roman" w:eastAsia="CMU Serif Roman" w:hAnsi="CMU Serif Roman" w:cs="CMU Serif Roman"/>
      <w:color w:val="000000"/>
      <w:kern w:val="24"/>
      <w:u w:color="000000"/>
      <w:bdr w:val="nil"/>
      <w:lang w:val="en-US"/>
    </w:rPr>
  </w:style>
  <w:style w:type="character" w:customStyle="1" w:styleId="HeaderChar">
    <w:name w:val="Header Char"/>
    <w:basedOn w:val="DefaultParagraphFont"/>
    <w:link w:val="Header"/>
    <w:rsid w:val="007D1EE4"/>
    <w:rPr>
      <w:rFonts w:ascii="CMU Serif Roman" w:eastAsia="CMU Serif Roman" w:hAnsi="CMU Serif Roman" w:cs="CMU Serif Roman"/>
      <w:color w:val="000000"/>
      <w:kern w:val="24"/>
      <w:u w:color="000000"/>
      <w:bdr w:val="nil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D1EE4"/>
    <w:rPr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7D1EE4"/>
  </w:style>
  <w:style w:type="paragraph" w:styleId="ListParagraph">
    <w:name w:val="List Paragraph"/>
    <w:basedOn w:val="Normal"/>
    <w:uiPriority w:val="34"/>
    <w:qFormat/>
    <w:rsid w:val="007D1E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1FA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21FA3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0CA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0CA0"/>
    <w:rPr>
      <w:rFonts w:ascii="Times New Roman" w:eastAsia="Arial Unicode MS" w:hAnsi="Times New Roman" w:cs="Times New Roman"/>
      <w:sz w:val="20"/>
      <w:szCs w:val="20"/>
      <w:bdr w:val="nil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0C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0CA0"/>
    <w:rPr>
      <w:rFonts w:ascii="Times New Roman" w:eastAsia="Arial Unicode MS" w:hAnsi="Times New Roman" w:cs="Times New Roman"/>
      <w:b/>
      <w:bCs/>
      <w:sz w:val="20"/>
      <w:szCs w:val="20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8E02BD-5F6F-43FA-BB3A-57AAE4BD7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1261</Words>
  <Characters>7193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Cummins</dc:creator>
  <cp:keywords/>
  <dc:description/>
  <cp:lastModifiedBy>Jamie Cummins</cp:lastModifiedBy>
  <cp:revision>4</cp:revision>
  <dcterms:created xsi:type="dcterms:W3CDTF">2020-06-25T09:11:00Z</dcterms:created>
  <dcterms:modified xsi:type="dcterms:W3CDTF">2020-09-22T22:53:00Z</dcterms:modified>
</cp:coreProperties>
</file>