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29F745EF" w14:textId="0E42B286" w:rsidR="00FE15DD" w:rsidRDefault="00FE15DD" w:rsidP="004A1D27">
      <w:pPr>
        <w:ind w:firstLine="0"/>
      </w:pPr>
    </w:p>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1315DD3B"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is not suitable for individual use</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652F7A0C" w:rsidR="00FE15DD" w:rsidRDefault="00FE15DD"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w:t>
      </w:r>
      <w:proofErr w:type="gramStart"/>
      <w:r>
        <w:t>note</w:t>
      </w:r>
      <w:proofErr w:type="gramEnd"/>
      <w:r>
        <w:t xml:space="preserv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014B26D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3820F5DE"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likely to be poorly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66E41682"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calculate</w:t>
      </w:r>
      <w:r w:rsidR="00DC4120">
        <w:t>d</w:t>
      </w:r>
      <w:r w:rsidR="00BC229B">
        <w:t xml:space="preserve"> confidence intervals around individual participants’ IRAP effects. This </w:t>
      </w:r>
      <w:r w:rsidR="00DC4120">
        <w:t>was</w:t>
      </w:r>
      <w:r w:rsidR="00BC229B">
        <w:t xml:space="preserve"> done using a large open dataset containing many different </w:t>
      </w:r>
      <w:r w:rsidR="00BC229B">
        <w:lastRenderedPageBreak/>
        <w:t xml:space="preserve">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7009E46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1174">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highlight w:val="yellow"/>
        </w:rPr>
        <w:instrText>α</w:instrText>
      </w:r>
      <w:r w:rsidR="00DE1174">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w:t>
      </w:r>
      <w:r w:rsidR="00EC2A3F" w:rsidRPr="0030678A">
        <w:lastRenderedPageBreak/>
        <w:t xml:space="preserve">study used at least 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1174">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DE1174" w:rsidRPr="00DE1174">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4C58D525"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DE1174">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 xml:space="preserve">represented an overabundance of data for the </w:t>
      </w:r>
      <w:r w:rsidR="00C61675">
        <w:lastRenderedPageBreak/>
        <w:t>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 xml:space="preserve">will be provided here. On </w:t>
      </w:r>
      <w:r w:rsidRPr="0030678A">
        <w:lastRenderedPageBreak/>
        <w:t>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w:t>
      </w:r>
      <w:r w:rsidRPr="0030678A">
        <w:lastRenderedPageBreak/>
        <w:t>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 xml:space="preserve">In the IRAP literature, </w:t>
      </w:r>
      <w:r w:rsidR="00E6438E">
        <w:lastRenderedPageBreak/>
        <w:t>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t xml:space="preserve">De </w:t>
      </w:r>
      <w:proofErr w:type="spellStart"/>
      <w:r>
        <w:t>Schryver</w:t>
      </w:r>
      <w:proofErr w:type="spellEnd"/>
      <w:r>
        <w:t xml:space="preserve">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w:t>
      </w:r>
      <w:r w:rsidR="005A0DB4">
        <w:lastRenderedPageBreak/>
        <w:t xml:space="preserve">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 xml:space="preserve">(e.g., CI = mean ± SEM*z, where z for 95% interval = 1.96; </w:t>
      </w:r>
      <w:proofErr w:type="spellStart"/>
      <w:r w:rsidR="00582EA7" w:rsidRPr="00582EA7">
        <w:rPr>
          <w:rFonts w:cs="CMU Serif Roman"/>
          <w:lang w:val="en-GB"/>
        </w:rPr>
        <w:t>Swinscow</w:t>
      </w:r>
      <w:proofErr w:type="spellEnd"/>
      <w:r w:rsidR="00582EA7" w:rsidRPr="00582EA7">
        <w:rPr>
          <w:rFonts w:cs="CMU Serif Roman"/>
          <w:lang w:val="en-GB"/>
        </w:rPr>
        <w:t xml:space="preserve">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05301B1C"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5171C45F"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24A8308C" w14:textId="77777777" w:rsidR="0021152A" w:rsidRDefault="0021152A">
      <w:pPr>
        <w:rPr>
          <w:b/>
          <w:lang w:val="en-IE"/>
        </w:rPr>
      </w:pPr>
      <w:r>
        <w:rPr>
          <w:b/>
        </w:rPr>
        <w:br w:type="page"/>
      </w:r>
    </w:p>
    <w:p w14:paraId="6801415F" w14:textId="31690316" w:rsidR="00CE3B06" w:rsidRDefault="00CE3B06" w:rsidP="008F0965">
      <w:pPr>
        <w:pStyle w:val="TableFigure"/>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29F1CC5"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1174">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w:t>
      </w:r>
      <w:r w:rsidR="00025EFF">
        <w:lastRenderedPageBreak/>
        <w:t xml:space="preserve">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w:t>
      </w:r>
      <w:r w:rsidR="005A15A5">
        <w:lastRenderedPageBreak/>
        <w:t xml:space="preserve">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44CAEE9F"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5A14C9FB" w14:textId="77777777" w:rsidR="000C0D60" w:rsidRDefault="000C0D60">
      <w:pPr>
        <w:rPr>
          <w:b/>
          <w:bCs/>
          <w:lang w:val="en-IE"/>
        </w:rPr>
      </w:pPr>
      <w:r>
        <w:rPr>
          <w:b/>
          <w:bCs/>
        </w:rPr>
        <w:br w:type="page"/>
      </w:r>
    </w:p>
    <w:p w14:paraId="0E124957" w14:textId="60A5C391"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w:t>
      </w:r>
      <w:r w:rsidR="00273D71">
        <w:lastRenderedPageBreak/>
        <w:t xml:space="preserve">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E4731C"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&gt;1.96×</m:t>
          </m:r>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w:t>
      </w:r>
      <w:r w:rsidR="00744BDE">
        <w:lastRenderedPageBreak/>
        <w:t xml:space="preserve">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t>
      </w:r>
      <w:r w:rsidR="003507E0">
        <w:lastRenderedPageBreak/>
        <w:t xml:space="preserve">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w:t>
      </w:r>
      <w:r w:rsidR="000A3EE7">
        <w:lastRenderedPageBreak/>
        <w:t>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w:t>
      </w:r>
      <w:r w:rsidR="00EC444E">
        <w:lastRenderedPageBreak/>
        <w:t xml:space="preserve">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4CDAE85A"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94</w:t>
      </w:r>
      <w:r w:rsidR="00261734" w:rsidRPr="00726542">
        <w:t>%)</w:t>
      </w:r>
      <w:r w:rsidR="00417401" w:rsidRPr="00726542">
        <w:t>.</w:t>
      </w:r>
      <w:r w:rsidR="00417401">
        <w:t xml:space="preserve"> </w:t>
      </w:r>
      <w:r w:rsidR="000F11AC">
        <w:t xml:space="preserve">A given </w:t>
      </w:r>
      <w:r w:rsidR="000F11AC">
        <w:lastRenderedPageBreak/>
        <w:t>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0173926B"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lastRenderedPageBreak/>
        <w:t xml:space="preserve">Implications for </w:t>
      </w:r>
      <w:r w:rsidR="008B6CE3" w:rsidRPr="00A774DB">
        <w:t>behavior analytic research using the IRAP</w:t>
      </w:r>
    </w:p>
    <w:p w14:paraId="7A37C9A7" w14:textId="78A13DF6"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F16F7B3" w14:textId="77777777" w:rsidR="00DA1E67" w:rsidRPr="00DA1E67" w:rsidRDefault="00E20116" w:rsidP="00DA1E67">
      <w:pPr>
        <w:pStyle w:val="Bibliography"/>
        <w:rPr>
          <w:rFonts w:cs="CMU Serif Roman"/>
        </w:rPr>
      </w:pPr>
      <w:r>
        <w:fldChar w:fldCharType="begin"/>
      </w:r>
      <w:r w:rsidR="00DE1174">
        <w:instrText xml:space="preserve"> ADDIN ZOTERO_BIBL {"uncited":[],"omitted":[],"custom":[]} CSL_BIBLIOGRAPHY </w:instrText>
      </w:r>
      <w:r>
        <w:fldChar w:fldCharType="separate"/>
      </w:r>
      <w:r w:rsidR="00DA1E67" w:rsidRPr="00DA1E67">
        <w:rPr>
          <w:rFonts w:cs="CMU Serif Roman"/>
        </w:rPr>
        <w:t xml:space="preserve">Albright, J. (2019). </w:t>
      </w:r>
      <w:r w:rsidR="00DA1E67" w:rsidRPr="00DA1E67">
        <w:rPr>
          <w:rFonts w:cs="CMU Serif Roman"/>
          <w:i/>
          <w:iCs/>
        </w:rPr>
        <w:t>Boot Package in R: Understanding Bootstrap Confidence Interval Output</w:t>
      </w:r>
      <w:r w:rsidR="00DA1E67" w:rsidRPr="00DA1E67">
        <w:rPr>
          <w:rFonts w:cs="CMU Serif Roman"/>
        </w:rPr>
        <w:t>. https://blog.methodsconsultants.com/posts/understanding-bootstrap-confidence-interval-output-from-the-r-boot-package/</w:t>
      </w:r>
    </w:p>
    <w:p w14:paraId="3F2960C0" w14:textId="77777777" w:rsidR="00DA1E67" w:rsidRPr="00DA1E67" w:rsidRDefault="00DA1E67" w:rsidP="00DA1E67">
      <w:pPr>
        <w:pStyle w:val="Bibliography"/>
        <w:rPr>
          <w:rFonts w:cs="CMU Serif Roman"/>
        </w:rPr>
      </w:pPr>
      <w:r w:rsidRPr="00DA1E67">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DA1E67">
        <w:rPr>
          <w:rFonts w:cs="CMU Serif Roman"/>
          <w:i/>
          <w:iCs/>
        </w:rPr>
        <w:t>The Irish Psychologist</w:t>
      </w:r>
      <w:r w:rsidRPr="00DA1E67">
        <w:rPr>
          <w:rFonts w:cs="CMU Serif Roman"/>
        </w:rPr>
        <w:t xml:space="preserve">, </w:t>
      </w:r>
      <w:r w:rsidRPr="00DA1E67">
        <w:rPr>
          <w:rFonts w:cs="CMU Serif Roman"/>
          <w:i/>
          <w:iCs/>
        </w:rPr>
        <w:t>32</w:t>
      </w:r>
      <w:r w:rsidRPr="00DA1E67">
        <w:rPr>
          <w:rFonts w:cs="CMU Serif Roman"/>
        </w:rPr>
        <w:t>(7), 169–177.</w:t>
      </w:r>
    </w:p>
    <w:p w14:paraId="31716D9C" w14:textId="77777777" w:rsidR="00DA1E67" w:rsidRPr="00DA1E67" w:rsidRDefault="00DA1E67" w:rsidP="00DA1E67">
      <w:pPr>
        <w:pStyle w:val="Bibliography"/>
        <w:rPr>
          <w:rFonts w:cs="CMU Serif Roman"/>
        </w:rPr>
      </w:pPr>
      <w:r w:rsidRPr="00DA1E67">
        <w:rPr>
          <w:rFonts w:cs="CMU Serif Roman"/>
        </w:rPr>
        <w:t xml:space="preserve">Barnes-Holmes, D., Barnes-Holmes, Y., Stewart, I., &amp; Boles, S. (2010). A sketch of the Implicit Relational Assessment Procedure (IRAP) and the Relational Elaboration and Coherence (REC) model. </w:t>
      </w:r>
      <w:r w:rsidRPr="00DA1E67">
        <w:rPr>
          <w:rFonts w:cs="CMU Serif Roman"/>
          <w:i/>
          <w:iCs/>
        </w:rPr>
        <w:t>The Psychological Record</w:t>
      </w:r>
      <w:r w:rsidRPr="00DA1E67">
        <w:rPr>
          <w:rFonts w:cs="CMU Serif Roman"/>
        </w:rPr>
        <w:t xml:space="preserve">, </w:t>
      </w:r>
      <w:r w:rsidRPr="00DA1E67">
        <w:rPr>
          <w:rFonts w:cs="CMU Serif Roman"/>
          <w:i/>
          <w:iCs/>
        </w:rPr>
        <w:t>60</w:t>
      </w:r>
      <w:r w:rsidRPr="00DA1E67">
        <w:rPr>
          <w:rFonts w:cs="CMU Serif Roman"/>
        </w:rPr>
        <w:t>, 527–542.</w:t>
      </w:r>
    </w:p>
    <w:p w14:paraId="6786B490" w14:textId="77777777" w:rsidR="00DA1E67" w:rsidRPr="00DA1E67" w:rsidRDefault="00DA1E67" w:rsidP="00DA1E67">
      <w:pPr>
        <w:pStyle w:val="Bibliography"/>
        <w:rPr>
          <w:rFonts w:cs="CMU Serif Roman"/>
        </w:rPr>
      </w:pPr>
      <w:r w:rsidRPr="00DA1E67">
        <w:rPr>
          <w:rFonts w:cs="CMU Serif Roman"/>
        </w:rPr>
        <w:t xml:space="preserve">Barnes-Holmes, D., &amp; Harte, C. (2022). The IRAP as a Measure of Implicit Cognition: A Case of Frankenstein’s Monster. </w:t>
      </w:r>
      <w:r w:rsidRPr="00DA1E67">
        <w:rPr>
          <w:rFonts w:cs="CMU Serif Roman"/>
          <w:i/>
          <w:iCs/>
        </w:rPr>
        <w:t>Perspectives on Behavior Science</w:t>
      </w:r>
      <w:r w:rsidRPr="00DA1E67">
        <w:rPr>
          <w:rFonts w:cs="CMU Serif Roman"/>
        </w:rPr>
        <w:t>. https://doi.org/10.1007/s40614-022-00352-z</w:t>
      </w:r>
    </w:p>
    <w:p w14:paraId="35C9EFAD" w14:textId="77777777" w:rsidR="00DA1E67" w:rsidRPr="00DA1E67" w:rsidRDefault="00DA1E67" w:rsidP="00DA1E67">
      <w:pPr>
        <w:pStyle w:val="Bibliography"/>
        <w:rPr>
          <w:rFonts w:cs="CMU Serif Roman"/>
        </w:rPr>
      </w:pPr>
      <w:r w:rsidRPr="00DA1E67">
        <w:rPr>
          <w:rFonts w:cs="CMU Serif Roman"/>
        </w:rPr>
        <w:t xml:space="preserve">Bates, D., </w:t>
      </w:r>
      <w:proofErr w:type="spellStart"/>
      <w:r w:rsidRPr="00DA1E67">
        <w:rPr>
          <w:rFonts w:cs="CMU Serif Roman"/>
        </w:rPr>
        <w:t>Mächler</w:t>
      </w:r>
      <w:proofErr w:type="spellEnd"/>
      <w:r w:rsidRPr="00DA1E67">
        <w:rPr>
          <w:rFonts w:cs="CMU Serif Roman"/>
        </w:rPr>
        <w:t xml:space="preserve">, M., </w:t>
      </w:r>
      <w:proofErr w:type="spellStart"/>
      <w:r w:rsidRPr="00DA1E67">
        <w:rPr>
          <w:rFonts w:cs="CMU Serif Roman"/>
        </w:rPr>
        <w:t>Bolker</w:t>
      </w:r>
      <w:proofErr w:type="spellEnd"/>
      <w:r w:rsidRPr="00DA1E67">
        <w:rPr>
          <w:rFonts w:cs="CMU Serif Roman"/>
        </w:rPr>
        <w:t xml:space="preserve">, B., &amp; Walker, S. (2015). Fitting Linear Mixed-Effects Models Using lme4. </w:t>
      </w:r>
      <w:r w:rsidRPr="00DA1E67">
        <w:rPr>
          <w:rFonts w:cs="CMU Serif Roman"/>
          <w:i/>
          <w:iCs/>
        </w:rPr>
        <w:t>Journal of Statistical Software</w:t>
      </w:r>
      <w:r w:rsidRPr="00DA1E67">
        <w:rPr>
          <w:rFonts w:cs="CMU Serif Roman"/>
        </w:rPr>
        <w:t xml:space="preserve">, </w:t>
      </w:r>
      <w:r w:rsidRPr="00DA1E67">
        <w:rPr>
          <w:rFonts w:cs="CMU Serif Roman"/>
          <w:i/>
          <w:iCs/>
        </w:rPr>
        <w:t>67</w:t>
      </w:r>
      <w:r w:rsidRPr="00DA1E67">
        <w:rPr>
          <w:rFonts w:cs="CMU Serif Roman"/>
        </w:rPr>
        <w:t>(1), 1–48. https://doi.org/10.18637/jss.v067.i01</w:t>
      </w:r>
    </w:p>
    <w:p w14:paraId="1EFC80E3" w14:textId="77777777" w:rsidR="00DA1E67" w:rsidRPr="00DA1E67" w:rsidRDefault="00DA1E67" w:rsidP="00DA1E67">
      <w:pPr>
        <w:pStyle w:val="Bibliography"/>
        <w:rPr>
          <w:rFonts w:cs="CMU Serif Roman"/>
        </w:rPr>
      </w:pPr>
      <w:r w:rsidRPr="00DA1E67">
        <w:rPr>
          <w:rFonts w:cs="CMU Serif Roman"/>
        </w:rPr>
        <w:t xml:space="preserve">Canty, A. J. (2002). Resampling Methods in R: The boot Package. </w:t>
      </w:r>
      <w:r w:rsidRPr="00DA1E67">
        <w:rPr>
          <w:rFonts w:cs="CMU Serif Roman"/>
          <w:i/>
          <w:iCs/>
        </w:rPr>
        <w:t>R News</w:t>
      </w:r>
      <w:r w:rsidRPr="00DA1E67">
        <w:rPr>
          <w:rFonts w:cs="CMU Serif Roman"/>
        </w:rPr>
        <w:t xml:space="preserve">, </w:t>
      </w:r>
      <w:r w:rsidRPr="00DA1E67">
        <w:rPr>
          <w:rFonts w:cs="CMU Serif Roman"/>
          <w:i/>
          <w:iCs/>
        </w:rPr>
        <w:t>2/3</w:t>
      </w:r>
      <w:r w:rsidRPr="00DA1E67">
        <w:rPr>
          <w:rFonts w:cs="CMU Serif Roman"/>
        </w:rPr>
        <w:t>, 2–7.</w:t>
      </w:r>
    </w:p>
    <w:p w14:paraId="57E9516A" w14:textId="77777777" w:rsidR="00DA1E67" w:rsidRPr="00DA1E67" w:rsidRDefault="00DA1E67" w:rsidP="00DA1E67">
      <w:pPr>
        <w:pStyle w:val="Bibliography"/>
        <w:rPr>
          <w:rFonts w:cs="CMU Serif Roman"/>
        </w:rPr>
      </w:pPr>
      <w:r w:rsidRPr="00DA1E67">
        <w:rPr>
          <w:rFonts w:cs="CMU Serif Roman"/>
        </w:rPr>
        <w:t xml:space="preserve">Connor, P., &amp; Evers, E. R. K. (2020). The Bias of Individuals (in Crowds): Why Implicit Bias Is Probably a Noisily Measured Individual-Level Construct. </w:t>
      </w:r>
      <w:r w:rsidRPr="00DA1E67">
        <w:rPr>
          <w:rFonts w:cs="CMU Serif Roman"/>
          <w:i/>
          <w:iCs/>
        </w:rPr>
        <w:t>Perspectives on Psychological Science</w:t>
      </w:r>
      <w:r w:rsidRPr="00DA1E67">
        <w:rPr>
          <w:rFonts w:cs="CMU Serif Roman"/>
        </w:rPr>
        <w:t xml:space="preserve">, </w:t>
      </w:r>
      <w:r w:rsidRPr="00DA1E67">
        <w:rPr>
          <w:rFonts w:cs="CMU Serif Roman"/>
          <w:i/>
          <w:iCs/>
        </w:rPr>
        <w:t>15</w:t>
      </w:r>
      <w:r w:rsidRPr="00DA1E67">
        <w:rPr>
          <w:rFonts w:cs="CMU Serif Roman"/>
        </w:rPr>
        <w:t>(6), 1329–1345. https://doi.org/10.1177/1745691620931492</w:t>
      </w:r>
    </w:p>
    <w:p w14:paraId="2CE53E41" w14:textId="77777777" w:rsidR="00DA1E67" w:rsidRPr="00DA1E67" w:rsidRDefault="00DA1E67" w:rsidP="00DA1E67">
      <w:pPr>
        <w:pStyle w:val="Bibliography"/>
        <w:rPr>
          <w:rFonts w:cs="CMU Serif Roman"/>
        </w:rPr>
      </w:pPr>
      <w:r w:rsidRPr="00DA1E67">
        <w:rPr>
          <w:rFonts w:cs="CMU Serif Roman"/>
        </w:rPr>
        <w:t xml:space="preserve">Cornell Statistical Consulting Unit. (2008). </w:t>
      </w:r>
      <w:r w:rsidRPr="00DA1E67">
        <w:rPr>
          <w:rFonts w:cs="CMU Serif Roman"/>
          <w:i/>
          <w:iCs/>
        </w:rPr>
        <w:t>Overlapping Confidence Intervals and Statistical Significance</w:t>
      </w:r>
      <w:r w:rsidRPr="00DA1E67">
        <w:rPr>
          <w:rFonts w:cs="CMU Serif Roman"/>
        </w:rPr>
        <w:t xml:space="preserve"> (</w:t>
      </w:r>
      <w:proofErr w:type="spellStart"/>
      <w:r w:rsidRPr="00DA1E67">
        <w:rPr>
          <w:rFonts w:cs="CMU Serif Roman"/>
        </w:rPr>
        <w:t>Statnews</w:t>
      </w:r>
      <w:proofErr w:type="spellEnd"/>
      <w:r w:rsidRPr="00DA1E67">
        <w:rPr>
          <w:rFonts w:cs="CMU Serif Roman"/>
        </w:rPr>
        <w:t xml:space="preserve"> #73). Cornell University.</w:t>
      </w:r>
    </w:p>
    <w:p w14:paraId="719208EB" w14:textId="77777777" w:rsidR="00DA1E67" w:rsidRPr="00DA1E67" w:rsidRDefault="00DA1E67" w:rsidP="00DA1E67">
      <w:pPr>
        <w:pStyle w:val="Bibliography"/>
        <w:rPr>
          <w:rFonts w:cs="CMU Serif Roman"/>
        </w:rPr>
      </w:pPr>
      <w:r w:rsidRPr="00DA1E67">
        <w:rPr>
          <w:rFonts w:cs="CMU Serif Roman"/>
        </w:rPr>
        <w:t xml:space="preserve">De </w:t>
      </w:r>
      <w:proofErr w:type="spellStart"/>
      <w:r w:rsidRPr="00DA1E67">
        <w:rPr>
          <w:rFonts w:cs="CMU Serif Roman"/>
        </w:rPr>
        <w:t>Schryver</w:t>
      </w:r>
      <w:proofErr w:type="spellEnd"/>
      <w:r w:rsidRPr="00DA1E67">
        <w:rPr>
          <w:rFonts w:cs="CMU Serif Roman"/>
        </w:rPr>
        <w:t xml:space="preserve">, M., Hussey, I., De Neve, J., Cartwright, A., &amp; Barnes-Holmes, D. (2018). The PIIRAP: An alternative scoring algorithm for the IRAP using a probabilistic </w:t>
      </w:r>
      <w:r w:rsidRPr="00DA1E67">
        <w:rPr>
          <w:rFonts w:cs="CMU Serif Roman"/>
        </w:rPr>
        <w:lastRenderedPageBreak/>
        <w:t xml:space="preserve">semiparametric effect size measure. </w:t>
      </w:r>
      <w:r w:rsidRPr="00DA1E67">
        <w:rPr>
          <w:rFonts w:cs="CMU Serif Roman"/>
          <w:i/>
          <w:iCs/>
        </w:rPr>
        <w:t>Journal of Contextual Behavioral Science</w:t>
      </w:r>
      <w:r w:rsidRPr="00DA1E67">
        <w:rPr>
          <w:rFonts w:cs="CMU Serif Roman"/>
        </w:rPr>
        <w:t xml:space="preserve">, </w:t>
      </w:r>
      <w:r w:rsidRPr="00DA1E67">
        <w:rPr>
          <w:rFonts w:cs="CMU Serif Roman"/>
          <w:i/>
          <w:iCs/>
        </w:rPr>
        <w:t>7</w:t>
      </w:r>
      <w:r w:rsidRPr="00DA1E67">
        <w:rPr>
          <w:rFonts w:cs="CMU Serif Roman"/>
        </w:rPr>
        <w:t>, 97–103. https://doi.org/10.1016/j.jcbs.2018.01.001</w:t>
      </w:r>
    </w:p>
    <w:p w14:paraId="0A6D2040" w14:textId="77777777" w:rsidR="00DA1E67" w:rsidRPr="00DA1E67" w:rsidRDefault="00DA1E67" w:rsidP="00DA1E67">
      <w:pPr>
        <w:pStyle w:val="Bibliography"/>
        <w:rPr>
          <w:rFonts w:cs="CMU Serif Roman"/>
        </w:rPr>
      </w:pPr>
      <w:r w:rsidRPr="00DA1E67">
        <w:rPr>
          <w:rFonts w:cs="CMU Serif Roman"/>
        </w:rPr>
        <w:t xml:space="preserve">Drake, C. E., </w:t>
      </w:r>
      <w:proofErr w:type="spellStart"/>
      <w:r w:rsidRPr="00DA1E67">
        <w:rPr>
          <w:rFonts w:cs="CMU Serif Roman"/>
        </w:rPr>
        <w:t>Primeaux</w:t>
      </w:r>
      <w:proofErr w:type="spellEnd"/>
      <w:r w:rsidRPr="00DA1E67">
        <w:rPr>
          <w:rFonts w:cs="CMU Serif Roman"/>
        </w:rPr>
        <w:t xml:space="preserve">, S., &amp; Thomas, J. (2018). Comparing Implicit Gender Stereotypes Between Women and Men with the Implicit Relational Assessment Procedure. </w:t>
      </w:r>
      <w:r w:rsidRPr="00DA1E67">
        <w:rPr>
          <w:rFonts w:cs="CMU Serif Roman"/>
          <w:i/>
          <w:iCs/>
        </w:rPr>
        <w:t>Gender Issues</w:t>
      </w:r>
      <w:r w:rsidRPr="00DA1E67">
        <w:rPr>
          <w:rFonts w:cs="CMU Serif Roman"/>
        </w:rPr>
        <w:t xml:space="preserve">, </w:t>
      </w:r>
      <w:r w:rsidRPr="00DA1E67">
        <w:rPr>
          <w:rFonts w:cs="CMU Serif Roman"/>
          <w:i/>
          <w:iCs/>
        </w:rPr>
        <w:t>35</w:t>
      </w:r>
      <w:r w:rsidRPr="00DA1E67">
        <w:rPr>
          <w:rFonts w:cs="CMU Serif Roman"/>
        </w:rPr>
        <w:t>(1), 3–20. https://doi.org/10.1007/s12147-017-9189-6</w:t>
      </w:r>
    </w:p>
    <w:p w14:paraId="177AFAEA" w14:textId="77777777" w:rsidR="00DA1E67" w:rsidRPr="00DA1E67" w:rsidRDefault="00DA1E67" w:rsidP="00DA1E67">
      <w:pPr>
        <w:pStyle w:val="Bibliography"/>
        <w:rPr>
          <w:rFonts w:cs="CMU Serif Roman"/>
        </w:rPr>
      </w:pPr>
      <w:r w:rsidRPr="00DA1E67">
        <w:rPr>
          <w:rFonts w:cs="CMU Serif Roman"/>
        </w:rPr>
        <w:t xml:space="preserve">Drake, C. E., Seymour, K. H., &amp; Habib, R. (2016). Testing the IRAP: Exploring the Reliability and </w:t>
      </w:r>
      <w:proofErr w:type="spellStart"/>
      <w:r w:rsidRPr="00DA1E67">
        <w:rPr>
          <w:rFonts w:cs="CMU Serif Roman"/>
        </w:rPr>
        <w:t>Fakability</w:t>
      </w:r>
      <w:proofErr w:type="spellEnd"/>
      <w:r w:rsidRPr="00DA1E67">
        <w:rPr>
          <w:rFonts w:cs="CMU Serif Roman"/>
        </w:rPr>
        <w:t xml:space="preserve"> of an Idiographic Approach to Interpersonal Attitudes.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(1), 153–163. https://doi.org/10.1007/s40732-015-0160-1</w:t>
      </w:r>
    </w:p>
    <w:p w14:paraId="63F8974E" w14:textId="77777777" w:rsidR="00DA1E67" w:rsidRPr="00DA1E67" w:rsidRDefault="00DA1E67" w:rsidP="00DA1E67">
      <w:pPr>
        <w:pStyle w:val="Bibliography"/>
        <w:rPr>
          <w:rFonts w:cs="CMU Serif Roman"/>
        </w:rPr>
      </w:pPr>
      <w:r w:rsidRPr="00DA1E67">
        <w:rPr>
          <w:rFonts w:cs="CMU Serif Roman"/>
        </w:rPr>
        <w:t xml:space="preserve">Fernández-Castilla, B., </w:t>
      </w:r>
      <w:proofErr w:type="spellStart"/>
      <w:r w:rsidRPr="00DA1E67">
        <w:rPr>
          <w:rFonts w:cs="CMU Serif Roman"/>
        </w:rPr>
        <w:t>Declercq</w:t>
      </w:r>
      <w:proofErr w:type="spellEnd"/>
      <w:r w:rsidRPr="00DA1E67">
        <w:rPr>
          <w:rFonts w:cs="CMU Serif Roman"/>
        </w:rPr>
        <w:t xml:space="preserve">, L., </w:t>
      </w:r>
      <w:proofErr w:type="spellStart"/>
      <w:r w:rsidRPr="00DA1E67">
        <w:rPr>
          <w:rFonts w:cs="CMU Serif Roman"/>
        </w:rPr>
        <w:t>Jamshidi</w:t>
      </w:r>
      <w:proofErr w:type="spellEnd"/>
      <w:r w:rsidRPr="00DA1E67">
        <w:rPr>
          <w:rFonts w:cs="CMU Serif Roman"/>
        </w:rPr>
        <w:t xml:space="preserve">, L., </w:t>
      </w:r>
      <w:proofErr w:type="spellStart"/>
      <w:r w:rsidRPr="00DA1E67">
        <w:rPr>
          <w:rFonts w:cs="CMU Serif Roman"/>
        </w:rPr>
        <w:t>Beretvas</w:t>
      </w:r>
      <w:proofErr w:type="spellEnd"/>
      <w:r w:rsidRPr="00DA1E67">
        <w:rPr>
          <w:rFonts w:cs="CMU Serif Roman"/>
        </w:rPr>
        <w:t xml:space="preserve">, N., </w:t>
      </w:r>
      <w:proofErr w:type="spellStart"/>
      <w:r w:rsidRPr="00DA1E67">
        <w:rPr>
          <w:rFonts w:cs="CMU Serif Roman"/>
        </w:rPr>
        <w:t>Onghena</w:t>
      </w:r>
      <w:proofErr w:type="spellEnd"/>
      <w:r w:rsidRPr="00DA1E67">
        <w:rPr>
          <w:rFonts w:cs="CMU Serif Roman"/>
        </w:rPr>
        <w:t xml:space="preserve">, P., &amp; </w:t>
      </w:r>
      <w:proofErr w:type="spellStart"/>
      <w:r w:rsidRPr="00DA1E67">
        <w:rPr>
          <w:rFonts w:cs="CMU Serif Roman"/>
        </w:rPr>
        <w:t>Noortgate</w:t>
      </w:r>
      <w:proofErr w:type="spellEnd"/>
      <w:r w:rsidRPr="00DA1E67">
        <w:rPr>
          <w:rFonts w:cs="CMU Serif Roman"/>
        </w:rPr>
        <w:t xml:space="preserve">, W. V. den. (2020). Visual Representations of Meta-Analyses of Multiple Outcomes: Extensions to Forest Plots, Funnel Plots, and Caterpillar Plots. </w:t>
      </w:r>
      <w:r w:rsidRPr="00DA1E67">
        <w:rPr>
          <w:rFonts w:cs="CMU Serif Roman"/>
          <w:i/>
          <w:iCs/>
        </w:rPr>
        <w:t>Methodology</w:t>
      </w:r>
      <w:r w:rsidRPr="00DA1E67">
        <w:rPr>
          <w:rFonts w:cs="CMU Serif Roman"/>
        </w:rPr>
        <w:t xml:space="preserve">, </w:t>
      </w:r>
      <w:r w:rsidRPr="00DA1E67">
        <w:rPr>
          <w:rFonts w:cs="CMU Serif Roman"/>
          <w:i/>
          <w:iCs/>
        </w:rPr>
        <w:t>16</w:t>
      </w:r>
      <w:r w:rsidRPr="00DA1E67">
        <w:rPr>
          <w:rFonts w:cs="CMU Serif Roman"/>
        </w:rPr>
        <w:t>(4), 299–315. https://doi.org/10.5964/meth.4013</w:t>
      </w:r>
    </w:p>
    <w:p w14:paraId="52D1834C" w14:textId="77777777" w:rsidR="00DA1E67" w:rsidRPr="00DA1E67" w:rsidRDefault="00DA1E67" w:rsidP="00DA1E67">
      <w:pPr>
        <w:pStyle w:val="Bibliography"/>
        <w:rPr>
          <w:rFonts w:cs="CMU Serif Roman"/>
        </w:rPr>
      </w:pPr>
      <w:r w:rsidRPr="00DA1E67">
        <w:rPr>
          <w:rFonts w:cs="CMU Serif Roman"/>
        </w:rPr>
        <w:t xml:space="preserve">Finn, M., Barnes-Holmes, D., Hussey, I., &amp; </w:t>
      </w:r>
      <w:proofErr w:type="spellStart"/>
      <w:r w:rsidRPr="00DA1E67">
        <w:rPr>
          <w:rFonts w:cs="CMU Serif Roman"/>
        </w:rPr>
        <w:t>Graddy</w:t>
      </w:r>
      <w:proofErr w:type="spellEnd"/>
      <w:r w:rsidRPr="00DA1E67">
        <w:rPr>
          <w:rFonts w:cs="CMU Serif Roman"/>
        </w:rPr>
        <w:t xml:space="preserve">, J. (2016). Exploring the behavioral dynamics of the implicit relational assessment procedure: The impact of three types of introductory rules.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(2), 309–321. https://doi.org/10.1007/s40732-016-0173-4</w:t>
      </w:r>
    </w:p>
    <w:p w14:paraId="4AA6CD08" w14:textId="77777777" w:rsidR="00DA1E67" w:rsidRPr="00DA1E67" w:rsidRDefault="00DA1E67" w:rsidP="00DA1E67">
      <w:pPr>
        <w:pStyle w:val="Bibliography"/>
        <w:rPr>
          <w:rFonts w:cs="CMU Serif Roman"/>
        </w:rPr>
      </w:pPr>
      <w:r w:rsidRPr="00DA1E67">
        <w:rPr>
          <w:rFonts w:cs="CMU Serif Roman"/>
        </w:rPr>
        <w:t xml:space="preserve">Finn, M., Barnes-Holmes, D., &amp; </w:t>
      </w:r>
      <w:proofErr w:type="spellStart"/>
      <w:r w:rsidRPr="00DA1E67">
        <w:rPr>
          <w:rFonts w:cs="CMU Serif Roman"/>
        </w:rPr>
        <w:t>McEnteggart</w:t>
      </w:r>
      <w:proofErr w:type="spellEnd"/>
      <w:r w:rsidRPr="00DA1E67">
        <w:rPr>
          <w:rFonts w:cs="CMU Serif Roman"/>
        </w:rPr>
        <w:t xml:space="preserve">, C. (2017). Exploring the Single-Trial-Type-Dominance-Effect in the IRAP: Developing a Differential Arbitrarily Applicable Relational Responding Effects (DAARRE) Model. </w:t>
      </w:r>
      <w:r w:rsidRPr="00DA1E67">
        <w:rPr>
          <w:rFonts w:cs="CMU Serif Roman"/>
          <w:i/>
          <w:iCs/>
        </w:rPr>
        <w:t>The Psychological Record</w:t>
      </w:r>
      <w:r w:rsidRPr="00DA1E67">
        <w:rPr>
          <w:rFonts w:cs="CMU Serif Roman"/>
        </w:rPr>
        <w:t>, 1–15. https://doi.org/10.1007/s40732-017-0262-z</w:t>
      </w:r>
    </w:p>
    <w:p w14:paraId="7C147E40" w14:textId="77777777" w:rsidR="00DA1E67" w:rsidRPr="00DA1E67" w:rsidRDefault="00DA1E67" w:rsidP="00DA1E67">
      <w:pPr>
        <w:pStyle w:val="Bibliography"/>
        <w:rPr>
          <w:rFonts w:cs="CMU Serif Roman"/>
        </w:rPr>
      </w:pPr>
      <w:r w:rsidRPr="00DA1E67">
        <w:rPr>
          <w:rFonts w:cs="CMU Serif Roman"/>
        </w:rPr>
        <w:t xml:space="preserve">Finn, M., Barnes-Holmes, D., </w:t>
      </w:r>
      <w:proofErr w:type="spellStart"/>
      <w:r w:rsidRPr="00DA1E67">
        <w:rPr>
          <w:rFonts w:cs="CMU Serif Roman"/>
        </w:rPr>
        <w:t>McEnteggart</w:t>
      </w:r>
      <w:proofErr w:type="spellEnd"/>
      <w:r w:rsidRPr="00DA1E67">
        <w:rPr>
          <w:rFonts w:cs="CMU Serif Roman"/>
        </w:rPr>
        <w:t xml:space="preserve">, C., &amp; Kavanagh, D. (2019). Predicting and Influencing the Single-Trial-Type-Dominance-Effect: The First Study. </w:t>
      </w:r>
      <w:r w:rsidRPr="00DA1E67">
        <w:rPr>
          <w:rFonts w:cs="CMU Serif Roman"/>
          <w:i/>
          <w:iCs/>
        </w:rPr>
        <w:t>The Psychological Record</w:t>
      </w:r>
      <w:r w:rsidRPr="00DA1E67">
        <w:rPr>
          <w:rFonts w:cs="CMU Serif Roman"/>
        </w:rPr>
        <w:t xml:space="preserve">, </w:t>
      </w:r>
      <w:r w:rsidRPr="00DA1E67">
        <w:rPr>
          <w:rFonts w:cs="CMU Serif Roman"/>
          <w:i/>
          <w:iCs/>
        </w:rPr>
        <w:t>69</w:t>
      </w:r>
      <w:r w:rsidRPr="00DA1E67">
        <w:rPr>
          <w:rFonts w:cs="CMU Serif Roman"/>
        </w:rPr>
        <w:t>(3), 425–435. https://doi.org/10.1007/s40732-019-00347-4</w:t>
      </w:r>
    </w:p>
    <w:p w14:paraId="393C4EFE" w14:textId="77777777" w:rsidR="00DA1E67" w:rsidRPr="00DA1E67" w:rsidRDefault="00DA1E67" w:rsidP="00DA1E67">
      <w:pPr>
        <w:pStyle w:val="Bibliography"/>
        <w:rPr>
          <w:rFonts w:cs="CMU Serif Roman"/>
        </w:rPr>
      </w:pPr>
      <w:r w:rsidRPr="00DA1E67">
        <w:rPr>
          <w:rFonts w:cs="CMU Serif Roman"/>
        </w:rPr>
        <w:t xml:space="preserve">Greenwald, A. G., </w:t>
      </w:r>
      <w:proofErr w:type="spellStart"/>
      <w:r w:rsidRPr="00DA1E67">
        <w:rPr>
          <w:rFonts w:cs="CMU Serif Roman"/>
        </w:rPr>
        <w:t>Brendl</w:t>
      </w:r>
      <w:proofErr w:type="spellEnd"/>
      <w:r w:rsidRPr="00DA1E67">
        <w:rPr>
          <w:rFonts w:cs="CMU Serif Roman"/>
        </w:rPr>
        <w:t xml:space="preserve">, M., Cai, H., </w:t>
      </w:r>
      <w:proofErr w:type="spellStart"/>
      <w:r w:rsidRPr="00DA1E67">
        <w:rPr>
          <w:rFonts w:cs="CMU Serif Roman"/>
        </w:rPr>
        <w:t>Cvencek</w:t>
      </w:r>
      <w:proofErr w:type="spellEnd"/>
      <w:r w:rsidRPr="00DA1E67">
        <w:rPr>
          <w:rFonts w:cs="CMU Serif Roman"/>
        </w:rPr>
        <w:t xml:space="preserve">, D., Dovidio, J. F., Friese, M., Hahn, A., </w:t>
      </w:r>
      <w:proofErr w:type="spellStart"/>
      <w:r w:rsidRPr="00DA1E67">
        <w:rPr>
          <w:rFonts w:cs="CMU Serif Roman"/>
        </w:rPr>
        <w:t>Hehman</w:t>
      </w:r>
      <w:proofErr w:type="spellEnd"/>
      <w:r w:rsidRPr="00DA1E67">
        <w:rPr>
          <w:rFonts w:cs="CMU Serif Roman"/>
        </w:rPr>
        <w:t xml:space="preserve">, E., Hofmann, W., Hughes, S., Hussey, I., Jordan, C., Kirby, T. A., Lai, C. K., </w:t>
      </w:r>
      <w:r w:rsidRPr="00DA1E67">
        <w:rPr>
          <w:rFonts w:cs="CMU Serif Roman"/>
        </w:rPr>
        <w:lastRenderedPageBreak/>
        <w:t xml:space="preserve">Lang, J. W. B., Lindgren, K. P., Maison, D., </w:t>
      </w:r>
      <w:proofErr w:type="spellStart"/>
      <w:r w:rsidRPr="00DA1E67">
        <w:rPr>
          <w:rFonts w:cs="CMU Serif Roman"/>
        </w:rPr>
        <w:t>Ostafin</w:t>
      </w:r>
      <w:proofErr w:type="spellEnd"/>
      <w:r w:rsidRPr="00DA1E67">
        <w:rPr>
          <w:rFonts w:cs="CMU Serif Roman"/>
        </w:rPr>
        <w:t xml:space="preserve">, B. D., Rae, J. R., … </w:t>
      </w:r>
      <w:proofErr w:type="spellStart"/>
      <w:r w:rsidRPr="00DA1E67">
        <w:rPr>
          <w:rFonts w:cs="CMU Serif Roman"/>
        </w:rPr>
        <w:t>Wiers</w:t>
      </w:r>
      <w:proofErr w:type="spellEnd"/>
      <w:r w:rsidRPr="00DA1E67">
        <w:rPr>
          <w:rFonts w:cs="CMU Serif Roman"/>
        </w:rPr>
        <w:t xml:space="preserve">, R. W. (2022). Best research practices for using the Implicit Association Test. </w:t>
      </w:r>
      <w:r w:rsidRPr="00DA1E67">
        <w:rPr>
          <w:rFonts w:cs="CMU Serif Roman"/>
          <w:i/>
          <w:iCs/>
        </w:rPr>
        <w:t>Behavior Research Methods</w:t>
      </w:r>
      <w:r w:rsidRPr="00DA1E67">
        <w:rPr>
          <w:rFonts w:cs="CMU Serif Roman"/>
        </w:rPr>
        <w:t xml:space="preserve">, </w:t>
      </w:r>
      <w:r w:rsidRPr="00DA1E67">
        <w:rPr>
          <w:rFonts w:cs="CMU Serif Roman"/>
          <w:i/>
          <w:iCs/>
        </w:rPr>
        <w:t>54</w:t>
      </w:r>
      <w:r w:rsidRPr="00DA1E67">
        <w:rPr>
          <w:rFonts w:cs="CMU Serif Roman"/>
        </w:rPr>
        <w:t>(3), 1161–1180. https://doi.org/10.3758/s13428-021-01624-3</w:t>
      </w:r>
    </w:p>
    <w:p w14:paraId="59AF35EC" w14:textId="77777777" w:rsidR="00DA1E67" w:rsidRPr="00DA1E67" w:rsidRDefault="00DA1E67" w:rsidP="00DA1E67">
      <w:pPr>
        <w:pStyle w:val="Bibliography"/>
        <w:rPr>
          <w:rFonts w:cs="CMU Serif Roman"/>
        </w:rPr>
      </w:pPr>
      <w:r w:rsidRPr="00DA1E67">
        <w:rPr>
          <w:rFonts w:cs="CMU Serif Roman"/>
        </w:rPr>
        <w:t xml:space="preserve">Greenwald, A. G., McGhee, D. E., &amp; Schwartz, J. L. (1998). Measuring individual differences in implicit cognition: The Implicit Association Test. </w:t>
      </w:r>
      <w:r w:rsidRPr="00DA1E67">
        <w:rPr>
          <w:rFonts w:cs="CMU Serif Roman"/>
          <w:i/>
          <w:iCs/>
        </w:rPr>
        <w:t>Journal of Personality and Social Psychology</w:t>
      </w:r>
      <w:r w:rsidRPr="00DA1E67">
        <w:rPr>
          <w:rFonts w:cs="CMU Serif Roman"/>
        </w:rPr>
        <w:t xml:space="preserve">, </w:t>
      </w:r>
      <w:r w:rsidRPr="00DA1E67">
        <w:rPr>
          <w:rFonts w:cs="CMU Serif Roman"/>
          <w:i/>
          <w:iCs/>
        </w:rPr>
        <w:t>74</w:t>
      </w:r>
      <w:r w:rsidRPr="00DA1E67">
        <w:rPr>
          <w:rFonts w:cs="CMU Serif Roman"/>
        </w:rPr>
        <w:t>(6), 1464–1480. https://doi.org/10.1037/0022-3514.74.6.1464</w:t>
      </w:r>
    </w:p>
    <w:p w14:paraId="31B47BCC" w14:textId="77777777" w:rsidR="00DA1E67" w:rsidRPr="00DA1E67" w:rsidRDefault="00DA1E67" w:rsidP="00DA1E67">
      <w:pPr>
        <w:pStyle w:val="Bibliography"/>
        <w:rPr>
          <w:rFonts w:cs="CMU Serif Roman"/>
        </w:rPr>
      </w:pPr>
      <w:r w:rsidRPr="00DA1E67">
        <w:rPr>
          <w:rFonts w:cs="CMU Serif Roman"/>
        </w:rPr>
        <w:t xml:space="preserve">Greenwald, A. G., </w:t>
      </w:r>
      <w:proofErr w:type="spellStart"/>
      <w:r w:rsidRPr="00DA1E67">
        <w:rPr>
          <w:rFonts w:cs="CMU Serif Roman"/>
        </w:rPr>
        <w:t>Nosek</w:t>
      </w:r>
      <w:proofErr w:type="spellEnd"/>
      <w:r w:rsidRPr="00DA1E67">
        <w:rPr>
          <w:rFonts w:cs="CMU Serif Roman"/>
        </w:rPr>
        <w:t xml:space="preserve">, B. A., &amp; Banaji, M. R. (2003). Understanding and using the Implicit Association Test: I. An improved scoring algorithm. </w:t>
      </w:r>
      <w:r w:rsidRPr="00DA1E67">
        <w:rPr>
          <w:rFonts w:cs="CMU Serif Roman"/>
          <w:i/>
          <w:iCs/>
        </w:rPr>
        <w:t>Journal of Personality and Social Psychology</w:t>
      </w:r>
      <w:r w:rsidRPr="00DA1E67">
        <w:rPr>
          <w:rFonts w:cs="CMU Serif Roman"/>
        </w:rPr>
        <w:t xml:space="preserve">, </w:t>
      </w:r>
      <w:r w:rsidRPr="00DA1E67">
        <w:rPr>
          <w:rFonts w:cs="CMU Serif Roman"/>
          <w:i/>
          <w:iCs/>
        </w:rPr>
        <w:t>85</w:t>
      </w:r>
      <w:r w:rsidRPr="00DA1E67">
        <w:rPr>
          <w:rFonts w:cs="CMU Serif Roman"/>
        </w:rPr>
        <w:t>(2), 197–216. https://doi.org/10.1037/0022-3514.85.2.197</w:t>
      </w:r>
    </w:p>
    <w:p w14:paraId="73FE0B83" w14:textId="77777777" w:rsidR="00DA1E67" w:rsidRPr="00DA1E67" w:rsidRDefault="00DA1E67" w:rsidP="00DA1E67">
      <w:pPr>
        <w:pStyle w:val="Bibliography"/>
        <w:rPr>
          <w:rFonts w:cs="CMU Serif Roman"/>
        </w:rPr>
      </w:pPr>
      <w:r w:rsidRPr="00DA1E67">
        <w:rPr>
          <w:rFonts w:cs="CMU Serif Roman"/>
        </w:rPr>
        <w:t xml:space="preserve">Higgins, J., &amp; Thomas, J. (2022). </w:t>
      </w:r>
      <w:r w:rsidRPr="00DA1E67">
        <w:rPr>
          <w:rFonts w:cs="CMU Serif Roman"/>
          <w:i/>
          <w:iCs/>
        </w:rPr>
        <w:t>Cochrane Handbook for Systematic Reviews of Interventions</w:t>
      </w:r>
      <w:r w:rsidRPr="00DA1E67">
        <w:rPr>
          <w:rFonts w:cs="CMU Serif Roman"/>
        </w:rPr>
        <w:t xml:space="preserve"> (Version 6.3). The Cochrane Collaboration. Available from www.handbook.cochrane.org</w:t>
      </w:r>
    </w:p>
    <w:p w14:paraId="740C8896" w14:textId="77777777" w:rsidR="00DA1E67" w:rsidRPr="00DA1E67" w:rsidRDefault="00DA1E67" w:rsidP="00DA1E67">
      <w:pPr>
        <w:pStyle w:val="Bibliography"/>
        <w:rPr>
          <w:rFonts w:cs="CMU Serif Roman"/>
        </w:rPr>
      </w:pPr>
      <w:r w:rsidRPr="00DA1E67">
        <w:rPr>
          <w:rFonts w:cs="CMU Serif Roman"/>
        </w:rPr>
        <w:t xml:space="preserve">Hussey, I., Barnes-Holmes, D., &amp; Barnes-Holmes, Y. (2015). From Relational Frame Theory to implicit attitudes and back again: Clarifying the link between RFT and IRAP research. </w:t>
      </w:r>
      <w:r w:rsidRPr="00DA1E67">
        <w:rPr>
          <w:rFonts w:cs="CMU Serif Roman"/>
          <w:i/>
          <w:iCs/>
        </w:rPr>
        <w:t>Current Opinion in Psychology</w:t>
      </w:r>
      <w:r w:rsidRPr="00DA1E67">
        <w:rPr>
          <w:rFonts w:cs="CMU Serif Roman"/>
        </w:rPr>
        <w:t xml:space="preserve">, </w:t>
      </w:r>
      <w:r w:rsidRPr="00DA1E67">
        <w:rPr>
          <w:rFonts w:cs="CMU Serif Roman"/>
          <w:i/>
          <w:iCs/>
        </w:rPr>
        <w:t>2</w:t>
      </w:r>
      <w:r w:rsidRPr="00DA1E67">
        <w:rPr>
          <w:rFonts w:cs="CMU Serif Roman"/>
        </w:rPr>
        <w:t>, 11–15. https://doi.org/10.1016/j.copsyc.2014.12.009</w:t>
      </w:r>
    </w:p>
    <w:p w14:paraId="1FE0E731" w14:textId="77777777" w:rsidR="00DA1E67" w:rsidRPr="00DA1E67" w:rsidRDefault="00DA1E67" w:rsidP="00DA1E67">
      <w:pPr>
        <w:pStyle w:val="Bibliography"/>
        <w:rPr>
          <w:rFonts w:cs="CMU Serif Roman"/>
        </w:rPr>
      </w:pPr>
      <w:r w:rsidRPr="00DA1E67">
        <w:rPr>
          <w:rFonts w:cs="CMU Serif Roman"/>
        </w:rPr>
        <w:t xml:space="preserve">Hussey, I., Daly, T., &amp; Barnes-Holmes, D. (2015). Life is Good, But Death </w:t>
      </w:r>
      <w:proofErr w:type="spellStart"/>
      <w:r w:rsidRPr="00DA1E67">
        <w:rPr>
          <w:rFonts w:cs="CMU Serif Roman"/>
        </w:rPr>
        <w:t>Ain’t</w:t>
      </w:r>
      <w:proofErr w:type="spellEnd"/>
      <w:r w:rsidRPr="00DA1E67">
        <w:rPr>
          <w:rFonts w:cs="CMU Serif Roman"/>
        </w:rPr>
        <w:t xml:space="preserve"> Bad Either: Counter-Intuitive Implicit Biases to Death in a Normative Population. </w:t>
      </w:r>
      <w:r w:rsidRPr="00DA1E67">
        <w:rPr>
          <w:rFonts w:cs="CMU Serif Roman"/>
          <w:i/>
          <w:iCs/>
        </w:rPr>
        <w:t>The Psychological Record</w:t>
      </w:r>
      <w:r w:rsidRPr="00DA1E67">
        <w:rPr>
          <w:rFonts w:cs="CMU Serif Roman"/>
        </w:rPr>
        <w:t xml:space="preserve">, </w:t>
      </w:r>
      <w:r w:rsidRPr="00DA1E67">
        <w:rPr>
          <w:rFonts w:cs="CMU Serif Roman"/>
          <w:i/>
          <w:iCs/>
        </w:rPr>
        <w:t>65</w:t>
      </w:r>
      <w:r w:rsidRPr="00DA1E67">
        <w:rPr>
          <w:rFonts w:cs="CMU Serif Roman"/>
        </w:rPr>
        <w:t>(4), 731–742. https://doi.org/10.1007/s40732-015-0142-3</w:t>
      </w:r>
    </w:p>
    <w:p w14:paraId="121210A8" w14:textId="77777777" w:rsidR="00DA1E67" w:rsidRPr="00DA1E67" w:rsidRDefault="00DA1E67" w:rsidP="00DA1E67">
      <w:pPr>
        <w:pStyle w:val="Bibliography"/>
        <w:rPr>
          <w:rFonts w:cs="CMU Serif Roman"/>
          <w:lang w:val="nb-NO"/>
        </w:rPr>
      </w:pPr>
      <w:r w:rsidRPr="00DA1E67">
        <w:rPr>
          <w:rFonts w:cs="CMU Serif Roman"/>
        </w:rPr>
        <w:t xml:space="preserve">Hussey, I., &amp; Drake, C. E. (2020a). The Implicit Relational Assessment Procedure demonstrates poor internal consistency and test-retest reliability: A meta-analysis. </w:t>
      </w:r>
      <w:proofErr w:type="spellStart"/>
      <w:r w:rsidRPr="00DA1E67">
        <w:rPr>
          <w:rFonts w:cs="CMU Serif Roman"/>
          <w:i/>
          <w:iCs/>
          <w:lang w:val="nb-NO"/>
        </w:rPr>
        <w:t>Preprint</w:t>
      </w:r>
      <w:proofErr w:type="spellEnd"/>
      <w:r w:rsidRPr="00DA1E67">
        <w:rPr>
          <w:rFonts w:cs="CMU Serif Roman"/>
          <w:lang w:val="nb-NO"/>
        </w:rPr>
        <w:t>. https://doi.org/10.31234/osf.io/ge3k7</w:t>
      </w:r>
    </w:p>
    <w:p w14:paraId="5A15A5F1" w14:textId="77777777" w:rsidR="00DA1E67" w:rsidRPr="00DA1E67" w:rsidRDefault="00DA1E67" w:rsidP="00DA1E67">
      <w:pPr>
        <w:pStyle w:val="Bibliography"/>
        <w:rPr>
          <w:rFonts w:cs="CMU Serif Roman"/>
        </w:rPr>
      </w:pPr>
      <w:proofErr w:type="spellStart"/>
      <w:r w:rsidRPr="00DA1E67">
        <w:rPr>
          <w:rFonts w:cs="CMU Serif Roman"/>
          <w:lang w:val="nb-NO"/>
        </w:rPr>
        <w:t>Hussey</w:t>
      </w:r>
      <w:proofErr w:type="spellEnd"/>
      <w:r w:rsidRPr="00DA1E67">
        <w:rPr>
          <w:rFonts w:cs="CMU Serif Roman"/>
          <w:lang w:val="nb-NO"/>
        </w:rPr>
        <w:t xml:space="preserve">, I., &amp; Drake, C. E. (2020b). </w:t>
      </w:r>
      <w:r w:rsidRPr="00DA1E67">
        <w:rPr>
          <w:rFonts w:cs="CMU Serif Roman"/>
          <w:i/>
          <w:iCs/>
        </w:rPr>
        <w:t>The Implicit Relational Assessment Procedure is not very sensitive to the attitudes and learning histories it is used to assess</w:t>
      </w:r>
      <w:r w:rsidRPr="00DA1E67">
        <w:rPr>
          <w:rFonts w:cs="CMU Serif Roman"/>
        </w:rPr>
        <w:t xml:space="preserve">. </w:t>
      </w:r>
      <w:proofErr w:type="spellStart"/>
      <w:r w:rsidRPr="00DA1E67">
        <w:rPr>
          <w:rFonts w:cs="CMU Serif Roman"/>
        </w:rPr>
        <w:t>PsyArXiv</w:t>
      </w:r>
      <w:proofErr w:type="spellEnd"/>
      <w:r w:rsidRPr="00DA1E67">
        <w:rPr>
          <w:rFonts w:cs="CMU Serif Roman"/>
        </w:rPr>
        <w:t>. https://doi.org/10.31234/osf.io/sp6jx</w:t>
      </w:r>
    </w:p>
    <w:p w14:paraId="0B8BEF23" w14:textId="77777777" w:rsidR="00DA1E67" w:rsidRPr="00DA1E67" w:rsidRDefault="00DA1E67" w:rsidP="00DA1E67">
      <w:pPr>
        <w:pStyle w:val="Bibliography"/>
        <w:rPr>
          <w:rFonts w:cs="CMU Serif Roman"/>
        </w:rPr>
      </w:pPr>
      <w:r w:rsidRPr="00DA1E67">
        <w:rPr>
          <w:rFonts w:cs="CMU Serif Roman"/>
        </w:rPr>
        <w:lastRenderedPageBreak/>
        <w:t xml:space="preserve">Hussey, I., Hughes, S., Lai, C. K., Ebersole, C. R., </w:t>
      </w:r>
      <w:proofErr w:type="spellStart"/>
      <w:r w:rsidRPr="00DA1E67">
        <w:rPr>
          <w:rFonts w:cs="CMU Serif Roman"/>
        </w:rPr>
        <w:t>Axt</w:t>
      </w:r>
      <w:proofErr w:type="spellEnd"/>
      <w:r w:rsidRPr="00DA1E67">
        <w:rPr>
          <w:rFonts w:cs="CMU Serif Roman"/>
        </w:rPr>
        <w:t xml:space="preserve">, J., &amp; </w:t>
      </w:r>
      <w:proofErr w:type="spellStart"/>
      <w:r w:rsidRPr="00DA1E67">
        <w:rPr>
          <w:rFonts w:cs="CMU Serif Roman"/>
        </w:rPr>
        <w:t>Nosek</w:t>
      </w:r>
      <w:proofErr w:type="spellEnd"/>
      <w:r w:rsidRPr="00DA1E67">
        <w:rPr>
          <w:rFonts w:cs="CMU Serif Roman"/>
        </w:rPr>
        <w:t xml:space="preserve">, B. A. (2019). </w:t>
      </w:r>
      <w:r w:rsidRPr="00DA1E67">
        <w:rPr>
          <w:rFonts w:cs="CMU Serif Roman"/>
          <w:i/>
          <w:iCs/>
        </w:rPr>
        <w:t>The Attitudes, Identities, and Individual Differences (AIID) Study and Dataset</w:t>
      </w:r>
      <w:r w:rsidRPr="00DA1E67">
        <w:rPr>
          <w:rFonts w:cs="CMU Serif Roman"/>
        </w:rPr>
        <w:t>. https://doi.org/10.17605/OSF.IO/PCJWF</w:t>
      </w:r>
    </w:p>
    <w:p w14:paraId="1261CA5D" w14:textId="77777777" w:rsidR="00DA1E67" w:rsidRPr="00DA1E67" w:rsidRDefault="00DA1E67" w:rsidP="00DA1E67">
      <w:pPr>
        <w:pStyle w:val="Bibliography"/>
        <w:rPr>
          <w:rFonts w:cs="CMU Serif Roman"/>
        </w:rPr>
      </w:pPr>
      <w:r w:rsidRPr="00DA1E67">
        <w:rPr>
          <w:rFonts w:cs="CMU Serif Roman"/>
        </w:rPr>
        <w:t xml:space="preserve">Hussey, I., Thompson, M., </w:t>
      </w:r>
      <w:proofErr w:type="spellStart"/>
      <w:r w:rsidRPr="00DA1E67">
        <w:rPr>
          <w:rFonts w:cs="CMU Serif Roman"/>
        </w:rPr>
        <w:t>McEnteggart</w:t>
      </w:r>
      <w:proofErr w:type="spellEnd"/>
      <w:r w:rsidRPr="00DA1E67">
        <w:rPr>
          <w:rFonts w:cs="CMU Serif Roman"/>
        </w:rPr>
        <w:t xml:space="preserve">, C., Barnes-Holmes, D., &amp; Barnes-Holmes, Y. (2015). Interpreting and inverting with less cursing: A guide to interpreting IRAP data. </w:t>
      </w:r>
      <w:r w:rsidRPr="00DA1E67">
        <w:rPr>
          <w:rFonts w:cs="CMU Serif Roman"/>
          <w:i/>
          <w:iCs/>
        </w:rPr>
        <w:t>Journal of Contextual Behavioral Science</w:t>
      </w:r>
      <w:r w:rsidRPr="00DA1E67">
        <w:rPr>
          <w:rFonts w:cs="CMU Serif Roman"/>
        </w:rPr>
        <w:t xml:space="preserve">, </w:t>
      </w:r>
      <w:r w:rsidRPr="00DA1E67">
        <w:rPr>
          <w:rFonts w:cs="CMU Serif Roman"/>
          <w:i/>
          <w:iCs/>
        </w:rPr>
        <w:t>4</w:t>
      </w:r>
      <w:r w:rsidRPr="00DA1E67">
        <w:rPr>
          <w:rFonts w:cs="CMU Serif Roman"/>
        </w:rPr>
        <w:t>(3), 157–162. https://doi.org/10.1016/j.jcbs.2015.05.001</w:t>
      </w:r>
    </w:p>
    <w:p w14:paraId="4C9D118C" w14:textId="77777777" w:rsidR="00DA1E67" w:rsidRPr="00DA1E67" w:rsidRDefault="00DA1E67" w:rsidP="00DA1E67">
      <w:pPr>
        <w:pStyle w:val="Bibliography"/>
        <w:rPr>
          <w:rFonts w:cs="CMU Serif Roman"/>
        </w:rPr>
      </w:pPr>
      <w:r w:rsidRPr="00DA1E67">
        <w:rPr>
          <w:rFonts w:cs="CMU Serif Roman"/>
        </w:rPr>
        <w:t xml:space="preserve">Kavanagh, D., Barnes-Holmes, Y., &amp; Barnes-Holmes, D. (2022). Attempting to Analyze Perspective-Taking with a False Belief Vignette Using the Implicit Relational Assessment Procedure. </w:t>
      </w:r>
      <w:r w:rsidRPr="00DA1E67">
        <w:rPr>
          <w:rFonts w:cs="CMU Serif Roman"/>
          <w:i/>
          <w:iCs/>
        </w:rPr>
        <w:t>The Psychological Record</w:t>
      </w:r>
      <w:r w:rsidRPr="00DA1E67">
        <w:rPr>
          <w:rFonts w:cs="CMU Serif Roman"/>
        </w:rPr>
        <w:t>. https://doi.org/10.1007/s40732-021-00500-y</w:t>
      </w:r>
    </w:p>
    <w:p w14:paraId="40B717CD" w14:textId="77777777" w:rsidR="00DA1E67" w:rsidRPr="00DA1E67" w:rsidRDefault="00DA1E67" w:rsidP="00DA1E67">
      <w:pPr>
        <w:pStyle w:val="Bibliography"/>
        <w:rPr>
          <w:rFonts w:cs="CMU Serif Roman"/>
        </w:rPr>
      </w:pPr>
      <w:r w:rsidRPr="00DA1E67">
        <w:rPr>
          <w:rFonts w:cs="CMU Serif Roman"/>
        </w:rPr>
        <w:t xml:space="preserve">Kavanagh, D., Hussey, I., </w:t>
      </w:r>
      <w:proofErr w:type="spellStart"/>
      <w:r w:rsidRPr="00DA1E67">
        <w:rPr>
          <w:rFonts w:cs="CMU Serif Roman"/>
        </w:rPr>
        <w:t>McEnteggart</w:t>
      </w:r>
      <w:proofErr w:type="spellEnd"/>
      <w:r w:rsidRPr="00DA1E67">
        <w:rPr>
          <w:rFonts w:cs="CMU Serif Roman"/>
        </w:rPr>
        <w:t xml:space="preserve">, C., Barnes-Holmes, Y., &amp; Barnes-Holmes, D. (2016). Using the IRAP to explore natural language statements. </w:t>
      </w:r>
      <w:r w:rsidRPr="00DA1E67">
        <w:rPr>
          <w:rFonts w:cs="CMU Serif Roman"/>
          <w:i/>
          <w:iCs/>
        </w:rPr>
        <w:t>Journal of Contextual Behavioral Science</w:t>
      </w:r>
      <w:r w:rsidRPr="00DA1E67">
        <w:rPr>
          <w:rFonts w:cs="CMU Serif Roman"/>
        </w:rPr>
        <w:t xml:space="preserve">, </w:t>
      </w:r>
      <w:r w:rsidRPr="00DA1E67">
        <w:rPr>
          <w:rFonts w:cs="CMU Serif Roman"/>
          <w:i/>
          <w:iCs/>
        </w:rPr>
        <w:t>5</w:t>
      </w:r>
      <w:r w:rsidRPr="00DA1E67">
        <w:rPr>
          <w:rFonts w:cs="CMU Serif Roman"/>
        </w:rPr>
        <w:t>(4), 247–251. https://doi.org/10.1016/j.jcbs.2016.10.001</w:t>
      </w:r>
    </w:p>
    <w:p w14:paraId="4B18FB8C" w14:textId="77777777" w:rsidR="00DA1E67" w:rsidRPr="00DA1E67" w:rsidRDefault="00DA1E67" w:rsidP="00DA1E67">
      <w:pPr>
        <w:pStyle w:val="Bibliography"/>
        <w:rPr>
          <w:rFonts w:cs="CMU Serif Roman"/>
        </w:rPr>
      </w:pPr>
      <w:proofErr w:type="spellStart"/>
      <w:r w:rsidRPr="00DA1E67">
        <w:rPr>
          <w:rFonts w:cs="CMU Serif Roman"/>
        </w:rPr>
        <w:t>Lenth</w:t>
      </w:r>
      <w:proofErr w:type="spellEnd"/>
      <w:r w:rsidRPr="00DA1E67">
        <w:rPr>
          <w:rFonts w:cs="CMU Serif Roman"/>
        </w:rPr>
        <w:t xml:space="preserve">, R. V., </w:t>
      </w:r>
      <w:proofErr w:type="spellStart"/>
      <w:r w:rsidRPr="00DA1E67">
        <w:rPr>
          <w:rFonts w:cs="CMU Serif Roman"/>
        </w:rPr>
        <w:t>Buerkner</w:t>
      </w:r>
      <w:proofErr w:type="spellEnd"/>
      <w:r w:rsidRPr="00DA1E67">
        <w:rPr>
          <w:rFonts w:cs="CMU Serif Roman"/>
        </w:rPr>
        <w:t xml:space="preserve">, P., Herve, M., Jung, M., Love, J., </w:t>
      </w:r>
      <w:proofErr w:type="spellStart"/>
      <w:r w:rsidRPr="00DA1E67">
        <w:rPr>
          <w:rFonts w:cs="CMU Serif Roman"/>
        </w:rPr>
        <w:t>Miguez</w:t>
      </w:r>
      <w:proofErr w:type="spellEnd"/>
      <w:r w:rsidRPr="00DA1E67">
        <w:rPr>
          <w:rFonts w:cs="CMU Serif Roman"/>
        </w:rPr>
        <w:t xml:space="preserve">, F., </w:t>
      </w:r>
      <w:proofErr w:type="spellStart"/>
      <w:r w:rsidRPr="00DA1E67">
        <w:rPr>
          <w:rFonts w:cs="CMU Serif Roman"/>
        </w:rPr>
        <w:t>Riebl</w:t>
      </w:r>
      <w:proofErr w:type="spellEnd"/>
      <w:r w:rsidRPr="00DA1E67">
        <w:rPr>
          <w:rFonts w:cs="CMU Serif Roman"/>
        </w:rPr>
        <w:t xml:space="preserve">, H., &amp; </w:t>
      </w:r>
      <w:proofErr w:type="spellStart"/>
      <w:r w:rsidRPr="00DA1E67">
        <w:rPr>
          <w:rFonts w:cs="CMU Serif Roman"/>
        </w:rPr>
        <w:t>Singmann</w:t>
      </w:r>
      <w:proofErr w:type="spellEnd"/>
      <w:r w:rsidRPr="00DA1E67">
        <w:rPr>
          <w:rFonts w:cs="CMU Serif Roman"/>
        </w:rPr>
        <w:t xml:space="preserve">, H. (2022). </w:t>
      </w:r>
      <w:proofErr w:type="spellStart"/>
      <w:r w:rsidRPr="00DA1E67">
        <w:rPr>
          <w:rFonts w:cs="CMU Serif Roman"/>
          <w:i/>
          <w:iCs/>
        </w:rPr>
        <w:t>emmeans</w:t>
      </w:r>
      <w:proofErr w:type="spellEnd"/>
      <w:r w:rsidRPr="00DA1E67">
        <w:rPr>
          <w:rFonts w:cs="CMU Serif Roman"/>
          <w:i/>
          <w:iCs/>
        </w:rPr>
        <w:t>: Estimated Marginal Means, aka Least-Squares Means</w:t>
      </w:r>
      <w:r w:rsidRPr="00DA1E67">
        <w:rPr>
          <w:rFonts w:cs="CMU Serif Roman"/>
        </w:rPr>
        <w:t xml:space="preserve"> (1.8.0). https://CRAN.R-project.org/package=emmeans</w:t>
      </w:r>
    </w:p>
    <w:p w14:paraId="18770F2A" w14:textId="77777777" w:rsidR="00DA1E67" w:rsidRPr="00DA1E67" w:rsidRDefault="00DA1E67" w:rsidP="00DA1E67">
      <w:pPr>
        <w:pStyle w:val="Bibliography"/>
        <w:rPr>
          <w:rFonts w:cs="CMU Serif Roman"/>
        </w:rPr>
      </w:pPr>
      <w:proofErr w:type="spellStart"/>
      <w:r w:rsidRPr="00DA1E67">
        <w:rPr>
          <w:rFonts w:cs="CMU Serif Roman"/>
          <w:lang w:val="nl-NL"/>
        </w:rPr>
        <w:t>Levin</w:t>
      </w:r>
      <w:proofErr w:type="spellEnd"/>
      <w:r w:rsidRPr="00DA1E67">
        <w:rPr>
          <w:rFonts w:cs="CMU Serif Roman"/>
          <w:lang w:val="nl-NL"/>
        </w:rPr>
        <w:t xml:space="preserve">, M. E., Hayes, S. C., &amp; </w:t>
      </w:r>
      <w:proofErr w:type="spellStart"/>
      <w:r w:rsidRPr="00DA1E67">
        <w:rPr>
          <w:rFonts w:cs="CMU Serif Roman"/>
          <w:lang w:val="nl-NL"/>
        </w:rPr>
        <w:t>Waltz</w:t>
      </w:r>
      <w:proofErr w:type="spellEnd"/>
      <w:r w:rsidRPr="00DA1E67">
        <w:rPr>
          <w:rFonts w:cs="CMU Serif Roman"/>
          <w:lang w:val="nl-NL"/>
        </w:rPr>
        <w:t xml:space="preserve">, T. (2010). </w:t>
      </w:r>
      <w:r w:rsidRPr="00DA1E67">
        <w:rPr>
          <w:rFonts w:cs="CMU Serif Roman"/>
        </w:rPr>
        <w:t xml:space="preserve">Creating an implicit measure of cognition more suited to applied research: A test of the Mixed Trial—Implicit Relational Assessment Procedure (MT-IRAP). </w:t>
      </w:r>
      <w:r w:rsidRPr="00DA1E67">
        <w:rPr>
          <w:rFonts w:cs="CMU Serif Roman"/>
          <w:i/>
          <w:iCs/>
        </w:rPr>
        <w:t>International Journal of Behavioral Consultation and Therapy</w:t>
      </w:r>
      <w:r w:rsidRPr="00DA1E67">
        <w:rPr>
          <w:rFonts w:cs="CMU Serif Roman"/>
        </w:rPr>
        <w:t xml:space="preserve">, </w:t>
      </w:r>
      <w:r w:rsidRPr="00DA1E67">
        <w:rPr>
          <w:rFonts w:cs="CMU Serif Roman"/>
          <w:i/>
          <w:iCs/>
        </w:rPr>
        <w:t>6</w:t>
      </w:r>
      <w:r w:rsidRPr="00DA1E67">
        <w:rPr>
          <w:rFonts w:cs="CMU Serif Roman"/>
        </w:rPr>
        <w:t xml:space="preserve">(3), 245–262. </w:t>
      </w:r>
      <w:proofErr w:type="spellStart"/>
      <w:r w:rsidRPr="00DA1E67">
        <w:rPr>
          <w:rFonts w:cs="CMU Serif Roman"/>
        </w:rPr>
        <w:t>psyh</w:t>
      </w:r>
      <w:proofErr w:type="spellEnd"/>
      <w:r w:rsidRPr="00DA1E67">
        <w:rPr>
          <w:rFonts w:cs="CMU Serif Roman"/>
        </w:rPr>
        <w:t>. https://doi.org/10.1037/h0100911</w:t>
      </w:r>
    </w:p>
    <w:p w14:paraId="2A8D87EA" w14:textId="77777777" w:rsidR="00DA1E67" w:rsidRPr="00DA1E67" w:rsidRDefault="00DA1E67" w:rsidP="00DA1E67">
      <w:pPr>
        <w:pStyle w:val="Bibliography"/>
        <w:rPr>
          <w:rFonts w:cs="CMU Serif Roman"/>
        </w:rPr>
      </w:pPr>
      <w:proofErr w:type="spellStart"/>
      <w:r w:rsidRPr="00DA1E67">
        <w:rPr>
          <w:rFonts w:cs="CMU Serif Roman"/>
          <w:lang w:val="nl-NL"/>
        </w:rPr>
        <w:t>Liefooghe</w:t>
      </w:r>
      <w:proofErr w:type="spellEnd"/>
      <w:r w:rsidRPr="00DA1E67">
        <w:rPr>
          <w:rFonts w:cs="CMU Serif Roman"/>
          <w:lang w:val="nl-NL"/>
        </w:rPr>
        <w:t xml:space="preserve">, B., </w:t>
      </w:r>
      <w:proofErr w:type="spellStart"/>
      <w:r w:rsidRPr="00DA1E67">
        <w:rPr>
          <w:rFonts w:cs="CMU Serif Roman"/>
          <w:lang w:val="nl-NL"/>
        </w:rPr>
        <w:t>Hughes</w:t>
      </w:r>
      <w:proofErr w:type="spellEnd"/>
      <w:r w:rsidRPr="00DA1E67">
        <w:rPr>
          <w:rFonts w:cs="CMU Serif Roman"/>
          <w:lang w:val="nl-NL"/>
        </w:rPr>
        <w:t xml:space="preserve">, S., Schmidt, J., &amp; De Houwer, J. (2019). </w:t>
      </w:r>
      <w:r w:rsidRPr="00DA1E67">
        <w:rPr>
          <w:rFonts w:cs="CMU Serif Roman"/>
        </w:rPr>
        <w:t xml:space="preserve">Stroop-like effects of derived stimulus-stimulus relations. </w:t>
      </w:r>
      <w:r w:rsidRPr="00DA1E67">
        <w:rPr>
          <w:rFonts w:cs="CMU Serif Roman"/>
          <w:i/>
          <w:iCs/>
        </w:rPr>
        <w:t>Journal of Experimental Psychology. Learning, Memory, and Cognition</w:t>
      </w:r>
      <w:r w:rsidRPr="00DA1E67">
        <w:rPr>
          <w:rFonts w:cs="CMU Serif Roman"/>
        </w:rPr>
        <w:t xml:space="preserve">, </w:t>
      </w:r>
      <w:r w:rsidRPr="00DA1E67">
        <w:rPr>
          <w:rFonts w:cs="CMU Serif Roman"/>
          <w:i/>
          <w:iCs/>
        </w:rPr>
        <w:t>46</w:t>
      </w:r>
      <w:r w:rsidRPr="00DA1E67">
        <w:rPr>
          <w:rFonts w:cs="CMU Serif Roman"/>
        </w:rPr>
        <w:t>(2), 327–349. https://doi.org/10.1037/xlm0000724</w:t>
      </w:r>
    </w:p>
    <w:p w14:paraId="12A3E4B1" w14:textId="77777777" w:rsidR="00DA1E67" w:rsidRPr="00DA1E67" w:rsidRDefault="00DA1E67" w:rsidP="00DA1E67">
      <w:pPr>
        <w:pStyle w:val="Bibliography"/>
        <w:rPr>
          <w:rFonts w:cs="CMU Serif Roman"/>
        </w:rPr>
      </w:pPr>
      <w:r w:rsidRPr="00DA1E67">
        <w:rPr>
          <w:rFonts w:cs="CMU Serif Roman"/>
        </w:rPr>
        <w:lastRenderedPageBreak/>
        <w:t>Makowski, D., Ben-</w:t>
      </w:r>
      <w:proofErr w:type="spellStart"/>
      <w:r w:rsidRPr="00DA1E67">
        <w:rPr>
          <w:rFonts w:cs="CMU Serif Roman"/>
        </w:rPr>
        <w:t>Shachar</w:t>
      </w:r>
      <w:proofErr w:type="spellEnd"/>
      <w:r w:rsidRPr="00DA1E67">
        <w:rPr>
          <w:rFonts w:cs="CMU Serif Roman"/>
        </w:rPr>
        <w:t xml:space="preserve">, M. S., &amp; </w:t>
      </w:r>
      <w:proofErr w:type="spellStart"/>
      <w:r w:rsidRPr="00DA1E67">
        <w:rPr>
          <w:rFonts w:cs="CMU Serif Roman"/>
        </w:rPr>
        <w:t>Lüdecke</w:t>
      </w:r>
      <w:proofErr w:type="spellEnd"/>
      <w:r w:rsidRPr="00DA1E67">
        <w:rPr>
          <w:rFonts w:cs="CMU Serif Roman"/>
        </w:rPr>
        <w:t xml:space="preserve">, D. (2019). </w:t>
      </w:r>
      <w:proofErr w:type="spellStart"/>
      <w:r w:rsidRPr="00DA1E67">
        <w:rPr>
          <w:rFonts w:cs="CMU Serif Roman"/>
        </w:rPr>
        <w:t>bayestestR</w:t>
      </w:r>
      <w:proofErr w:type="spellEnd"/>
      <w:r w:rsidRPr="00DA1E67">
        <w:rPr>
          <w:rFonts w:cs="CMU Serif Roman"/>
        </w:rPr>
        <w:t xml:space="preserve">: Describing Effects and their Uncertainty, Existence and Significance within the Bayesian Framework. </w:t>
      </w:r>
      <w:r w:rsidRPr="00DA1E67">
        <w:rPr>
          <w:rFonts w:cs="CMU Serif Roman"/>
          <w:i/>
          <w:iCs/>
        </w:rPr>
        <w:t xml:space="preserve">Journal of </w:t>
      </w:r>
      <w:proofErr w:type="gramStart"/>
      <w:r w:rsidRPr="00DA1E67">
        <w:rPr>
          <w:rFonts w:cs="CMU Serif Roman"/>
          <w:i/>
          <w:iCs/>
        </w:rPr>
        <w:t>Open Source</w:t>
      </w:r>
      <w:proofErr w:type="gramEnd"/>
      <w:r w:rsidRPr="00DA1E67">
        <w:rPr>
          <w:rFonts w:cs="CMU Serif Roman"/>
          <w:i/>
          <w:iCs/>
        </w:rPr>
        <w:t xml:space="preserve"> Software</w:t>
      </w:r>
      <w:r w:rsidRPr="00DA1E67">
        <w:rPr>
          <w:rFonts w:cs="CMU Serif Roman"/>
        </w:rPr>
        <w:t xml:space="preserve">, </w:t>
      </w:r>
      <w:r w:rsidRPr="00DA1E67">
        <w:rPr>
          <w:rFonts w:cs="CMU Serif Roman"/>
          <w:i/>
          <w:iCs/>
        </w:rPr>
        <w:t>4</w:t>
      </w:r>
      <w:r w:rsidRPr="00DA1E67">
        <w:rPr>
          <w:rFonts w:cs="CMU Serif Roman"/>
        </w:rPr>
        <w:t>(40), 1541. https://doi.org/10.21105/joss.01541</w:t>
      </w:r>
    </w:p>
    <w:p w14:paraId="3489151F" w14:textId="77777777" w:rsidR="00DA1E67" w:rsidRPr="00DA1E67" w:rsidRDefault="00DA1E67" w:rsidP="00DA1E67">
      <w:pPr>
        <w:pStyle w:val="Bibliography"/>
        <w:rPr>
          <w:rFonts w:cs="CMU Serif Roman"/>
        </w:rPr>
      </w:pPr>
      <w:r w:rsidRPr="00DA1E67">
        <w:rPr>
          <w:rFonts w:cs="CMU Serif Roman"/>
        </w:rPr>
        <w:t xml:space="preserve">Mooney, C. Z., Mooney, C. F., Mooney, C. L., Duval, R. D., &amp; Duvall, R. (1993). </w:t>
      </w:r>
      <w:r w:rsidRPr="00DA1E67">
        <w:rPr>
          <w:rFonts w:cs="CMU Serif Roman"/>
          <w:i/>
          <w:iCs/>
        </w:rPr>
        <w:t>Bootstrapping: A nonparametric approach to statistical inference</w:t>
      </w:r>
      <w:r w:rsidRPr="00DA1E67">
        <w:rPr>
          <w:rFonts w:cs="CMU Serif Roman"/>
        </w:rPr>
        <w:t>. sage.</w:t>
      </w:r>
    </w:p>
    <w:p w14:paraId="09FC104B" w14:textId="77777777" w:rsidR="00DA1E67" w:rsidRPr="00DA1E67" w:rsidRDefault="00DA1E67" w:rsidP="00DA1E67">
      <w:pPr>
        <w:pStyle w:val="Bibliography"/>
        <w:rPr>
          <w:rFonts w:cs="CMU Serif Roman"/>
        </w:rPr>
      </w:pPr>
      <w:r w:rsidRPr="00DA1E67">
        <w:rPr>
          <w:rFonts w:cs="CMU Serif Roman"/>
        </w:rPr>
        <w:t xml:space="preserve">Murphy, C., Lyons, K., Kelly, M., Barnes-Holmes, Y., &amp; Barnes-Holmes, D. (2019). Using the Teacher IRAP (T-IRAP) interactive computerized </w:t>
      </w:r>
      <w:proofErr w:type="spellStart"/>
      <w:r w:rsidRPr="00DA1E67">
        <w:rPr>
          <w:rFonts w:cs="CMU Serif Roman"/>
        </w:rPr>
        <w:t>programme</w:t>
      </w:r>
      <w:proofErr w:type="spellEnd"/>
      <w:r w:rsidRPr="00DA1E67">
        <w:rPr>
          <w:rFonts w:cs="CMU Serif Roman"/>
        </w:rPr>
        <w:t xml:space="preserve"> to teach complex flexible relational responding with children with diagnosed autism spectrum disorder. </w:t>
      </w:r>
      <w:r w:rsidRPr="00DA1E67">
        <w:rPr>
          <w:rFonts w:cs="CMU Serif Roman"/>
          <w:i/>
          <w:iCs/>
        </w:rPr>
        <w:t>Behavior Analysis in Practice</w:t>
      </w:r>
      <w:r w:rsidRPr="00DA1E67">
        <w:rPr>
          <w:rFonts w:cs="CMU Serif Roman"/>
        </w:rPr>
        <w:t xml:space="preserve">, </w:t>
      </w:r>
      <w:r w:rsidRPr="00DA1E67">
        <w:rPr>
          <w:rFonts w:cs="CMU Serif Roman"/>
          <w:i/>
          <w:iCs/>
        </w:rPr>
        <w:t>12</w:t>
      </w:r>
      <w:r w:rsidRPr="00DA1E67">
        <w:rPr>
          <w:rFonts w:cs="CMU Serif Roman"/>
        </w:rPr>
        <w:t>(1), 52–65. https://doi.org/10.1007/s40617-018-00302-9</w:t>
      </w:r>
    </w:p>
    <w:p w14:paraId="2609D268" w14:textId="77777777" w:rsidR="00DA1E67" w:rsidRPr="00DA1E67" w:rsidRDefault="00DA1E67" w:rsidP="00DA1E67">
      <w:pPr>
        <w:pStyle w:val="Bibliography"/>
        <w:rPr>
          <w:rFonts w:cs="CMU Serif Roman"/>
        </w:rPr>
      </w:pPr>
      <w:proofErr w:type="spellStart"/>
      <w:r w:rsidRPr="00DA1E67">
        <w:rPr>
          <w:rFonts w:cs="CMU Serif Roman"/>
        </w:rPr>
        <w:t>Nosek</w:t>
      </w:r>
      <w:proofErr w:type="spellEnd"/>
      <w:r w:rsidRPr="00DA1E67">
        <w:rPr>
          <w:rFonts w:cs="CMU Serif Roman"/>
        </w:rPr>
        <w:t xml:space="preserve">, B. A., Greenwald, A. G., &amp; Banaji, M. R. (2005). Understanding and using the Implicit Association Test: II. Method variables and construct validity. </w:t>
      </w:r>
      <w:r w:rsidRPr="00DA1E67">
        <w:rPr>
          <w:rFonts w:cs="CMU Serif Roman"/>
          <w:i/>
          <w:iCs/>
        </w:rPr>
        <w:t>Personality &amp; Social Psychology Bulletin</w:t>
      </w:r>
      <w:r w:rsidRPr="00DA1E67">
        <w:rPr>
          <w:rFonts w:cs="CMU Serif Roman"/>
        </w:rPr>
        <w:t xml:space="preserve">, </w:t>
      </w:r>
      <w:r w:rsidRPr="00DA1E67">
        <w:rPr>
          <w:rFonts w:cs="CMU Serif Roman"/>
          <w:i/>
          <w:iCs/>
        </w:rPr>
        <w:t>31</w:t>
      </w:r>
      <w:r w:rsidRPr="00DA1E67">
        <w:rPr>
          <w:rFonts w:cs="CMU Serif Roman"/>
        </w:rPr>
        <w:t>(2), 166–180. https://doi.org/10.1177/0146167204271418</w:t>
      </w:r>
    </w:p>
    <w:p w14:paraId="61D9AC5B" w14:textId="77777777" w:rsidR="00DA1E67" w:rsidRPr="00DA1E67" w:rsidRDefault="00DA1E67" w:rsidP="00DA1E67">
      <w:pPr>
        <w:pStyle w:val="Bibliography"/>
        <w:rPr>
          <w:rFonts w:cs="CMU Serif Roman"/>
        </w:rPr>
      </w:pPr>
      <w:proofErr w:type="spellStart"/>
      <w:r w:rsidRPr="00DA1E67">
        <w:rPr>
          <w:rFonts w:cs="CMU Serif Roman"/>
        </w:rPr>
        <w:t>Nosek</w:t>
      </w:r>
      <w:proofErr w:type="spellEnd"/>
      <w:r w:rsidRPr="00DA1E67">
        <w:rPr>
          <w:rFonts w:cs="CMU Serif Roman"/>
        </w:rPr>
        <w:t xml:space="preserve">, B. A., Smyth, F. L., Hansen, J. J., Devos, T., Lindner, N. M., </w:t>
      </w:r>
      <w:proofErr w:type="spellStart"/>
      <w:r w:rsidRPr="00DA1E67">
        <w:rPr>
          <w:rFonts w:cs="CMU Serif Roman"/>
        </w:rPr>
        <w:t>Ranganath</w:t>
      </w:r>
      <w:proofErr w:type="spellEnd"/>
      <w:r w:rsidRPr="00DA1E67">
        <w:rPr>
          <w:rFonts w:cs="CMU Serif Roman"/>
        </w:rPr>
        <w:t xml:space="preserve">, K. A., Smith, C. T., Olson, K. R., </w:t>
      </w:r>
      <w:proofErr w:type="spellStart"/>
      <w:r w:rsidRPr="00DA1E67">
        <w:rPr>
          <w:rFonts w:cs="CMU Serif Roman"/>
        </w:rPr>
        <w:t>Chugh</w:t>
      </w:r>
      <w:proofErr w:type="spellEnd"/>
      <w:r w:rsidRPr="00DA1E67">
        <w:rPr>
          <w:rFonts w:cs="CMU Serif Roman"/>
        </w:rPr>
        <w:t xml:space="preserve">, D., Greenwald, A. G., &amp; Banaji, M. R. (2007). Pervasiveness and correlates of implicit attitudes and stereotypes. </w:t>
      </w:r>
      <w:r w:rsidRPr="00DA1E67">
        <w:rPr>
          <w:rFonts w:cs="CMU Serif Roman"/>
          <w:i/>
          <w:iCs/>
        </w:rPr>
        <w:t>European Review of Social Psychology</w:t>
      </w:r>
      <w:r w:rsidRPr="00DA1E67">
        <w:rPr>
          <w:rFonts w:cs="CMU Serif Roman"/>
        </w:rPr>
        <w:t xml:space="preserve">, </w:t>
      </w:r>
      <w:r w:rsidRPr="00DA1E67">
        <w:rPr>
          <w:rFonts w:cs="CMU Serif Roman"/>
          <w:i/>
          <w:iCs/>
        </w:rPr>
        <w:t>18</w:t>
      </w:r>
      <w:r w:rsidRPr="00DA1E67">
        <w:rPr>
          <w:rFonts w:cs="CMU Serif Roman"/>
        </w:rPr>
        <w:t>(1), 36–88. https://doi.org/10.1080/10463280701489053</w:t>
      </w:r>
    </w:p>
    <w:p w14:paraId="76B61152" w14:textId="77777777" w:rsidR="00DA1E67" w:rsidRPr="00DA1E67" w:rsidRDefault="00DA1E67" w:rsidP="00DA1E67">
      <w:pPr>
        <w:pStyle w:val="Bibliography"/>
        <w:rPr>
          <w:rFonts w:cs="CMU Serif Roman"/>
        </w:rPr>
      </w:pPr>
      <w:r w:rsidRPr="00DA1E67">
        <w:rPr>
          <w:rFonts w:cs="CMU Serif Roman"/>
        </w:rPr>
        <w:t xml:space="preserve">O’Shea, B., Watson, D. G., &amp; Brown, G. D. A. (2016). Measuring implicit attitudes: A positive framing bias flaw in the Implicit Relational Assessment Procedure (IRAP). </w:t>
      </w:r>
      <w:r w:rsidRPr="00DA1E67">
        <w:rPr>
          <w:rFonts w:cs="CMU Serif Roman"/>
          <w:i/>
          <w:iCs/>
        </w:rPr>
        <w:t>Psychological Assessment</w:t>
      </w:r>
      <w:r w:rsidRPr="00DA1E67">
        <w:rPr>
          <w:rFonts w:cs="CMU Serif Roman"/>
        </w:rPr>
        <w:t xml:space="preserve">, </w:t>
      </w:r>
      <w:r w:rsidRPr="00DA1E67">
        <w:rPr>
          <w:rFonts w:cs="CMU Serif Roman"/>
          <w:i/>
          <w:iCs/>
        </w:rPr>
        <w:t>28</w:t>
      </w:r>
      <w:r w:rsidRPr="00DA1E67">
        <w:rPr>
          <w:rFonts w:cs="CMU Serif Roman"/>
        </w:rPr>
        <w:t>(2), 158–170. https://doi.org/10.1037/pas0000172</w:t>
      </w:r>
    </w:p>
    <w:p w14:paraId="41C37711" w14:textId="77777777" w:rsidR="00DA1E67" w:rsidRPr="00DA1E67" w:rsidRDefault="00DA1E67" w:rsidP="00DA1E67">
      <w:pPr>
        <w:pStyle w:val="Bibliography"/>
        <w:rPr>
          <w:rFonts w:cs="CMU Serif Roman"/>
        </w:rPr>
      </w:pPr>
      <w:r w:rsidRPr="00DA1E67">
        <w:rPr>
          <w:rFonts w:cs="CMU Serif Roman"/>
        </w:rPr>
        <w:t xml:space="preserve">Ratcliff, R. (1993). Methods for dealing with reaction time outliers. </w:t>
      </w:r>
      <w:r w:rsidRPr="00DA1E67">
        <w:rPr>
          <w:rFonts w:cs="CMU Serif Roman"/>
          <w:i/>
          <w:iCs/>
        </w:rPr>
        <w:t>Psychological Bulletin</w:t>
      </w:r>
      <w:r w:rsidRPr="00DA1E67">
        <w:rPr>
          <w:rFonts w:cs="CMU Serif Roman"/>
        </w:rPr>
        <w:t xml:space="preserve">, </w:t>
      </w:r>
      <w:r w:rsidRPr="00DA1E67">
        <w:rPr>
          <w:rFonts w:cs="CMU Serif Roman"/>
          <w:i/>
          <w:iCs/>
        </w:rPr>
        <w:t>114</w:t>
      </w:r>
      <w:r w:rsidRPr="00DA1E67">
        <w:rPr>
          <w:rFonts w:cs="CMU Serif Roman"/>
        </w:rPr>
        <w:t>(4), 510–532. https://doi.org/10.1037/0033-2909.114.3.510</w:t>
      </w:r>
    </w:p>
    <w:p w14:paraId="02BB9FD2" w14:textId="77777777" w:rsidR="00DA1E67" w:rsidRPr="00DA1E67" w:rsidRDefault="00DA1E67" w:rsidP="00DA1E67">
      <w:pPr>
        <w:pStyle w:val="Bibliography"/>
        <w:rPr>
          <w:rFonts w:cs="CMU Serif Roman"/>
        </w:rPr>
      </w:pPr>
      <w:proofErr w:type="spellStart"/>
      <w:r w:rsidRPr="00DA1E67">
        <w:rPr>
          <w:rFonts w:cs="CMU Serif Roman"/>
        </w:rPr>
        <w:t>Ruscio</w:t>
      </w:r>
      <w:proofErr w:type="spellEnd"/>
      <w:r w:rsidRPr="00DA1E67">
        <w:rPr>
          <w:rFonts w:cs="CMU Serif Roman"/>
        </w:rPr>
        <w:t xml:space="preserve">, J. (2008). A probability-based measure of effect size: Robustness to base rates and other factors. </w:t>
      </w:r>
      <w:r w:rsidRPr="00DA1E67">
        <w:rPr>
          <w:rFonts w:cs="CMU Serif Roman"/>
          <w:i/>
          <w:iCs/>
        </w:rPr>
        <w:t>Psychological Methods</w:t>
      </w:r>
      <w:r w:rsidRPr="00DA1E67">
        <w:rPr>
          <w:rFonts w:cs="CMU Serif Roman"/>
        </w:rPr>
        <w:t xml:space="preserve">, </w:t>
      </w:r>
      <w:r w:rsidRPr="00DA1E67">
        <w:rPr>
          <w:rFonts w:cs="CMU Serif Roman"/>
          <w:i/>
          <w:iCs/>
        </w:rPr>
        <w:t>13</w:t>
      </w:r>
      <w:r w:rsidRPr="00DA1E67">
        <w:rPr>
          <w:rFonts w:cs="CMU Serif Roman"/>
        </w:rPr>
        <w:t>(1), 19–30. https://doi.org/10.1037/1082-989X.13.1.19</w:t>
      </w:r>
    </w:p>
    <w:p w14:paraId="72EEEA31" w14:textId="77777777" w:rsidR="00DA1E67" w:rsidRPr="00DA1E67" w:rsidRDefault="00DA1E67" w:rsidP="00DA1E67">
      <w:pPr>
        <w:pStyle w:val="Bibliography"/>
        <w:rPr>
          <w:rFonts w:cs="CMU Serif Roman"/>
        </w:rPr>
      </w:pPr>
      <w:proofErr w:type="spellStart"/>
      <w:r w:rsidRPr="00DA1E67">
        <w:rPr>
          <w:rFonts w:cs="CMU Serif Roman"/>
        </w:rPr>
        <w:lastRenderedPageBreak/>
        <w:t>Swinscow</w:t>
      </w:r>
      <w:proofErr w:type="spellEnd"/>
      <w:r w:rsidRPr="00DA1E67">
        <w:rPr>
          <w:rFonts w:cs="CMU Serif Roman"/>
        </w:rPr>
        <w:t xml:space="preserve">, T. D. V., &amp; Campbell, M. J. (1997). </w:t>
      </w:r>
      <w:r w:rsidRPr="00DA1E67">
        <w:rPr>
          <w:rFonts w:cs="CMU Serif Roman"/>
          <w:i/>
          <w:iCs/>
        </w:rPr>
        <w:t>Statistics at Square One</w:t>
      </w:r>
      <w:r w:rsidRPr="00DA1E67">
        <w:rPr>
          <w:rFonts w:cs="CMU Serif Roman"/>
        </w:rPr>
        <w:t xml:space="preserve"> (9th Ed.). BMJ Publishing Group. https://www.bmj.com/about-bmj/resources-readers/publications/statistics-square-one</w:t>
      </w:r>
    </w:p>
    <w:p w14:paraId="529B4EC4" w14:textId="77777777" w:rsidR="00DA1E67" w:rsidRPr="00DA1E67" w:rsidRDefault="00DA1E67" w:rsidP="00DA1E67">
      <w:pPr>
        <w:pStyle w:val="Bibliography"/>
        <w:rPr>
          <w:rFonts w:cs="CMU Serif Roman"/>
        </w:rPr>
      </w:pPr>
      <w:proofErr w:type="spellStart"/>
      <w:r w:rsidRPr="00DA1E67">
        <w:rPr>
          <w:rFonts w:cs="CMU Serif Roman"/>
        </w:rPr>
        <w:t>Vahey</w:t>
      </w:r>
      <w:proofErr w:type="spellEnd"/>
      <w:r w:rsidRPr="00DA1E67">
        <w:rPr>
          <w:rFonts w:cs="CMU Serif Roman"/>
        </w:rPr>
        <w:t xml:space="preserve">, N. A., Nicholson, E., &amp; Barnes-Holmes, D. (2015). A meta-analysis of criterion effects for the Implicit Relational Assessment Procedure (IRAP) in the clinical domain. </w:t>
      </w:r>
      <w:r w:rsidRPr="00DA1E67">
        <w:rPr>
          <w:rFonts w:cs="CMU Serif Roman"/>
          <w:i/>
          <w:iCs/>
        </w:rPr>
        <w:t>Journal of Behavior Therapy and Experimental Psychiatry</w:t>
      </w:r>
      <w:r w:rsidRPr="00DA1E67">
        <w:rPr>
          <w:rFonts w:cs="CMU Serif Roman"/>
        </w:rPr>
        <w:t xml:space="preserve">, </w:t>
      </w:r>
      <w:r w:rsidRPr="00DA1E67">
        <w:rPr>
          <w:rFonts w:cs="CMU Serif Roman"/>
          <w:i/>
          <w:iCs/>
        </w:rPr>
        <w:t>48</w:t>
      </w:r>
      <w:r w:rsidRPr="00DA1E67">
        <w:rPr>
          <w:rFonts w:cs="CMU Serif Roman"/>
        </w:rPr>
        <w:t>, 59–65. https://doi.org/10.1016/j.jbtep.2015.01.004</w:t>
      </w:r>
    </w:p>
    <w:p w14:paraId="2B299470" w14:textId="77777777" w:rsidR="00DA1E67" w:rsidRPr="00DA1E67" w:rsidRDefault="00DA1E67" w:rsidP="00DA1E67">
      <w:pPr>
        <w:pStyle w:val="Bibliography"/>
        <w:rPr>
          <w:rFonts w:cs="CMU Serif Roman"/>
        </w:rPr>
      </w:pPr>
      <w:proofErr w:type="spellStart"/>
      <w:r w:rsidRPr="00DA1E67">
        <w:rPr>
          <w:rFonts w:cs="CMU Serif Roman"/>
        </w:rPr>
        <w:t>Viechtbauer</w:t>
      </w:r>
      <w:proofErr w:type="spellEnd"/>
      <w:r w:rsidRPr="00DA1E67">
        <w:rPr>
          <w:rFonts w:cs="CMU Serif Roman"/>
        </w:rPr>
        <w:t xml:space="preserve">, W. (2010). Conducting Meta-Analyses in R with the </w:t>
      </w:r>
      <w:proofErr w:type="spellStart"/>
      <w:r w:rsidRPr="00DA1E67">
        <w:rPr>
          <w:rFonts w:cs="CMU Serif Roman"/>
        </w:rPr>
        <w:t>metafor</w:t>
      </w:r>
      <w:proofErr w:type="spellEnd"/>
      <w:r w:rsidRPr="00DA1E67">
        <w:rPr>
          <w:rFonts w:cs="CMU Serif Roman"/>
        </w:rPr>
        <w:t xml:space="preserve"> Package. </w:t>
      </w:r>
      <w:r w:rsidRPr="00DA1E67">
        <w:rPr>
          <w:rFonts w:cs="CMU Serif Roman"/>
          <w:i/>
          <w:iCs/>
        </w:rPr>
        <w:t>Journal of Statistical Software</w:t>
      </w:r>
      <w:r w:rsidRPr="00DA1E67">
        <w:rPr>
          <w:rFonts w:cs="CMU Serif Roman"/>
        </w:rPr>
        <w:t xml:space="preserve">, </w:t>
      </w:r>
      <w:r w:rsidRPr="00DA1E67">
        <w:rPr>
          <w:rFonts w:cs="CMU Serif Roman"/>
          <w:i/>
          <w:iCs/>
        </w:rPr>
        <w:t>36</w:t>
      </w:r>
      <w:r w:rsidRPr="00DA1E67">
        <w:rPr>
          <w:rFonts w:cs="CMU Serif Roman"/>
        </w:rPr>
        <w:t>(3). https://doi.org/10.18637/jss.v036.i03</w:t>
      </w:r>
    </w:p>
    <w:p w14:paraId="7530615B" w14:textId="77777777" w:rsidR="00DA1E67" w:rsidRPr="00DA1E67" w:rsidRDefault="00DA1E67" w:rsidP="00DA1E67">
      <w:pPr>
        <w:pStyle w:val="Bibliography"/>
        <w:rPr>
          <w:rFonts w:cs="CMU Serif Roman"/>
        </w:rPr>
      </w:pPr>
      <w:proofErr w:type="spellStart"/>
      <w:r w:rsidRPr="00DA1E67">
        <w:rPr>
          <w:rFonts w:cs="CMU Serif Roman"/>
        </w:rPr>
        <w:t>Viechtbauer</w:t>
      </w:r>
      <w:proofErr w:type="spellEnd"/>
      <w:r w:rsidRPr="00DA1E67">
        <w:rPr>
          <w:rFonts w:cs="CMU Serif Roman"/>
        </w:rPr>
        <w:t xml:space="preserve">, W. (2022). </w:t>
      </w:r>
      <w:r w:rsidRPr="00DA1E67">
        <w:rPr>
          <w:rFonts w:cs="CMU Serif Roman"/>
          <w:i/>
          <w:iCs/>
        </w:rPr>
        <w:t xml:space="preserve">A Comparison of the </w:t>
      </w:r>
      <w:proofErr w:type="spellStart"/>
      <w:proofErr w:type="gramStart"/>
      <w:r w:rsidRPr="00DA1E67">
        <w:rPr>
          <w:rFonts w:cs="CMU Serif Roman"/>
          <w:i/>
          <w:iCs/>
        </w:rPr>
        <w:t>rma</w:t>
      </w:r>
      <w:proofErr w:type="spellEnd"/>
      <w:r w:rsidRPr="00DA1E67">
        <w:rPr>
          <w:rFonts w:cs="CMU Serif Roman"/>
          <w:i/>
          <w:iCs/>
        </w:rPr>
        <w:t>(</w:t>
      </w:r>
      <w:proofErr w:type="gramEnd"/>
      <w:r w:rsidRPr="00DA1E67">
        <w:rPr>
          <w:rFonts w:cs="CMU Serif Roman"/>
          <w:i/>
          <w:iCs/>
        </w:rPr>
        <w:t xml:space="preserve">) and the </w:t>
      </w:r>
      <w:proofErr w:type="spellStart"/>
      <w:r w:rsidRPr="00DA1E67">
        <w:rPr>
          <w:rFonts w:cs="CMU Serif Roman"/>
          <w:i/>
          <w:iCs/>
        </w:rPr>
        <w:t>lm</w:t>
      </w:r>
      <w:proofErr w:type="spellEnd"/>
      <w:r w:rsidRPr="00DA1E67">
        <w:rPr>
          <w:rFonts w:cs="CMU Serif Roman"/>
          <w:i/>
          <w:iCs/>
        </w:rPr>
        <w:t xml:space="preserve">(), </w:t>
      </w:r>
      <w:proofErr w:type="spellStart"/>
      <w:r w:rsidRPr="00DA1E67">
        <w:rPr>
          <w:rFonts w:cs="CMU Serif Roman"/>
          <w:i/>
          <w:iCs/>
        </w:rPr>
        <w:t>lme</w:t>
      </w:r>
      <w:proofErr w:type="spellEnd"/>
      <w:r w:rsidRPr="00DA1E67">
        <w:rPr>
          <w:rFonts w:cs="CMU Serif Roman"/>
          <w:i/>
          <w:iCs/>
        </w:rPr>
        <w:t xml:space="preserve">(), and </w:t>
      </w:r>
      <w:proofErr w:type="spellStart"/>
      <w:r w:rsidRPr="00DA1E67">
        <w:rPr>
          <w:rFonts w:cs="CMU Serif Roman"/>
          <w:i/>
          <w:iCs/>
        </w:rPr>
        <w:t>lmer</w:t>
      </w:r>
      <w:proofErr w:type="spellEnd"/>
      <w:r w:rsidRPr="00DA1E67">
        <w:rPr>
          <w:rFonts w:cs="CMU Serif Roman"/>
          <w:i/>
          <w:iCs/>
        </w:rPr>
        <w:t>() Functions</w:t>
      </w:r>
      <w:r w:rsidRPr="00DA1E67">
        <w:rPr>
          <w:rFonts w:cs="CMU Serif Roman"/>
        </w:rPr>
        <w:t>. https://www.metafor-project.org/doku.php/tips:rma_vs_lm_lme_lmer</w:t>
      </w:r>
    </w:p>
    <w:p w14:paraId="5C13C3A3" w14:textId="77777777" w:rsidR="00DA1E67" w:rsidRPr="00DA1E67" w:rsidRDefault="00DA1E67" w:rsidP="00DA1E67">
      <w:pPr>
        <w:pStyle w:val="Bibliography"/>
        <w:rPr>
          <w:rFonts w:cs="CMU Serif Roman"/>
        </w:rPr>
      </w:pPr>
      <w:r w:rsidRPr="00DA1E67">
        <w:rPr>
          <w:rFonts w:cs="CMU Serif Roman"/>
        </w:rPr>
        <w:t xml:space="preserve">Whelan, R. (2008). Effective analysis of reaction time data. </w:t>
      </w:r>
      <w:r w:rsidRPr="00DA1E67">
        <w:rPr>
          <w:rFonts w:cs="CMU Serif Roman"/>
          <w:i/>
          <w:iCs/>
        </w:rPr>
        <w:t>The Psychological Record</w:t>
      </w:r>
      <w:r w:rsidRPr="00DA1E67">
        <w:rPr>
          <w:rFonts w:cs="CMU Serif Roman"/>
        </w:rPr>
        <w:t xml:space="preserve">, </w:t>
      </w:r>
      <w:r w:rsidRPr="00DA1E67">
        <w:rPr>
          <w:rFonts w:cs="CMU Serif Roman"/>
          <w:i/>
          <w:iCs/>
        </w:rPr>
        <w:t>58</w:t>
      </w:r>
      <w:r w:rsidRPr="00DA1E67">
        <w:rPr>
          <w:rFonts w:cs="CMU Serif Roman"/>
        </w:rPr>
        <w:t>(3), 475–482.</w:t>
      </w:r>
    </w:p>
    <w:p w14:paraId="61BE35A5" w14:textId="5638E6B1"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A707" w14:textId="77777777" w:rsidR="00CF723A" w:rsidRDefault="00CF723A">
      <w:pPr>
        <w:spacing w:line="240" w:lineRule="auto"/>
      </w:pPr>
      <w:r>
        <w:separator/>
      </w:r>
    </w:p>
  </w:endnote>
  <w:endnote w:type="continuationSeparator" w:id="0">
    <w:p w14:paraId="2FB41045" w14:textId="77777777" w:rsidR="00CF723A" w:rsidRDefault="00CF7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AFB4" w14:textId="77777777" w:rsidR="00CF723A" w:rsidRDefault="00CF723A">
      <w:pPr>
        <w:spacing w:line="240" w:lineRule="auto"/>
      </w:pPr>
      <w:r>
        <w:separator/>
      </w:r>
    </w:p>
  </w:footnote>
  <w:footnote w:type="continuationSeparator" w:id="0">
    <w:p w14:paraId="66382A2C" w14:textId="77777777" w:rsidR="00CF723A" w:rsidRDefault="00CF72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05E"/>
    <w:rsid w:val="00031BB8"/>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3C64"/>
    <w:rsid w:val="00124B01"/>
    <w:rsid w:val="00124F09"/>
    <w:rsid w:val="001253D7"/>
    <w:rsid w:val="001304E3"/>
    <w:rsid w:val="001341A3"/>
    <w:rsid w:val="00134742"/>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308B"/>
    <w:rsid w:val="001939A0"/>
    <w:rsid w:val="00195546"/>
    <w:rsid w:val="001959A0"/>
    <w:rsid w:val="001969ED"/>
    <w:rsid w:val="00196D91"/>
    <w:rsid w:val="00197696"/>
    <w:rsid w:val="00197922"/>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7E0"/>
    <w:rsid w:val="00350CAB"/>
    <w:rsid w:val="0035101E"/>
    <w:rsid w:val="0035152F"/>
    <w:rsid w:val="0035163B"/>
    <w:rsid w:val="00351980"/>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59D0"/>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D33"/>
    <w:rsid w:val="006C6001"/>
    <w:rsid w:val="006C7F5F"/>
    <w:rsid w:val="006D18F3"/>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2155</TotalTime>
  <Pages>35</Pages>
  <Words>24765</Words>
  <Characters>141167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2509</cp:revision>
  <dcterms:created xsi:type="dcterms:W3CDTF">2018-12-22T13:44:00Z</dcterms:created>
  <dcterms:modified xsi:type="dcterms:W3CDTF">2022-08-18T11:09:00Z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