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note: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366A9092"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w:t>
      </w:r>
      <w:r w:rsidR="00DE1D3F" w:rsidRPr="0030678A">
        <w:lastRenderedPageBreak/>
        <w:t xml:space="preserve">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 xml:space="preserve">by </w:t>
      </w:r>
      <w:commentRangeStart w:id="3"/>
      <w:r w:rsidRPr="007431B9">
        <w:rPr>
          <w:highlight w:val="yellow"/>
        </w:rPr>
        <w:t>two labs</w:t>
      </w:r>
      <w:r w:rsidR="008F1EB6" w:rsidRPr="007431B9">
        <w:rPr>
          <w:highlight w:val="yellow"/>
        </w:rPr>
        <w:t xml:space="preserve"> </w:t>
      </w:r>
      <w:r w:rsidR="00D75090" w:rsidRPr="007431B9">
        <w:rPr>
          <w:highlight w:val="yellow"/>
        </w:rPr>
        <w:t xml:space="preserve">and their coauthors </w:t>
      </w:r>
      <w:commentRangeEnd w:id="3"/>
      <w:r w:rsidR="00F90270" w:rsidRPr="007431B9">
        <w:rPr>
          <w:rStyle w:val="CommentReference"/>
          <w:highlight w:val="yellow"/>
        </w:rPr>
        <w:commentReference w:id="3"/>
      </w:r>
      <w:r w:rsidR="008F1EB6" w:rsidRPr="007431B9">
        <w:rPr>
          <w:highlight w:val="yellow"/>
        </w:rPr>
        <w:fldChar w:fldCharType="begin"/>
      </w:r>
      <w:r w:rsidR="00273D71" w:rsidRPr="007431B9">
        <w:rPr>
          <w:highlight w:val="yellow"/>
        </w:rPr>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rsidRPr="007431B9">
        <w:rPr>
          <w:highlight w:val="yellow"/>
        </w:rPr>
        <w:fldChar w:fldCharType="separate"/>
      </w:r>
      <w:r w:rsidR="00273D71" w:rsidRPr="007431B9">
        <w:rPr>
          <w:noProof/>
          <w:highlight w:val="yellow"/>
        </w:rPr>
        <w:t>(Hussey &amp; Drake, 2020a)</w:t>
      </w:r>
      <w:r w:rsidR="008F1EB6" w:rsidRPr="007431B9">
        <w:rPr>
          <w:highlight w:val="yellow"/>
        </w:rPr>
        <w:fldChar w:fldCharType="end"/>
      </w:r>
      <w:r w:rsidRPr="007431B9">
        <w:rPr>
          <w:highlight w:val="yellow"/>
        </w:rPr>
        <w:t>.</w:t>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190183" w:rsidRPr="008721FF">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r w:rsidR="008F1EB6">
        <w:t xml:space="preserve">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lastRenderedPageBreak/>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14E9F40D" w:rsidR="00044447" w:rsidRPr="0030678A" w:rsidRDefault="00044447" w:rsidP="00CF1322">
      <w:r w:rsidRPr="004B0C91">
        <w:rPr>
          <w:highlight w:val="yellow"/>
        </w:rPr>
        <w:t xml:space="preserve">Inclusions criteria were self-reported fluent English, complete </w:t>
      </w:r>
      <w:r w:rsidR="0076324A">
        <w:rPr>
          <w:highlight w:val="yellow"/>
        </w:rPr>
        <w:t xml:space="preserve">trial-level IAT </w:t>
      </w:r>
      <w:r w:rsidRPr="004B0C91">
        <w:rPr>
          <w:highlight w:val="yellow"/>
        </w:rPr>
        <w:t>data, …</w:t>
      </w:r>
      <w:r w:rsidR="007F03B3">
        <w:t>. Due to a combination of long bootstrapping calculation runtimes and a very large IAT dataset, a subset of 100 participants per domain after exclusions were randomly sampled from the full public dataset, to make 9500 participants total.</w:t>
      </w:r>
    </w:p>
    <w:p w14:paraId="731B871B" w14:textId="54CBB370" w:rsidR="00587957" w:rsidRPr="0030678A" w:rsidRDefault="00587957" w:rsidP="00587957">
      <w:pPr>
        <w:pStyle w:val="Heading2"/>
      </w:pPr>
      <w:r w:rsidRPr="0030678A">
        <w:t>Participants</w:t>
      </w:r>
    </w:p>
    <w:p w14:paraId="25AFA1BC" w14:textId="53C877B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7F03B3">
        <w:t xml:space="preserve">The </w:t>
      </w:r>
      <w:r w:rsidR="00217B9C">
        <w:t xml:space="preserve">included </w:t>
      </w:r>
      <w:r w:rsidR="007F03B3">
        <w:t xml:space="preserve">IAT dataset included </w:t>
      </w:r>
      <w:r w:rsidR="00217B9C">
        <w:t>9500</w:t>
      </w:r>
      <w:r w:rsidR="007F03B3">
        <w:t xml:space="preserve"> </w:t>
      </w:r>
      <w:r w:rsidR="007F03B3" w:rsidRPr="0030678A">
        <w:t>participants</w:t>
      </w:r>
      <w:r w:rsidR="007F03B3">
        <w:t xml:space="preserve"> </w:t>
      </w:r>
      <w:r w:rsidR="00217B9C">
        <w:t>after exclusions and random sampling of 100 participants in each of the 95 domains</w:t>
      </w:r>
      <w:r w:rsidR="007F03B3" w:rsidRPr="0030678A">
        <w:t xml:space="preserve">. Where demographic data was available, the sample was </w:t>
      </w:r>
      <w:r w:rsidR="007F03B3" w:rsidRPr="00EB5B44">
        <w:rPr>
          <w:highlight w:val="yellow"/>
        </w:rPr>
        <w:t xml:space="preserve">62.4% women, 37.3% male, and 0.2% identified using another label; </w:t>
      </w:r>
      <w:r w:rsidR="007F03B3" w:rsidRPr="00EB5B44">
        <w:rPr>
          <w:i/>
          <w:highlight w:val="yellow"/>
        </w:rPr>
        <w:t>M</w:t>
      </w:r>
      <w:r w:rsidR="007F03B3" w:rsidRPr="00EB5B44">
        <w:rPr>
          <w:rFonts w:cs="Times New Roman (Body CS)"/>
          <w:highlight w:val="yellow"/>
          <w:vertAlign w:val="subscript"/>
        </w:rPr>
        <w:t>age</w:t>
      </w:r>
      <w:r w:rsidR="007F03B3" w:rsidRPr="00EB5B44">
        <w:rPr>
          <w:highlight w:val="yellow"/>
        </w:rPr>
        <w:t xml:space="preserve"> = 20.1, </w:t>
      </w:r>
      <w:r w:rsidR="007F03B3" w:rsidRPr="00EB5B44">
        <w:rPr>
          <w:i/>
          <w:highlight w:val="yellow"/>
        </w:rPr>
        <w:t>SD</w:t>
      </w:r>
      <w:r w:rsidR="007F03B3" w:rsidRPr="00EB5B44">
        <w:rPr>
          <w:highlight w:val="yellow"/>
        </w:rPr>
        <w:t xml:space="preserve"> = 4.3.</w:t>
      </w:r>
      <w:r w:rsidR="007F03B3" w:rsidRPr="0030678A">
        <w:t xml:space="preserve"> </w:t>
      </w:r>
      <w:r w:rsidR="00443F56" w:rsidRPr="0030678A">
        <w:t xml:space="preserve">All participants </w:t>
      </w:r>
      <w:r w:rsidR="00FE6CF4">
        <w:t xml:space="preserve">in both datasets </w:t>
      </w:r>
      <w:r w:rsidR="00443F56" w:rsidRPr="0030678A">
        <w:t xml:space="preserve">provided informed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lastRenderedPageBreak/>
        <w:t>Measure</w:t>
      </w:r>
      <w:r w:rsidR="000456A6">
        <w:t>s</w:t>
      </w:r>
    </w:p>
    <w:p w14:paraId="4A5FEB84" w14:textId="77777777" w:rsidR="00AF03A6" w:rsidRDefault="000456A6" w:rsidP="00055F7C">
      <w:pPr>
        <w:pStyle w:val="Heading3"/>
      </w:pPr>
      <w:r w:rsidRPr="00AF03A6">
        <w:t>Implicit Relational Assessment Procedure</w:t>
      </w:r>
    </w:p>
    <w:p w14:paraId="4D3213D2" w14:textId="4B6223BE"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496C8331" w:rsidR="003C01EA" w:rsidRDefault="008B777D" w:rsidP="00CE3B06">
      <w:r>
        <w:t xml:space="preserve">Likewise, the IAT had been described in great detail elsewhere </w:t>
      </w:r>
      <w:r>
        <w:fldChar w:fldCharType="begin"/>
      </w:r>
      <w:r>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r w:rsidRPr="0030678A">
        <w:t xml:space="preserve">right hand </w:t>
      </w:r>
      <w:r w:rsidRPr="0030678A">
        <w:lastRenderedPageBreak/>
        <w:t>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p>
    <w:p w14:paraId="4ED2726C" w14:textId="77777777" w:rsidR="00D6700B" w:rsidRPr="0030678A" w:rsidRDefault="00D6700B" w:rsidP="00D6700B">
      <w:pPr>
        <w:pStyle w:val="Heading2"/>
      </w:pPr>
      <w:r>
        <w:t>Scoring methods</w:t>
      </w:r>
    </w:p>
    <w:p w14:paraId="7A7C6D00" w14:textId="58BCA4C3"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27309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w:t>
      </w:r>
      <w:r w:rsidR="00422191">
        <w:lastRenderedPageBreak/>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AB14709" w:rsidR="00D6700B" w:rsidRDefault="00D6700B" w:rsidP="00D6700B">
      <w:r>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3E4CE968"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lastRenderedPageBreak/>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9C4058">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reccommendations</w:t>
      </w:r>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5" w:history="1">
        <w:r w:rsidRPr="00316973">
          <w:rPr>
            <w:rStyle w:val="Hyperlink"/>
            <w:highlight w:val="yellow"/>
          </w:rPr>
          <w:t>osf.io/mb4ph</w:t>
        </w:r>
      </w:hyperlink>
      <w:r w:rsidRPr="00316973">
        <w:rPr>
          <w:highlight w:val="yellow"/>
        </w:rPr>
        <w:t>).</w:t>
      </w:r>
      <w:r w:rsidR="001F3ACE">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57713C6" w:rsidR="00D56D3E" w:rsidRDefault="001E0BC1" w:rsidP="00D56D3E">
      <w:pPr>
        <w:ind w:firstLine="0"/>
        <w:jc w:val="center"/>
      </w:pPr>
      <w:r>
        <w:rPr>
          <w:noProof/>
        </w:rPr>
        <w:drawing>
          <wp:inline distT="0" distB="0" distL="0" distR="0" wp14:anchorId="543E6C18" wp14:editId="050F71A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1690C9"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22E9B6C8"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for different race </w:t>
      </w:r>
      <w:r w:rsidR="00536276">
        <w:lastRenderedPageBreak/>
        <w:t>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53F8BF47" w14:textId="08CEED73" w:rsidR="00CE3B06" w:rsidRDefault="00CE3B06">
      <w:r>
        <w:br w:type="page"/>
      </w:r>
    </w:p>
    <w:p w14:paraId="6801415F" w14:textId="77777777" w:rsidR="00CE3B06" w:rsidRPr="000F1F4A" w:rsidRDefault="00CE3B06" w:rsidP="00CE3B06">
      <w:pPr>
        <w:pStyle w:val="TableFigure"/>
        <w:rPr>
          <w:b/>
        </w:rPr>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1335C171" w14:textId="77777777" w:rsidR="00CE3B06" w:rsidRPr="002135C4" w:rsidRDefault="00CE3B06" w:rsidP="00CE3B06">
      <w:pPr>
        <w:pStyle w:val="TableFigure"/>
        <w:rPr>
          <w:lang w:val="en-US"/>
        </w:rPr>
      </w:pPr>
      <w:commentRangeStart w:id="4"/>
      <w:r>
        <w:rPr>
          <w:noProof/>
          <w:lang w:val="en-US"/>
        </w:rPr>
        <w:drawing>
          <wp:inline distT="0" distB="0" distL="0" distR="0" wp14:anchorId="104ABD0F" wp14:editId="1E4393FC">
            <wp:extent cx="5943600" cy="5200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5943600" cy="5200650"/>
                    </a:xfrm>
                    <a:prstGeom prst="rect">
                      <a:avLst/>
                    </a:prstGeom>
                  </pic:spPr>
                </pic:pic>
              </a:graphicData>
            </a:graphic>
          </wp:inline>
        </w:drawing>
      </w:r>
      <w:commentRangeEnd w:id="4"/>
      <w:r>
        <w:rPr>
          <w:rStyle w:val="CommentReference"/>
          <w:lang w:val="en-US"/>
        </w:rPr>
        <w:commentReference w:id="4"/>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BCEEB40"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w:t>
      </w:r>
      <w:r w:rsidR="00A84F8B">
        <w:lastRenderedPageBreak/>
        <w:t xml:space="preserve">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7F76EC0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emmeans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w:t>
      </w:r>
      <w:r w:rsidR="005A15A5">
        <w:lastRenderedPageBreak/>
        <w:t xml:space="preserve">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2DE08A2C" w14:textId="3AEEBDFB"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4FBAB132" w14:textId="482C99B1" w:rsidR="008C4E4D" w:rsidRDefault="008C4E4D" w:rsidP="008C4E4D">
      <w:pPr>
        <w:ind w:firstLine="0"/>
      </w:pPr>
    </w:p>
    <w:p w14:paraId="2924A647" w14:textId="77777777" w:rsidR="008C4E4D" w:rsidRDefault="008C4E4D">
      <w:pPr>
        <w:rPr>
          <w:b/>
          <w:bCs/>
          <w:lang w:val="en-IE"/>
        </w:rPr>
      </w:pPr>
      <w:r>
        <w:rPr>
          <w:b/>
          <w:bCs/>
        </w:rPr>
        <w:br w:type="page"/>
      </w:r>
    </w:p>
    <w:p w14:paraId="0E124957" w14:textId="3DD82C34" w:rsidR="008C4E4D" w:rsidRPr="00D04654" w:rsidRDefault="008C4E4D" w:rsidP="008C4E4D">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within each domain and trial type</w:t>
      </w:r>
    </w:p>
    <w:p w14:paraId="6E945928" w14:textId="77777777" w:rsidR="008C4E4D" w:rsidRDefault="008C4E4D" w:rsidP="008C4E4D">
      <w:pPr>
        <w:pStyle w:val="TableFigure"/>
      </w:pPr>
      <w:r>
        <w:rPr>
          <w:noProof/>
        </w:rPr>
        <w:drawing>
          <wp:inline distT="0" distB="0" distL="0" distR="0" wp14:anchorId="4C2D4978" wp14:editId="006856D7">
            <wp:extent cx="5943600" cy="520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5943600" cy="5200650"/>
                    </a:xfrm>
                    <a:prstGeom prst="rect">
                      <a:avLst/>
                    </a:prstGeom>
                  </pic:spPr>
                </pic:pic>
              </a:graphicData>
            </a:graphic>
          </wp:inline>
        </w:drawing>
      </w:r>
    </w:p>
    <w:p w14:paraId="7210EAF2" w14:textId="77777777" w:rsidR="008C4E4D" w:rsidRDefault="008C4E4D" w:rsidP="008C4E4D">
      <w:pPr>
        <w:ind w:firstLine="0"/>
      </w:pPr>
    </w:p>
    <w:p w14:paraId="28B95F07" w14:textId="494C60ED"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w:t>
      </w:r>
      <w:r w:rsidR="00273D71">
        <w:lastRenderedPageBreak/>
        <w:t xml:space="preserve">from the zero point is often 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variance estimated to be 0), these estimates were removed for plotting and meta-analysis.</w:t>
      </w:r>
    </w:p>
    <w:p w14:paraId="7BA7C237" w14:textId="096320D2" w:rsidR="003B005C" w:rsidRPr="008C4E4D" w:rsidRDefault="00A1013F" w:rsidP="008C4E4D">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lastRenderedPageBreak/>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9BA531D"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77777777"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Pr="00EF48E2">
        <w:rPr>
          <w:i/>
          <w:iCs/>
        </w:rPr>
        <w:t>D</w:t>
      </w:r>
      <w:r>
        <w:t xml:space="preserve"> scores’ 95% Confidence Intervals within each domain and trial type.</w:t>
      </w:r>
    </w:p>
    <w:p w14:paraId="77273AE5" w14:textId="77777777" w:rsidR="00E54DAB" w:rsidRDefault="00E54DAB" w:rsidP="00E54DAB">
      <w:pPr>
        <w:pStyle w:val="TableFigure"/>
      </w:pPr>
      <w:r>
        <w:rPr>
          <w:noProof/>
        </w:rPr>
        <w:drawing>
          <wp:inline distT="0" distB="0" distL="0" distR="0" wp14:anchorId="49DA180F" wp14:editId="4ED9C885">
            <wp:extent cx="5943600" cy="5200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a:fillRect/>
                    </a:stretch>
                  </pic:blipFill>
                  <pic:spPr>
                    <a:xfrm>
                      <a:off x="0" y="0"/>
                      <a:ext cx="5943600" cy="5200650"/>
                    </a:xfrm>
                    <a:prstGeom prst="rect">
                      <a:avLst/>
                    </a:prstGeom>
                  </pic:spPr>
                </pic:pic>
              </a:graphicData>
            </a:graphic>
          </wp:inline>
        </w:drawing>
      </w:r>
    </w:p>
    <w:p w14:paraId="5A1A83F0" w14:textId="77777777" w:rsidR="00E54DAB" w:rsidRDefault="00E54DAB" w:rsidP="00B348C6"/>
    <w:p w14:paraId="31CD0AF1" w14:textId="020D7A53" w:rsidR="00915351" w:rsidRPr="0030678A" w:rsidRDefault="00915351" w:rsidP="00B51C0B">
      <w:pPr>
        <w:pStyle w:val="Heading3"/>
      </w:pPr>
      <w:r>
        <w:t>Proportion of observed range covered by individual scores</w:t>
      </w:r>
    </w:p>
    <w:p w14:paraId="2D6B7614" w14:textId="2D08D01E"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w:t>
      </w:r>
      <w:r w:rsidR="00955727">
        <w:lastRenderedPageBreak/>
        <w:t xml:space="preserve">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77777777"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the observed range covered by individual intervals</w:t>
      </w:r>
      <w:r w:rsidR="004B3474">
        <w:t xml:space="preserve"> </w:t>
      </w:r>
      <w:r w:rsidR="009C577E" w:rsidRPr="001F3D23">
        <w:rPr>
          <w:highlight w:val="yellow"/>
        </w:rPr>
        <w:t xml:space="preserve">was </w:t>
      </w:r>
      <m:oMath>
        <m:r>
          <w:rPr>
            <w:rFonts w:ascii="Cambria Math" w:hAnsi="Cambria Math"/>
            <w:highlight w:val="yellow"/>
          </w:rPr>
          <m:t>θ</m:t>
        </m:r>
      </m:oMath>
      <w:r w:rsidR="009C577E" w:rsidRPr="001F3D23">
        <w:rPr>
          <w:highlight w:val="yellow"/>
        </w:rPr>
        <w:t xml:space="preserve"> =</w:t>
      </w:r>
      <w:r w:rsidR="009C577E" w:rsidRPr="001F3D23">
        <w:rPr>
          <w:i/>
          <w:iCs/>
          <w:highlight w:val="yellow"/>
        </w:rPr>
        <w:t xml:space="preserve"> </w:t>
      </w:r>
      <w:r w:rsidR="009C577E" w:rsidRPr="001F3D23">
        <w:rPr>
          <w:highlight w:val="yellow"/>
        </w:rPr>
        <w:t>0.</w:t>
      </w:r>
      <w:r w:rsidR="001F55A6" w:rsidRPr="001F3D23">
        <w:rPr>
          <w:highlight w:val="yellow"/>
        </w:rPr>
        <w:t>51</w:t>
      </w:r>
      <w:r w:rsidR="009C577E" w:rsidRPr="001F3D23">
        <w:rPr>
          <w:highlight w:val="yellow"/>
        </w:rPr>
        <w:t>, 95% CI [0.</w:t>
      </w:r>
      <w:r w:rsidR="001F55A6" w:rsidRPr="001F3D23">
        <w:rPr>
          <w:highlight w:val="yellow"/>
        </w:rPr>
        <w:t>50</w:t>
      </w:r>
      <w:r w:rsidR="009C577E" w:rsidRPr="001F3D23">
        <w:rPr>
          <w:highlight w:val="yellow"/>
        </w:rPr>
        <w:t>, 0.</w:t>
      </w:r>
      <w:r w:rsidR="001F55A6" w:rsidRPr="001F3D23">
        <w:rPr>
          <w:highlight w:val="yellow"/>
        </w:rPr>
        <w:t>53</w:t>
      </w:r>
      <w:r w:rsidR="009C577E" w:rsidRPr="001F3D23">
        <w:rPr>
          <w:highlight w:val="yellow"/>
        </w:rPr>
        <w:t>], 95% PI [0.</w:t>
      </w:r>
      <w:r w:rsidR="001F55A6" w:rsidRPr="001F3D23">
        <w:rPr>
          <w:highlight w:val="yellow"/>
        </w:rPr>
        <w:t>42</w:t>
      </w:r>
      <w:r w:rsidR="009C577E" w:rsidRPr="001F3D23">
        <w:rPr>
          <w:highlight w:val="yellow"/>
        </w:rPr>
        <w:t>, 0.</w:t>
      </w:r>
      <w:r w:rsidR="001F55A6" w:rsidRPr="001F3D23">
        <w:rPr>
          <w:highlight w:val="yellow"/>
        </w:rPr>
        <w:t>61</w:t>
      </w:r>
      <w:r w:rsidR="009C577E" w:rsidRPr="001F3D23">
        <w:rPr>
          <w:highlight w:val="yellow"/>
        </w:rPr>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3EC17C6B" w14:textId="77777777" w:rsidR="000F1F4A" w:rsidRDefault="000F1F4A" w:rsidP="000F1F4A">
      <w:pPr>
        <w:pStyle w:val="TableFigure"/>
      </w:pPr>
    </w:p>
    <w:p w14:paraId="1FCEE0ED" w14:textId="77777777" w:rsidR="000F1F4A" w:rsidRDefault="000F1F4A" w:rsidP="000F1F4A">
      <w:pPr>
        <w:ind w:firstLine="0"/>
        <w:jc w:val="center"/>
      </w:pPr>
      <w:commentRangeStart w:id="5"/>
      <w:r w:rsidRPr="001F3D23">
        <w:rPr>
          <w:noProof/>
        </w:rPr>
        <w:drawing>
          <wp:inline distT="0" distB="0" distL="0" distR="0" wp14:anchorId="5E97A595" wp14:editId="7AB83BE3">
            <wp:extent cx="4967654" cy="4967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976776" cy="4976776"/>
                    </a:xfrm>
                    <a:prstGeom prst="rect">
                      <a:avLst/>
                    </a:prstGeom>
                  </pic:spPr>
                </pic:pic>
              </a:graphicData>
            </a:graphic>
          </wp:inline>
        </w:drawing>
      </w:r>
      <w:commentRangeEnd w:id="5"/>
      <w:r w:rsidR="00301C97">
        <w:rPr>
          <w:rStyle w:val="CommentReference"/>
        </w:rPr>
        <w:commentReference w:id="5"/>
      </w:r>
    </w:p>
    <w:p w14:paraId="22A8564E" w14:textId="77777777" w:rsidR="000F1F4A" w:rsidRDefault="000F1F4A"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1B4B5FCB"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lastRenderedPageBreak/>
        <w:t>Proportion</w:t>
      </w:r>
      <w:r w:rsidRPr="0030678A">
        <w:t xml:space="preserve"> of </w:t>
      </w:r>
      <w:r>
        <w:t>non-zero scores</w:t>
      </w:r>
    </w:p>
    <w:p w14:paraId="4BE23224" w14:textId="44677E9F"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06F6FD6F"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62E2133F"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1F3D23">
        <w:rPr>
          <w:highlight w:val="yellow"/>
        </w:rPr>
        <w:t xml:space="preserve">was </w:t>
      </w:r>
      <m:oMath>
        <m:r>
          <w:rPr>
            <w:rFonts w:ascii="Cambria Math" w:hAnsi="Cambria Math"/>
            <w:highlight w:val="yellow"/>
          </w:rPr>
          <m:t>θ</m:t>
        </m:r>
      </m:oMath>
      <w:r w:rsidR="000B797D" w:rsidRPr="001F3D23">
        <w:rPr>
          <w:highlight w:val="yellow"/>
        </w:rPr>
        <w:t xml:space="preserve"> =</w:t>
      </w:r>
      <w:r w:rsidR="000B797D" w:rsidRPr="001F3D23">
        <w:rPr>
          <w:i/>
          <w:iCs/>
          <w:highlight w:val="yellow"/>
        </w:rPr>
        <w:t xml:space="preserve"> </w:t>
      </w:r>
      <w:r w:rsidR="000B797D" w:rsidRPr="001F3D23">
        <w:rPr>
          <w:highlight w:val="yellow"/>
        </w:rPr>
        <w:t>0.</w:t>
      </w:r>
      <w:r w:rsidR="002071A6" w:rsidRPr="001F3D23">
        <w:rPr>
          <w:highlight w:val="yellow"/>
        </w:rPr>
        <w:t>49</w:t>
      </w:r>
      <w:r w:rsidR="000B797D" w:rsidRPr="001F3D23">
        <w:rPr>
          <w:highlight w:val="yellow"/>
        </w:rPr>
        <w:t>, 95% CI [0.</w:t>
      </w:r>
      <w:r w:rsidR="002071A6" w:rsidRPr="001F3D23">
        <w:rPr>
          <w:highlight w:val="yellow"/>
        </w:rPr>
        <w:t>47</w:t>
      </w:r>
      <w:r w:rsidR="000B797D" w:rsidRPr="001F3D23">
        <w:rPr>
          <w:highlight w:val="yellow"/>
        </w:rPr>
        <w:t>, 0.5</w:t>
      </w:r>
      <w:r w:rsidR="002071A6" w:rsidRPr="001F3D23">
        <w:rPr>
          <w:highlight w:val="yellow"/>
        </w:rPr>
        <w:t>1</w:t>
      </w:r>
      <w:r w:rsidR="000B797D" w:rsidRPr="001F3D23">
        <w:rPr>
          <w:highlight w:val="yellow"/>
        </w:rPr>
        <w:t>], 95% PI [0.</w:t>
      </w:r>
      <w:r w:rsidR="002071A6" w:rsidRPr="001F3D23">
        <w:rPr>
          <w:highlight w:val="yellow"/>
        </w:rPr>
        <w:t>39</w:t>
      </w:r>
      <w:r w:rsidR="000B797D" w:rsidRPr="001F3D23">
        <w:rPr>
          <w:highlight w:val="yellow"/>
        </w:rPr>
        <w:t>, 0.</w:t>
      </w:r>
      <w:r w:rsidR="002071A6" w:rsidRPr="001F3D23">
        <w:rPr>
          <w:highlight w:val="yellow"/>
        </w:rPr>
        <w:t>59</w:t>
      </w:r>
      <w:r w:rsidR="000B797D" w:rsidRPr="001F3D23">
        <w:rPr>
          <w:highlight w:val="yellow"/>
        </w:rPr>
        <w:t>]</w:t>
      </w:r>
      <w:r w:rsidR="00027F97" w:rsidRPr="001F3D23">
        <w:rPr>
          <w:highlight w:val="yellow"/>
        </w:rPr>
        <w:t xml:space="preserve"> (see Figure </w:t>
      </w:r>
      <w:r w:rsidR="00DD019C">
        <w:rPr>
          <w:highlight w:val="yellow"/>
        </w:rPr>
        <w:t>5</w:t>
      </w:r>
      <w:r w:rsidR="00027F97" w:rsidRPr="001F3D23">
        <w:rPr>
          <w:highlight w:val="yellow"/>
        </w:rPr>
        <w:t>, lower panel, PI scores)</w:t>
      </w:r>
      <w:r w:rsidR="000B797D" w:rsidRPr="001F3D23">
        <w:rPr>
          <w:highlight w:val="yellow"/>
        </w:rPr>
        <w:t xml:space="preserve">. </w:t>
      </w:r>
      <w:r w:rsidR="00B34653" w:rsidRPr="001F3D23">
        <w:rPr>
          <w:highlight w:val="yellow"/>
        </w:rPr>
        <w:t xml:space="preserve">Scoring the IRAP with the PI score instead of the </w:t>
      </w:r>
      <w:r w:rsidR="00B34653" w:rsidRPr="001F3D23">
        <w:rPr>
          <w:i/>
          <w:iCs/>
          <w:highlight w:val="yellow"/>
        </w:rPr>
        <w:t>D</w:t>
      </w:r>
      <w:r w:rsidR="00B34653" w:rsidRPr="001F3D23">
        <w:rPr>
          <w:highlight w:val="yellow"/>
        </w:rPr>
        <w:t xml:space="preserve"> score resulted in an improved, smaller proportion of </w:t>
      </w:r>
      <w:r w:rsidR="00E175DB" w:rsidRPr="001F3D23">
        <w:rPr>
          <w:highlight w:val="yellow"/>
        </w:rPr>
        <w:t>coverage</w:t>
      </w:r>
      <w:r w:rsidR="00B34653" w:rsidRPr="001F3D23">
        <w:rPr>
          <w:highlight w:val="yellow"/>
        </w:rPr>
        <w:t xml:space="preserve">, although the magnitude of change was small, </w:t>
      </w:r>
      <m:oMath>
        <m:r>
          <m:rPr>
            <m:sty m:val="p"/>
          </m:rPr>
          <w:rPr>
            <w:rFonts w:ascii="Cambria Math" w:hAnsi="Cambria Math"/>
            <w:highlight w:val="yellow"/>
          </w:rPr>
          <m:t>Δ</m:t>
        </m:r>
        <m:r>
          <w:rPr>
            <w:rFonts w:ascii="Cambria Math" w:hAnsi="Cambria Math"/>
            <w:highlight w:val="yellow"/>
          </w:rPr>
          <m:t>θ</m:t>
        </m:r>
      </m:oMath>
      <w:r w:rsidR="00B34653" w:rsidRPr="001F3D23">
        <w:rPr>
          <w:i/>
          <w:iCs/>
          <w:highlight w:val="yellow"/>
        </w:rPr>
        <w:t xml:space="preserve"> </w:t>
      </w:r>
      <w:r w:rsidR="00B34653" w:rsidRPr="001F3D23">
        <w:rPr>
          <w:highlight w:val="yellow"/>
        </w:rPr>
        <w:t>= -0.0</w:t>
      </w:r>
      <w:r w:rsidR="00E175DB" w:rsidRPr="001F3D23">
        <w:rPr>
          <w:highlight w:val="yellow"/>
        </w:rPr>
        <w:t>2</w:t>
      </w:r>
      <w:r w:rsidR="00B34653" w:rsidRPr="001F3D23">
        <w:rPr>
          <w:highlight w:val="yellow"/>
        </w:rPr>
        <w:t xml:space="preserve">, </w:t>
      </w:r>
      <w:r w:rsidR="00B34653" w:rsidRPr="001F3D23">
        <w:rPr>
          <w:i/>
          <w:iCs/>
          <w:highlight w:val="yellow"/>
        </w:rPr>
        <w:t>p</w:t>
      </w:r>
      <w:r w:rsidR="00B34653" w:rsidRPr="001F3D23">
        <w:rPr>
          <w:highlight w:val="yellow"/>
        </w:rPr>
        <w:t xml:space="preserve"> </w:t>
      </w:r>
      <w:r w:rsidR="00E175DB" w:rsidRPr="001F3D23">
        <w:rPr>
          <w:highlight w:val="yellow"/>
        </w:rPr>
        <w:t>&lt;</w:t>
      </w:r>
      <w:r w:rsidR="00B34653" w:rsidRPr="001F3D23">
        <w:rPr>
          <w:highlight w:val="yellow"/>
        </w:rPr>
        <w:t xml:space="preserve"> .00</w:t>
      </w:r>
      <w:r w:rsidR="00E175DB" w:rsidRPr="001F3D23">
        <w:rPr>
          <w:highlight w:val="yellow"/>
        </w:rPr>
        <w:t>1</w:t>
      </w:r>
      <w:r w:rsidR="00B34653" w:rsidRPr="001F3D23">
        <w:rPr>
          <w:highlight w:val="yellow"/>
        </w:rPr>
        <w:t>.</w:t>
      </w:r>
    </w:p>
    <w:p w14:paraId="4971C034" w14:textId="4630618B" w:rsidR="00EE62DE" w:rsidRDefault="00EE62DE" w:rsidP="00EE62DE">
      <w:pPr>
        <w:pStyle w:val="Heading3"/>
      </w:pPr>
      <w:r>
        <w:t xml:space="preserve">Summary of results across models 1 to </w:t>
      </w:r>
      <w:r w:rsidR="00D120EE">
        <w:t>3</w:t>
      </w:r>
    </w:p>
    <w:p w14:paraId="101230C4" w14:textId="2AA0808E" w:rsidR="00EE62DE" w:rsidRDefault="004C0BDB" w:rsidP="00430F01">
      <w:r w:rsidRPr="004C0BDB">
        <w:rPr>
          <w:highlight w:val="yellow"/>
        </w:rPr>
        <w:t>XXXX</w:t>
      </w:r>
      <w:r w:rsidR="00355A89">
        <w:t xml:space="preserve"> inc discussion of PI</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xml:space="preserve">. note that both use </w:t>
      </w:r>
      <w:r w:rsidR="00F1269F" w:rsidRPr="005143C9">
        <w:rPr>
          <w:i/>
          <w:iCs/>
          <w:highlight w:val="yellow"/>
        </w:rPr>
        <w:t>D</w:t>
      </w:r>
      <w:r w:rsidR="00F1269F" w:rsidRPr="00855465">
        <w:rPr>
          <w:highlight w:val="yellow"/>
        </w:rPr>
        <w:t xml:space="preserve">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31989C2C"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r w:rsidR="000A3EE7">
        <w:t xml:space="preserve"> Analogous to Figure 1, IAT </w:t>
      </w:r>
      <w:r w:rsidR="000A3EE7" w:rsidRPr="000A3EE7">
        <w:rPr>
          <w:i/>
          <w:iCs/>
        </w:rPr>
        <w:t>D</w:t>
      </w:r>
      <w:r w:rsidR="000A3EE7">
        <w:t xml:space="preserve"> scores and their confidence intervals for every domain can be found in Figure 2S in the supplementary </w:t>
      </w:r>
      <w:r w:rsidR="000A3EE7">
        <w:lastRenderedPageBreak/>
        <w:t>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731DEBCC" w:rsidR="00EF5F38" w:rsidRPr="00373D03" w:rsidRDefault="00142340" w:rsidP="00EF5F38">
      <w:r>
        <w:t xml:space="preserve">The proportion with of IAT </w:t>
      </w:r>
      <w:r w:rsidRPr="00142340">
        <w:rPr>
          <w:i/>
          <w:iCs/>
        </w:rPr>
        <w:t>D</w:t>
      </w:r>
      <w:r>
        <w:t xml:space="preserve"> scores that exclude the zero point by domain can be found in Figure </w:t>
      </w:r>
      <w:r w:rsidR="004D486C">
        <w:t>4</w:t>
      </w:r>
      <w:r>
        <w:t xml:space="preserve">S in the supplementary materials. </w:t>
      </w:r>
      <w:r w:rsidR="00807FA9">
        <w:t xml:space="preserve">Model 4 was similar to model 1. The fixed effect comparison in model 4 was </w:t>
      </w:r>
      <w:r w:rsidR="00533FA7">
        <w:t xml:space="preserve">task rather than scoring method (i.e., </w:t>
      </w:r>
      <w:r w:rsidR="00807FA9">
        <w:t xml:space="preserve">IRAP </w:t>
      </w:r>
      <w:r w:rsidR="00807FA9" w:rsidRPr="00807FA9">
        <w:rPr>
          <w:i/>
          <w:iCs/>
        </w:rPr>
        <w:t>D</w:t>
      </w:r>
      <w:r w:rsidR="00807FA9">
        <w:t xml:space="preserve"> score vs</w:t>
      </w:r>
      <w:r w:rsidR="00533FA7">
        <w:t>.</w:t>
      </w:r>
      <w:r w:rsidR="00807FA9">
        <w:t xml:space="preserve"> IAT </w:t>
      </w:r>
      <w:r w:rsidR="00807FA9" w:rsidRPr="00807FA9">
        <w:rPr>
          <w:i/>
          <w:iCs/>
        </w:rPr>
        <w:t>D</w:t>
      </w:r>
      <w:r w:rsidR="00807FA9">
        <w:t xml:space="preserve"> score rather than IRAP </w:t>
      </w:r>
      <w:r w:rsidR="00807FA9" w:rsidRPr="00807FA9">
        <w:rPr>
          <w:i/>
          <w:iCs/>
        </w:rPr>
        <w:t>D</w:t>
      </w:r>
      <w:r w:rsidR="00807FA9">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6D6EC8">
        <w:t>46</w:t>
      </w:r>
      <w:r w:rsidR="00EF5F38">
        <w:t xml:space="preserve">, </w:t>
      </w:r>
      <w:r w:rsidR="00EF5F38" w:rsidRPr="002A6726">
        <w:rPr>
          <w:i/>
          <w:iCs/>
        </w:rPr>
        <w:t>p</w:t>
      </w:r>
      <w:r w:rsidR="00EF5F3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3BB5A881" w:rsidR="00EF5F38" w:rsidRPr="00165F16" w:rsidRDefault="00323250" w:rsidP="005C6734">
      <w:r>
        <w:t xml:space="preserve">The proportion with of IAT </w:t>
      </w:r>
      <w:r w:rsidRPr="00142340">
        <w:rPr>
          <w:i/>
          <w:iCs/>
        </w:rPr>
        <w:t>D</w:t>
      </w:r>
      <w:r>
        <w:t xml:space="preserve"> scores that </w:t>
      </w:r>
      <w:r>
        <w:t xml:space="preserve">were discriminable from other </w:t>
      </w:r>
      <w:r w:rsidRPr="00323250">
        <w:rPr>
          <w:i/>
          <w:iCs/>
        </w:rPr>
        <w:t>D</w:t>
      </w:r>
      <w:r>
        <w:t xml:space="preserve"> scores</w:t>
      </w:r>
      <w:r>
        <w:t xml:space="preserve"> </w:t>
      </w:r>
      <w:r>
        <w:t xml:space="preserve">in each domain </w:t>
      </w:r>
      <w:r>
        <w:t xml:space="preserve">can be found in Figure </w:t>
      </w:r>
      <w:r w:rsidR="004D486C">
        <w:t>5</w:t>
      </w:r>
      <w:r>
        <w:t xml:space="preserve">S in the supplementary materials. </w:t>
      </w:r>
      <w:r w:rsidR="005C6734">
        <w:t>M</w:t>
      </w:r>
      <w:r w:rsidR="00F64326">
        <w:t>odel 5</w:t>
      </w:r>
      <w:r w:rsidR="005C6734">
        <w:t xml:space="preserve"> was similar to model 2. 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943378">
        <w:t>41</w:t>
      </w:r>
      <w:r w:rsidR="00EF5F38" w:rsidRPr="003E1E11">
        <w:t>, 0.</w:t>
      </w:r>
      <w:r w:rsidR="00943378">
        <w:t>46</w:t>
      </w:r>
      <w:r w:rsidR="00EF5F38" w:rsidRPr="003E1E11">
        <w:t>], 95% PI [0.</w:t>
      </w:r>
      <w:r w:rsidR="00943378">
        <w:t>17</w:t>
      </w:r>
      <w:r w:rsidR="00EF5F38" w:rsidRPr="003E1E11">
        <w:t>, 0.</w:t>
      </w:r>
      <w:r w:rsidR="00943378">
        <w:t>75</w:t>
      </w:r>
      <w:r w:rsidR="00EF5F38" w:rsidRPr="003E1E11">
        <w:t>]</w:t>
      </w:r>
      <w:r w:rsidR="00250C1D">
        <w:t xml:space="preserve"> (see Figure </w:t>
      </w:r>
      <w:r w:rsidR="009C7727">
        <w:t>6</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A52F29">
        <w:t>39</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71F88C65" w:rsidR="000362BA" w:rsidRDefault="00AA4882" w:rsidP="00373D03">
      <w:r>
        <w:t xml:space="preserve">The proportion with of </w:t>
      </w:r>
      <w:r w:rsidR="003F68D8">
        <w:t xml:space="preserve">the observed interval width covered by individual </w:t>
      </w:r>
      <w:r>
        <w:t xml:space="preserve">IAT </w:t>
      </w:r>
      <w:r w:rsidRPr="00142340">
        <w:rPr>
          <w:i/>
          <w:iCs/>
        </w:rPr>
        <w:t>D</w:t>
      </w:r>
      <w:r>
        <w:t xml:space="preserve"> scores </w:t>
      </w:r>
      <w:r w:rsidR="003F68D8">
        <w:t xml:space="preserve">95% Confidence Intervals in each domain </w:t>
      </w:r>
      <w:r>
        <w:t xml:space="preserve">can be found in Figure </w:t>
      </w:r>
      <w:r w:rsidR="00555BF6">
        <w:t>6</w:t>
      </w:r>
      <w:r>
        <w:t xml:space="preserve">S in the supplementary materials. </w:t>
      </w:r>
      <w:r w:rsidR="00D37419">
        <w:t xml:space="preserve">Model 6 was similar to model 3. The same modifications to the fixed and random </w:t>
      </w:r>
      <w:r w:rsidR="00D37419">
        <w:lastRenderedPageBreak/>
        <w:t xml:space="preserve">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15</w:t>
      </w:r>
      <w:r w:rsidR="00EF5F38" w:rsidRPr="002071A6">
        <w:t>, 0.</w:t>
      </w:r>
      <w:r w:rsidR="00372F96">
        <w:t>42</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7D6B3BFA" w14:textId="713BCD6F" w:rsidR="002A3ECF" w:rsidRDefault="002A3ECF" w:rsidP="002A3ECF">
      <w:pPr>
        <w:pStyle w:val="Heading3"/>
      </w:pPr>
      <w:r>
        <w:t xml:space="preserve">Summary of results across models </w:t>
      </w:r>
      <w:r w:rsidR="00C410E4">
        <w:t>4</w:t>
      </w:r>
      <w:r>
        <w:t xml:space="preserve"> to</w:t>
      </w:r>
      <w:r w:rsidR="00C410E4">
        <w:t xml:space="preserve"> 6</w:t>
      </w:r>
    </w:p>
    <w:p w14:paraId="0A125C4A" w14:textId="69E090D1" w:rsidR="002A3ECF" w:rsidRDefault="002A3ECF" w:rsidP="00DA2B80">
      <w:r w:rsidRPr="004C0BDB">
        <w:rPr>
          <w:highlight w:val="yellow"/>
        </w:rPr>
        <w:t>XXXX</w:t>
      </w:r>
      <w:r>
        <w:t xml:space="preserve"> </w:t>
      </w:r>
    </w:p>
    <w:p w14:paraId="6BEC06BC" w14:textId="77777777" w:rsidR="00E34CD3" w:rsidRDefault="00E34CD3" w:rsidP="008E672C">
      <w:pPr>
        <w:pStyle w:val="TableFigure"/>
        <w:rPr>
          <w:b/>
          <w:bCs/>
        </w:rPr>
      </w:pPr>
    </w:p>
    <w:p w14:paraId="0A450A4E" w14:textId="77777777" w:rsidR="00E34CD3" w:rsidRDefault="00E34CD3" w:rsidP="008E672C">
      <w:pPr>
        <w:pStyle w:val="TableFigure"/>
        <w:rPr>
          <w:b/>
          <w:bCs/>
        </w:rPr>
      </w:pPr>
    </w:p>
    <w:p w14:paraId="112E2448" w14:textId="77777777" w:rsidR="00E34CD3" w:rsidRDefault="00E34CD3" w:rsidP="008E672C">
      <w:pPr>
        <w:pStyle w:val="TableFigure"/>
        <w:rPr>
          <w:b/>
          <w:bCs/>
        </w:rPr>
      </w:pPr>
    </w:p>
    <w:p w14:paraId="5768F846" w14:textId="77777777" w:rsidR="00E34CD3" w:rsidRDefault="00E34CD3" w:rsidP="008E672C">
      <w:pPr>
        <w:pStyle w:val="TableFigure"/>
        <w:rPr>
          <w:b/>
          <w:bCs/>
        </w:rPr>
      </w:pPr>
    </w:p>
    <w:p w14:paraId="6A463A2B" w14:textId="1D9554B9" w:rsidR="008E672C" w:rsidRDefault="008E672C" w:rsidP="008E672C">
      <w:pPr>
        <w:pStyle w:val="TableFigure"/>
      </w:pPr>
      <w:r w:rsidRPr="00A85088">
        <w:rPr>
          <w:b/>
          <w:bCs/>
        </w:rPr>
        <w:t xml:space="preserve">Figure </w:t>
      </w:r>
      <w:r w:rsidR="008721FF">
        <w:rPr>
          <w:b/>
          <w:bCs/>
        </w:rPr>
        <w:t>6</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77777777" w:rsidR="008E672C" w:rsidRDefault="008E672C" w:rsidP="008E672C">
      <w:pPr>
        <w:ind w:firstLine="0"/>
        <w:jc w:val="center"/>
        <w:rPr>
          <w:rFonts w:eastAsiaTheme="majorEastAsia" w:cstheme="majorBidi"/>
          <w:b/>
          <w:bCs/>
        </w:rPr>
      </w:pPr>
      <w:r>
        <w:rPr>
          <w:rFonts w:eastAsiaTheme="majorEastAsia" w:cstheme="majorBidi"/>
          <w:b/>
          <w:bCs/>
          <w:noProof/>
        </w:rPr>
        <w:drawing>
          <wp:inline distT="0" distB="0" distL="0" distR="0" wp14:anchorId="12CAA99B" wp14:editId="03D95809">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commentRangeStart w:id="6"/>
      <w:r w:rsidRPr="00A52781">
        <w:rPr>
          <w:highlight w:val="yellow"/>
        </w:rPr>
        <w:t>Discussion</w:t>
      </w:r>
      <w:commentRangeEnd w:id="6"/>
      <w:r w:rsidR="00A52781">
        <w:rPr>
          <w:rStyle w:val="CommentReference"/>
          <w:rFonts w:eastAsiaTheme="minorEastAsia" w:cstheme="minorBidi"/>
          <w:b w:val="0"/>
          <w:bCs w:val="0"/>
        </w:rPr>
        <w:commentReference w:id="6"/>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ones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irap data can serve neither purpose if responses on the IRAP are very poorly estimated</w:t>
      </w:r>
      <w:r w:rsidR="003258B1">
        <w:t xml:space="preserve">, regardless of whether you couch this in psychometric language (e.g., </w:t>
      </w:r>
      <w:r w:rsidR="003258B1">
        <w:lastRenderedPageBreak/>
        <w:t xml:space="preserve">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64EE5C3F"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by itself, lengthening the task is unlikely to improve the estimation of individuals’ scores to levels that would make the task suitable for individual use, given that differences in 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11EDAA6" w14:textId="77777777" w:rsidR="009C4058" w:rsidRPr="009C4058" w:rsidRDefault="00E20116" w:rsidP="009C4058">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9C4058" w:rsidRPr="009C4058">
        <w:rPr>
          <w:rFonts w:cs="CMU Serif Roman"/>
          <w:lang w:val="en-GB"/>
        </w:rPr>
        <w:t xml:space="preserve">Albright, J. (2019). </w:t>
      </w:r>
      <w:r w:rsidR="009C4058" w:rsidRPr="009C4058">
        <w:rPr>
          <w:rFonts w:cs="CMU Serif Roman"/>
          <w:i/>
          <w:iCs/>
          <w:lang w:val="en-GB"/>
        </w:rPr>
        <w:t>Boot Package in R: Understanding Bootstrap Confidence Interval Output</w:t>
      </w:r>
      <w:r w:rsidR="009C4058" w:rsidRPr="009C4058">
        <w:rPr>
          <w:rFonts w:cs="CMU Serif Roman"/>
          <w:lang w:val="en-GB"/>
        </w:rPr>
        <w:t>. https://blog.methodsconsultants.com/posts/understanding-bootstrap-confidence-interval-output-from-the-r-boot-package/</w:t>
      </w:r>
    </w:p>
    <w:p w14:paraId="67B6CEB2"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Barnes-Holmes, Y., Stewart, I., &amp; Boles, S. (2010). A sketch of the Implicit Relational Assessment Procedure (IRAP) and the Relational Elaboration and Coherence (REC) model.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60</w:t>
      </w:r>
      <w:r w:rsidRPr="009C4058">
        <w:rPr>
          <w:rFonts w:cs="CMU Serif Roman"/>
          <w:lang w:val="en-GB"/>
        </w:rPr>
        <w:t>, 527–542.</w:t>
      </w:r>
    </w:p>
    <w:p w14:paraId="6B246BF0"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&amp; Harte, C. (2022). The IRAP as a Measure of Implicit Cognition: A Case of Frankenstein’s Monster. </w:t>
      </w:r>
      <w:r w:rsidRPr="009C4058">
        <w:rPr>
          <w:rFonts w:cs="CMU Serif Roman"/>
          <w:i/>
          <w:iCs/>
          <w:lang w:val="en-GB"/>
        </w:rPr>
        <w:t>Perspectives on Behavior Science</w:t>
      </w:r>
      <w:r w:rsidRPr="009C4058">
        <w:rPr>
          <w:rFonts w:cs="CMU Serif Roman"/>
          <w:lang w:val="en-GB"/>
        </w:rPr>
        <w:t>. https://doi.org/10.1007/s40614-022-00352-z</w:t>
      </w:r>
    </w:p>
    <w:p w14:paraId="6F4DB7E4" w14:textId="77777777" w:rsidR="009C4058" w:rsidRPr="009C4058" w:rsidRDefault="009C4058" w:rsidP="009C4058">
      <w:pPr>
        <w:pStyle w:val="Bibliography"/>
        <w:rPr>
          <w:rFonts w:cs="CMU Serif Roman"/>
          <w:lang w:val="en-GB"/>
        </w:rPr>
      </w:pPr>
      <w:r w:rsidRPr="009C4058">
        <w:rPr>
          <w:rFonts w:cs="CMU Serif Roman"/>
          <w:lang w:val="en-GB"/>
        </w:rPr>
        <w:t xml:space="preserve">Bates, D., Mächler, M., Bolker, B., &amp; Walker, S. (2015). Fitting Linear Mixed-Effects Models Using lme4.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67</w:t>
      </w:r>
      <w:r w:rsidRPr="009C4058">
        <w:rPr>
          <w:rFonts w:cs="CMU Serif Roman"/>
          <w:lang w:val="en-GB"/>
        </w:rPr>
        <w:t>(1), 1–48. https://doi.org/10.18637/jss.v067.i01</w:t>
      </w:r>
    </w:p>
    <w:p w14:paraId="1394A0A3" w14:textId="77777777" w:rsidR="009C4058" w:rsidRPr="009C4058" w:rsidRDefault="009C4058" w:rsidP="009C4058">
      <w:pPr>
        <w:pStyle w:val="Bibliography"/>
        <w:rPr>
          <w:rFonts w:cs="CMU Serif Roman"/>
          <w:lang w:val="en-GB"/>
        </w:rPr>
      </w:pPr>
      <w:r w:rsidRPr="009C4058">
        <w:rPr>
          <w:rFonts w:cs="CMU Serif Roman"/>
          <w:lang w:val="en-GB"/>
        </w:rPr>
        <w:t xml:space="preserve">Canty, A. J. (2002). Resampling Methods in R: The boot Package. </w:t>
      </w:r>
      <w:r w:rsidRPr="009C4058">
        <w:rPr>
          <w:rFonts w:cs="CMU Serif Roman"/>
          <w:i/>
          <w:iCs/>
          <w:lang w:val="en-GB"/>
        </w:rPr>
        <w:t>R News</w:t>
      </w:r>
      <w:r w:rsidRPr="009C4058">
        <w:rPr>
          <w:rFonts w:cs="CMU Serif Roman"/>
          <w:lang w:val="en-GB"/>
        </w:rPr>
        <w:t xml:space="preserve">, </w:t>
      </w:r>
      <w:r w:rsidRPr="009C4058">
        <w:rPr>
          <w:rFonts w:cs="CMU Serif Roman"/>
          <w:i/>
          <w:iCs/>
          <w:lang w:val="en-GB"/>
        </w:rPr>
        <w:t>2/3</w:t>
      </w:r>
      <w:r w:rsidRPr="009C4058">
        <w:rPr>
          <w:rFonts w:cs="CMU Serif Roman"/>
          <w:lang w:val="en-GB"/>
        </w:rPr>
        <w:t>, 2–7.</w:t>
      </w:r>
    </w:p>
    <w:p w14:paraId="47E35BF7" w14:textId="77777777" w:rsidR="009C4058" w:rsidRPr="009C4058" w:rsidRDefault="009C4058" w:rsidP="009C4058">
      <w:pPr>
        <w:pStyle w:val="Bibliography"/>
        <w:rPr>
          <w:rFonts w:cs="CMU Serif Roman"/>
          <w:lang w:val="en-GB"/>
        </w:rPr>
      </w:pPr>
      <w:r w:rsidRPr="009C4058">
        <w:rPr>
          <w:rFonts w:cs="CMU Serif Roman"/>
          <w:lang w:val="en-GB"/>
        </w:rPr>
        <w:t xml:space="preserve">De Schryver, M., Hussey, I., De Neve, J., Cartwright, A., &amp; Barnes-Holmes, D. (2018). The PIIRAP: An alternative scoring algorithm for the IRAP using a probabilistic semiparametric effect size measure.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7</w:t>
      </w:r>
      <w:r w:rsidRPr="009C4058">
        <w:rPr>
          <w:rFonts w:cs="CMU Serif Roman"/>
          <w:lang w:val="en-GB"/>
        </w:rPr>
        <w:t>, 97–103. https://doi.org/10.1016/j.jcbs.2018.01.001</w:t>
      </w:r>
    </w:p>
    <w:p w14:paraId="784BE8E5" w14:textId="77777777" w:rsidR="009C4058" w:rsidRPr="009C4058" w:rsidRDefault="009C4058" w:rsidP="009C4058">
      <w:pPr>
        <w:pStyle w:val="Bibliography"/>
        <w:rPr>
          <w:rFonts w:cs="CMU Serif Roman"/>
          <w:lang w:val="en-GB"/>
        </w:rPr>
      </w:pPr>
      <w:r w:rsidRPr="009C4058">
        <w:rPr>
          <w:rFonts w:cs="CMU Serif Roman"/>
          <w:lang w:val="en-GB"/>
        </w:rPr>
        <w:t xml:space="preserve">Drake, C. E., Primeaux, S., &amp; Thomas, J. (2018). Comparing Implicit Gender Stereotypes Between Women and Men with the Implicit Relational Assessment Procedure. </w:t>
      </w:r>
      <w:r w:rsidRPr="009C4058">
        <w:rPr>
          <w:rFonts w:cs="CMU Serif Roman"/>
          <w:i/>
          <w:iCs/>
          <w:lang w:val="en-GB"/>
        </w:rPr>
        <w:t>Gender Issues</w:t>
      </w:r>
      <w:r w:rsidRPr="009C4058">
        <w:rPr>
          <w:rFonts w:cs="CMU Serif Roman"/>
          <w:lang w:val="en-GB"/>
        </w:rPr>
        <w:t xml:space="preserve">, </w:t>
      </w:r>
      <w:r w:rsidRPr="009C4058">
        <w:rPr>
          <w:rFonts w:cs="CMU Serif Roman"/>
          <w:i/>
          <w:iCs/>
          <w:lang w:val="en-GB"/>
        </w:rPr>
        <w:t>35</w:t>
      </w:r>
      <w:r w:rsidRPr="009C4058">
        <w:rPr>
          <w:rFonts w:cs="CMU Serif Roman"/>
          <w:lang w:val="en-GB"/>
        </w:rPr>
        <w:t>(1), 3–20. https://doi.org/10.1007/s12147-017-9189-6</w:t>
      </w:r>
    </w:p>
    <w:p w14:paraId="1332950D" w14:textId="77777777" w:rsidR="009C4058" w:rsidRPr="009C4058" w:rsidRDefault="009C4058" w:rsidP="009C4058">
      <w:pPr>
        <w:pStyle w:val="Bibliography"/>
        <w:rPr>
          <w:rFonts w:cs="CMU Serif Roman"/>
          <w:lang w:val="en-GB"/>
        </w:rPr>
      </w:pPr>
      <w:r w:rsidRPr="009C4058">
        <w:rPr>
          <w:rFonts w:cs="CMU Serif Roman"/>
          <w:lang w:val="en-GB"/>
        </w:rPr>
        <w:t xml:space="preserve">Drake, C. E., Seymour, K. H., &amp; Habib, R. (2016). Testing the IRAP: Exploring the Reliability and Fakability of an Idiographic Approach to Interpersonal Attitudes.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(1), 153–163. https://doi.org/10.1007/s40732-015-0160-1</w:t>
      </w:r>
    </w:p>
    <w:p w14:paraId="168CD0F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Fernández-Castilla, B., Declercq, L., Jamshidi, L., Beretvas, N., Onghena, P., &amp; Noortgate, W. V. den. (2020). Visual Representations of Meta-Analyses of Multiple Outcomes: Extensions to Forest Plots, Funnel Plots, and Caterpillar Plots. </w:t>
      </w:r>
      <w:r w:rsidRPr="009C4058">
        <w:rPr>
          <w:rFonts w:cs="CMU Serif Roman"/>
          <w:i/>
          <w:iCs/>
          <w:lang w:val="en-GB"/>
        </w:rPr>
        <w:t>Methodology</w:t>
      </w:r>
      <w:r w:rsidRPr="009C4058">
        <w:rPr>
          <w:rFonts w:cs="CMU Serif Roman"/>
          <w:lang w:val="en-GB"/>
        </w:rPr>
        <w:t xml:space="preserve">, </w:t>
      </w:r>
      <w:r w:rsidRPr="009C4058">
        <w:rPr>
          <w:rFonts w:cs="CMU Serif Roman"/>
          <w:i/>
          <w:iCs/>
          <w:lang w:val="en-GB"/>
        </w:rPr>
        <w:t>16</w:t>
      </w:r>
      <w:r w:rsidRPr="009C4058">
        <w:rPr>
          <w:rFonts w:cs="CMU Serif Roman"/>
          <w:lang w:val="en-GB"/>
        </w:rPr>
        <w:t>(4), 299–315. https://doi.org/10.5964/meth.4013</w:t>
      </w:r>
    </w:p>
    <w:p w14:paraId="33387063"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Hussey, I., &amp; Graddy, J. (2016). Exploring the behavioral dynamics of the implicit relational assessment procedure: The impact of three types of introductory rules.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(2), 309–321. https://doi.org/10.1007/s40732-016-0173-4</w:t>
      </w:r>
    </w:p>
    <w:p w14:paraId="173C60B5"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&amp; McEnteggart, C. (2017). Exploring the Single-Trial-Type-Dominance-Effect in the IRAP: Developing a Differential Arbitrarily Applicable Relational Responding Effects (DAARRE) Model. </w:t>
      </w:r>
      <w:r w:rsidRPr="009C4058">
        <w:rPr>
          <w:rFonts w:cs="CMU Serif Roman"/>
          <w:i/>
          <w:iCs/>
          <w:lang w:val="en-GB"/>
        </w:rPr>
        <w:t>The Psychological Record</w:t>
      </w:r>
      <w:r w:rsidRPr="009C4058">
        <w:rPr>
          <w:rFonts w:cs="CMU Serif Roman"/>
          <w:lang w:val="en-GB"/>
        </w:rPr>
        <w:t>, 1–15. https://doi.org/10.1007/s40732-017-0262-z</w:t>
      </w:r>
    </w:p>
    <w:p w14:paraId="0256B1F6"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McEnteggart, C., &amp; Kavanagh, D. (2019). Predicting and Influencing the Single-Trial-Type-Dominance-Effect: The First Study.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69</w:t>
      </w:r>
      <w:r w:rsidRPr="009C4058">
        <w:rPr>
          <w:rFonts w:cs="CMU Serif Roman"/>
          <w:lang w:val="en-GB"/>
        </w:rPr>
        <w:t>(3), 425–435. https://doi.org/10.1007/s40732-019-00347-4</w:t>
      </w:r>
    </w:p>
    <w:p w14:paraId="52F5D24E"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McGhee, D. E., &amp; Schwartz, J. L. (1998). Measuring individual differences in implicit cognition: The Implicit Association Test.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74</w:t>
      </w:r>
      <w:r w:rsidRPr="009C4058">
        <w:rPr>
          <w:rFonts w:cs="CMU Serif Roman"/>
          <w:lang w:val="en-GB"/>
        </w:rPr>
        <w:t>(6), 1464–1480. https://doi.org/10.1037/0022-3514.74.6.1464</w:t>
      </w:r>
    </w:p>
    <w:p w14:paraId="3B91CD0F"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Nosek, B. A., &amp; Banaji, M. R. (2003). Understanding and using the Implicit Association Test: I. An improved scoring algorithm.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85</w:t>
      </w:r>
      <w:r w:rsidRPr="009C4058">
        <w:rPr>
          <w:rFonts w:cs="CMU Serif Roman"/>
          <w:lang w:val="en-GB"/>
        </w:rPr>
        <w:t>(2), 197–216. https://doi.org/10.1037/0022-3514.85.2.197</w:t>
      </w:r>
    </w:p>
    <w:p w14:paraId="6374974E" w14:textId="77777777" w:rsidR="009C4058" w:rsidRPr="009C4058" w:rsidRDefault="009C4058" w:rsidP="009C4058">
      <w:pPr>
        <w:pStyle w:val="Bibliography"/>
        <w:rPr>
          <w:rFonts w:cs="CMU Serif Roman"/>
          <w:lang w:val="en-GB"/>
        </w:rPr>
      </w:pPr>
      <w:r w:rsidRPr="009C4058">
        <w:rPr>
          <w:rFonts w:cs="CMU Serif Roman"/>
          <w:lang w:val="en-GB"/>
        </w:rPr>
        <w:t xml:space="preserve">Higgins, J., &amp; Thomas, J. (2022). </w:t>
      </w:r>
      <w:r w:rsidRPr="009C4058">
        <w:rPr>
          <w:rFonts w:cs="CMU Serif Roman"/>
          <w:i/>
          <w:iCs/>
          <w:lang w:val="en-GB"/>
        </w:rPr>
        <w:t>Cochrane Handbook for Systematic Reviews of Interventions</w:t>
      </w:r>
      <w:r w:rsidRPr="009C4058">
        <w:rPr>
          <w:rFonts w:cs="CMU Serif Roman"/>
          <w:lang w:val="en-GB"/>
        </w:rPr>
        <w:t xml:space="preserve"> (Version 6.3). The Cochrane Collaboration. Available from www.handbook.cochrane.org</w:t>
      </w:r>
    </w:p>
    <w:p w14:paraId="0ADD89E5"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Hughes, S., Barnes-Holmes, D., &amp; De Houwer, J. (2011). The dominance of associative theorizing in implicit attitude research: Propositional and behavioral alternatives.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61</w:t>
      </w:r>
      <w:r w:rsidRPr="009C4058">
        <w:rPr>
          <w:rFonts w:cs="CMU Serif Roman"/>
          <w:lang w:val="en-GB"/>
        </w:rPr>
        <w:t>(3), 465–498.</w:t>
      </w:r>
    </w:p>
    <w:p w14:paraId="6FFFC1A6" w14:textId="77777777" w:rsidR="009C4058" w:rsidRPr="009C4058" w:rsidRDefault="009C4058" w:rsidP="009C4058">
      <w:pPr>
        <w:pStyle w:val="Bibliography"/>
        <w:rPr>
          <w:rFonts w:cs="CMU Serif Roman"/>
          <w:lang w:val="en-GB"/>
        </w:rPr>
      </w:pPr>
      <w:r w:rsidRPr="009C4058">
        <w:rPr>
          <w:rFonts w:cs="CMU Serif Roman"/>
          <w:lang w:val="en-GB"/>
        </w:rPr>
        <w:t xml:space="preserve">Hussey, I. (2020). </w:t>
      </w:r>
      <w:r w:rsidRPr="009C4058">
        <w:rPr>
          <w:rFonts w:cs="CMU Serif Roman"/>
          <w:i/>
          <w:iCs/>
          <w:lang w:val="en-GB"/>
        </w:rPr>
        <w:t>Bootstrapped Confidence Intervals around IAT D scores</w:t>
      </w:r>
      <w:r w:rsidRPr="009C4058">
        <w:rPr>
          <w:rFonts w:cs="CMU Serif Roman"/>
          <w:lang w:val="en-GB"/>
        </w:rPr>
        <w:t>. https://osf.io/t6c74</w:t>
      </w:r>
    </w:p>
    <w:p w14:paraId="41B4E4A2" w14:textId="77777777" w:rsidR="009C4058" w:rsidRPr="009C4058" w:rsidRDefault="009C4058" w:rsidP="009C4058">
      <w:pPr>
        <w:pStyle w:val="Bibliography"/>
        <w:rPr>
          <w:rFonts w:cs="CMU Serif Roman"/>
          <w:lang w:val="en-GB"/>
        </w:rPr>
      </w:pPr>
      <w:r w:rsidRPr="009C4058">
        <w:rPr>
          <w:rFonts w:cs="CMU Serif Roman"/>
          <w:lang w:val="en-GB"/>
        </w:rPr>
        <w:t xml:space="preserve">Hussey, I., Barnes-Holmes, D., &amp; Barnes-Holmes, Y. (2015). From Relational Frame Theory to implicit attitudes and back again: Clarifying the link between RFT and IRAP research. </w:t>
      </w:r>
      <w:r w:rsidRPr="009C4058">
        <w:rPr>
          <w:rFonts w:cs="CMU Serif Roman"/>
          <w:i/>
          <w:iCs/>
          <w:lang w:val="en-GB"/>
        </w:rPr>
        <w:t>Current Opinion in Psychology</w:t>
      </w:r>
      <w:r w:rsidRPr="009C4058">
        <w:rPr>
          <w:rFonts w:cs="CMU Serif Roman"/>
          <w:lang w:val="en-GB"/>
        </w:rPr>
        <w:t xml:space="preserve">, </w:t>
      </w:r>
      <w:r w:rsidRPr="009C4058">
        <w:rPr>
          <w:rFonts w:cs="CMU Serif Roman"/>
          <w:i/>
          <w:iCs/>
          <w:lang w:val="en-GB"/>
        </w:rPr>
        <w:t>2</w:t>
      </w:r>
      <w:r w:rsidRPr="009C4058">
        <w:rPr>
          <w:rFonts w:cs="CMU Serif Roman"/>
          <w:lang w:val="en-GB"/>
        </w:rPr>
        <w:t>, 11–15. https://doi.org/10.1016/j.copsyc.2014.12.009</w:t>
      </w:r>
    </w:p>
    <w:p w14:paraId="53B3E0E9" w14:textId="77777777" w:rsidR="009C4058" w:rsidRPr="009C4058" w:rsidRDefault="009C4058" w:rsidP="009C4058">
      <w:pPr>
        <w:pStyle w:val="Bibliography"/>
        <w:rPr>
          <w:rFonts w:cs="CMU Serif Roman"/>
          <w:lang w:val="en-GB"/>
        </w:rPr>
      </w:pPr>
      <w:r w:rsidRPr="009C4058">
        <w:rPr>
          <w:rFonts w:cs="CMU Serif Roman"/>
          <w:lang w:val="en-GB"/>
        </w:rPr>
        <w:t xml:space="preserve">Hussey, I., Daly, T., &amp; Barnes-Holmes, D. (2015). Life is Good, But Death Ain’t Bad Either: Counter-Intuitive Implicit Biases to Death in a Normative Population.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65</w:t>
      </w:r>
      <w:r w:rsidRPr="009C4058">
        <w:rPr>
          <w:rFonts w:cs="CMU Serif Roman"/>
          <w:lang w:val="en-GB"/>
        </w:rPr>
        <w:t>(4), 731–742. https://doi.org/10.1007/s40732-015-0142-3</w:t>
      </w:r>
    </w:p>
    <w:p w14:paraId="36C81E1E" w14:textId="77777777" w:rsidR="009C4058" w:rsidRPr="008721FF" w:rsidRDefault="009C4058" w:rsidP="009C4058">
      <w:pPr>
        <w:pStyle w:val="Bibliography"/>
        <w:rPr>
          <w:rFonts w:cs="CMU Serif Roman"/>
          <w:lang w:val="nb-NO"/>
        </w:rPr>
      </w:pPr>
      <w:r w:rsidRPr="009C4058">
        <w:rPr>
          <w:rFonts w:cs="CMU Serif Roman"/>
          <w:lang w:val="en-GB"/>
        </w:rPr>
        <w:t xml:space="preserve">Hussey, I., &amp; Drake, C. E. (2020a). The Implicit Relational Assessment Procedure demonstrates poor internal consistency and test-retest reliability: A meta-analysis. </w:t>
      </w:r>
      <w:r w:rsidRPr="008721FF">
        <w:rPr>
          <w:rFonts w:cs="CMU Serif Roman"/>
          <w:i/>
          <w:iCs/>
          <w:lang w:val="nb-NO"/>
        </w:rPr>
        <w:t>Preprint</w:t>
      </w:r>
      <w:r w:rsidRPr="008721FF">
        <w:rPr>
          <w:rFonts w:cs="CMU Serif Roman"/>
          <w:lang w:val="nb-NO"/>
        </w:rPr>
        <w:t>. https://doi.org/10.31234/osf.io/ge3k7</w:t>
      </w:r>
    </w:p>
    <w:p w14:paraId="363825B6" w14:textId="77777777" w:rsidR="009C4058" w:rsidRPr="009C4058" w:rsidRDefault="009C4058" w:rsidP="009C4058">
      <w:pPr>
        <w:pStyle w:val="Bibliography"/>
        <w:rPr>
          <w:rFonts w:cs="CMU Serif Roman"/>
          <w:lang w:val="en-GB"/>
        </w:rPr>
      </w:pPr>
      <w:r w:rsidRPr="008721FF">
        <w:rPr>
          <w:rFonts w:cs="CMU Serif Roman"/>
          <w:lang w:val="nb-NO"/>
        </w:rPr>
        <w:t xml:space="preserve">Hussey, I., &amp; Drake, C. E. (2020b). </w:t>
      </w:r>
      <w:r w:rsidRPr="009C4058">
        <w:rPr>
          <w:rFonts w:cs="CMU Serif Roman"/>
          <w:i/>
          <w:iCs/>
          <w:lang w:val="en-GB"/>
        </w:rPr>
        <w:t>The Implicit Relational Assessment Procedure is not very sensitive to the attitudes and learning histories it is used to assess</w:t>
      </w:r>
      <w:r w:rsidRPr="009C4058">
        <w:rPr>
          <w:rFonts w:cs="CMU Serif Roman"/>
          <w:lang w:val="en-GB"/>
        </w:rPr>
        <w:t>. PsyArXiv. https://doi.org/10.31234/osf.io/sp6jx</w:t>
      </w:r>
    </w:p>
    <w:p w14:paraId="230B9587" w14:textId="77777777" w:rsidR="009C4058" w:rsidRPr="009C4058" w:rsidRDefault="009C4058" w:rsidP="009C4058">
      <w:pPr>
        <w:pStyle w:val="Bibliography"/>
        <w:rPr>
          <w:rFonts w:cs="CMU Serif Roman"/>
          <w:lang w:val="en-GB"/>
        </w:rPr>
      </w:pPr>
      <w:r w:rsidRPr="009C4058">
        <w:rPr>
          <w:rFonts w:cs="CMU Serif Roman"/>
          <w:lang w:val="en-GB"/>
        </w:rPr>
        <w:t xml:space="preserve">Hussey, I., Thompson, M., McEnteggart, C., Barnes-Holmes, D., &amp; Barnes-Holmes, Y. (2015). Interpreting and inverting with less cursing: A guide to interpreting IRAP data.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4</w:t>
      </w:r>
      <w:r w:rsidRPr="009C4058">
        <w:rPr>
          <w:rFonts w:cs="CMU Serif Roman"/>
          <w:lang w:val="en-GB"/>
        </w:rPr>
        <w:t>(3), 157–162. https://doi.org/10.1016/j.jcbs.2015.05.001</w:t>
      </w:r>
    </w:p>
    <w:p w14:paraId="0E7430CA" w14:textId="77777777" w:rsidR="009C4058" w:rsidRPr="009C4058" w:rsidRDefault="009C4058" w:rsidP="009C4058">
      <w:pPr>
        <w:pStyle w:val="Bibliography"/>
        <w:rPr>
          <w:rFonts w:cs="CMU Serif Roman"/>
          <w:lang w:val="en-GB"/>
        </w:rPr>
      </w:pPr>
      <w:r w:rsidRPr="009C4058">
        <w:rPr>
          <w:rFonts w:cs="CMU Serif Roman"/>
          <w:lang w:val="en-GB"/>
        </w:rPr>
        <w:t xml:space="preserve">Kavanagh, D., Hussey, I., McEnteggart, C., Barnes-Holmes, Y., &amp; Barnes-Holmes, D. (2016). Using the IRAP to explore natural language statements.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5</w:t>
      </w:r>
      <w:r w:rsidRPr="009C4058">
        <w:rPr>
          <w:rFonts w:cs="CMU Serif Roman"/>
          <w:lang w:val="en-GB"/>
        </w:rPr>
        <w:t>(4), 247–251. https://doi.org/10.1016/j.jcbs.2016.10.001</w:t>
      </w:r>
    </w:p>
    <w:p w14:paraId="1A807992" w14:textId="77777777" w:rsidR="009C4058" w:rsidRPr="009C4058" w:rsidRDefault="009C4058" w:rsidP="009C4058">
      <w:pPr>
        <w:pStyle w:val="Bibliography"/>
        <w:rPr>
          <w:rFonts w:cs="CMU Serif Roman"/>
          <w:lang w:val="en-GB"/>
        </w:rPr>
      </w:pPr>
      <w:r w:rsidRPr="009C4058">
        <w:rPr>
          <w:rFonts w:cs="CMU Serif Roman"/>
          <w:lang w:val="en-GB"/>
        </w:rPr>
        <w:t xml:space="preserve">Klein, C. (2020). </w:t>
      </w:r>
      <w:r w:rsidRPr="009C4058">
        <w:rPr>
          <w:rFonts w:cs="CMU Serif Roman"/>
          <w:i/>
          <w:iCs/>
          <w:lang w:val="en-GB"/>
        </w:rPr>
        <w:t>Confidence Intervals on Implicit Association Test Scores Are Really Rather Large</w:t>
      </w:r>
      <w:r w:rsidRPr="009C4058">
        <w:rPr>
          <w:rFonts w:cs="CMU Serif Roman"/>
          <w:lang w:val="en-GB"/>
        </w:rPr>
        <w:t xml:space="preserve"> [Preprint]. PsyArXiv. https://doi.org/10.31234/osf.io/5djkh</w:t>
      </w:r>
    </w:p>
    <w:p w14:paraId="4DC494C1"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Lenth, R. V., Buerkner, P., Herve, M., Jung, M., Love, J., Miguez, F., Riebl, H., &amp; Singmann, H. (2022). </w:t>
      </w:r>
      <w:r w:rsidRPr="009C4058">
        <w:rPr>
          <w:rFonts w:cs="CMU Serif Roman"/>
          <w:i/>
          <w:iCs/>
          <w:lang w:val="en-GB"/>
        </w:rPr>
        <w:t>emmeans: Estimated Marginal Means, aka Least-Squares Means</w:t>
      </w:r>
      <w:r w:rsidRPr="009C4058">
        <w:rPr>
          <w:rFonts w:cs="CMU Serif Roman"/>
          <w:lang w:val="en-GB"/>
        </w:rPr>
        <w:t xml:space="preserve"> (1.8.0). https://CRAN.R-project.org/package=emmeans</w:t>
      </w:r>
    </w:p>
    <w:p w14:paraId="098B8B3B" w14:textId="77777777" w:rsidR="009C4058" w:rsidRPr="009C4058" w:rsidRDefault="009C4058" w:rsidP="009C4058">
      <w:pPr>
        <w:pStyle w:val="Bibliography"/>
        <w:rPr>
          <w:rFonts w:cs="CMU Serif Roman"/>
          <w:lang w:val="en-GB"/>
        </w:rPr>
      </w:pPr>
      <w:r w:rsidRPr="008721FF">
        <w:rPr>
          <w:rFonts w:cs="CMU Serif Roman"/>
          <w:lang w:val="nl-NL"/>
        </w:rPr>
        <w:t xml:space="preserve">Levin, M. E., Hayes, S. C., &amp; Waltz, T. (2010). </w:t>
      </w:r>
      <w:r w:rsidRPr="009C4058">
        <w:rPr>
          <w:rFonts w:cs="CMU Serif Roman"/>
          <w:lang w:val="en-GB"/>
        </w:rPr>
        <w:t xml:space="preserve">Creating an implicit measure of cognition more suited to applied research: A test of the Mixed Trial—Implicit Relational Assessment Procedure (MT-IRAP). </w:t>
      </w:r>
      <w:r w:rsidRPr="009C4058">
        <w:rPr>
          <w:rFonts w:cs="CMU Serif Roman"/>
          <w:i/>
          <w:iCs/>
          <w:lang w:val="en-GB"/>
        </w:rPr>
        <w:t>International Journal of Behavioral Consultation and Therapy</w:t>
      </w:r>
      <w:r w:rsidRPr="009C4058">
        <w:rPr>
          <w:rFonts w:cs="CMU Serif Roman"/>
          <w:lang w:val="en-GB"/>
        </w:rPr>
        <w:t xml:space="preserve">, </w:t>
      </w:r>
      <w:r w:rsidRPr="009C4058">
        <w:rPr>
          <w:rFonts w:cs="CMU Serif Roman"/>
          <w:i/>
          <w:iCs/>
          <w:lang w:val="en-GB"/>
        </w:rPr>
        <w:t>6</w:t>
      </w:r>
      <w:r w:rsidRPr="009C4058">
        <w:rPr>
          <w:rFonts w:cs="CMU Serif Roman"/>
          <w:lang w:val="en-GB"/>
        </w:rPr>
        <w:t>(3), 245–262. psyh. https://doi.org/10.1037/h0100911</w:t>
      </w:r>
    </w:p>
    <w:p w14:paraId="4969051D" w14:textId="77777777" w:rsidR="009C4058" w:rsidRPr="009C4058" w:rsidRDefault="009C4058" w:rsidP="009C4058">
      <w:pPr>
        <w:pStyle w:val="Bibliography"/>
        <w:rPr>
          <w:rFonts w:cs="CMU Serif Roman"/>
          <w:lang w:val="en-GB"/>
        </w:rPr>
      </w:pPr>
      <w:r w:rsidRPr="008721FF">
        <w:rPr>
          <w:rFonts w:cs="CMU Serif Roman"/>
          <w:lang w:val="nl-NL"/>
        </w:rPr>
        <w:t xml:space="preserve">Liefooghe, B., Hughes, S., Schmidt, J., &amp; De Houwer, J. (2019). </w:t>
      </w:r>
      <w:r w:rsidRPr="009C4058">
        <w:rPr>
          <w:rFonts w:cs="CMU Serif Roman"/>
          <w:lang w:val="en-GB"/>
        </w:rPr>
        <w:t xml:space="preserve">Stroop-like effects of derived stimulus-stimulus relations. </w:t>
      </w:r>
      <w:r w:rsidRPr="009C4058">
        <w:rPr>
          <w:rFonts w:cs="CMU Serif Roman"/>
          <w:i/>
          <w:iCs/>
          <w:lang w:val="en-GB"/>
        </w:rPr>
        <w:t>Journal of Experimental Psychology. Learning, Memory, and Cognition</w:t>
      </w:r>
      <w:r w:rsidRPr="009C4058">
        <w:rPr>
          <w:rFonts w:cs="CMU Serif Roman"/>
          <w:lang w:val="en-GB"/>
        </w:rPr>
        <w:t xml:space="preserve">, </w:t>
      </w:r>
      <w:r w:rsidRPr="009C4058">
        <w:rPr>
          <w:rFonts w:cs="CMU Serif Roman"/>
          <w:i/>
          <w:iCs/>
          <w:lang w:val="en-GB"/>
        </w:rPr>
        <w:t>46</w:t>
      </w:r>
      <w:r w:rsidRPr="009C4058">
        <w:rPr>
          <w:rFonts w:cs="CMU Serif Roman"/>
          <w:lang w:val="en-GB"/>
        </w:rPr>
        <w:t>(2), 327–349. https://doi.org/10.1037/xlm0000724</w:t>
      </w:r>
    </w:p>
    <w:p w14:paraId="5CF60997" w14:textId="77777777" w:rsidR="009C4058" w:rsidRPr="009C4058" w:rsidRDefault="009C4058" w:rsidP="009C4058">
      <w:pPr>
        <w:pStyle w:val="Bibliography"/>
        <w:rPr>
          <w:rFonts w:cs="CMU Serif Roman"/>
          <w:lang w:val="en-GB"/>
        </w:rPr>
      </w:pPr>
      <w:r w:rsidRPr="009C4058">
        <w:rPr>
          <w:rFonts w:cs="CMU Serif Roman"/>
          <w:lang w:val="en-GB"/>
        </w:rPr>
        <w:t xml:space="preserve">Makowski, D., Ben-Shachar, M. S., &amp; Lüdecke, D. (2019). bayestestR: Describing Effects and their Uncertainty, Existence and Significance within the Bayesian Framework. </w:t>
      </w:r>
      <w:r w:rsidRPr="009C4058">
        <w:rPr>
          <w:rFonts w:cs="CMU Serif Roman"/>
          <w:i/>
          <w:iCs/>
          <w:lang w:val="en-GB"/>
        </w:rPr>
        <w:t>Journal of Open Source Software</w:t>
      </w:r>
      <w:r w:rsidRPr="009C4058">
        <w:rPr>
          <w:rFonts w:cs="CMU Serif Roman"/>
          <w:lang w:val="en-GB"/>
        </w:rPr>
        <w:t xml:space="preserve">, </w:t>
      </w:r>
      <w:r w:rsidRPr="009C4058">
        <w:rPr>
          <w:rFonts w:cs="CMU Serif Roman"/>
          <w:i/>
          <w:iCs/>
          <w:lang w:val="en-GB"/>
        </w:rPr>
        <w:t>4</w:t>
      </w:r>
      <w:r w:rsidRPr="009C4058">
        <w:rPr>
          <w:rFonts w:cs="CMU Serif Roman"/>
          <w:lang w:val="en-GB"/>
        </w:rPr>
        <w:t>(40), 1541. https://doi.org/10.21105/joss.01541</w:t>
      </w:r>
    </w:p>
    <w:p w14:paraId="65DAE0D0" w14:textId="77777777" w:rsidR="009C4058" w:rsidRPr="009C4058" w:rsidRDefault="009C4058" w:rsidP="009C4058">
      <w:pPr>
        <w:pStyle w:val="Bibliography"/>
        <w:rPr>
          <w:rFonts w:cs="CMU Serif Roman"/>
          <w:lang w:val="en-GB"/>
        </w:rPr>
      </w:pPr>
      <w:r w:rsidRPr="009C4058">
        <w:rPr>
          <w:rFonts w:cs="CMU Serif Roman"/>
          <w:lang w:val="en-GB"/>
        </w:rPr>
        <w:t xml:space="preserve">Mooney, C. Z., Mooney, C. F., Mooney, C. L., Duval, R. D., &amp; Duvall, R. (1993). </w:t>
      </w:r>
      <w:r w:rsidRPr="009C4058">
        <w:rPr>
          <w:rFonts w:cs="CMU Serif Roman"/>
          <w:i/>
          <w:iCs/>
          <w:lang w:val="en-GB"/>
        </w:rPr>
        <w:t>Bootstrapping: A nonparametric approach to statistical inference</w:t>
      </w:r>
      <w:r w:rsidRPr="009C4058">
        <w:rPr>
          <w:rFonts w:cs="CMU Serif Roman"/>
          <w:lang w:val="en-GB"/>
        </w:rPr>
        <w:t>. sage.</w:t>
      </w:r>
    </w:p>
    <w:p w14:paraId="18EF682D" w14:textId="77777777" w:rsidR="009C4058" w:rsidRPr="009C4058" w:rsidRDefault="009C4058" w:rsidP="009C4058">
      <w:pPr>
        <w:pStyle w:val="Bibliography"/>
        <w:rPr>
          <w:rFonts w:cs="CMU Serif Roman"/>
          <w:lang w:val="en-GB"/>
        </w:rPr>
      </w:pPr>
      <w:r w:rsidRPr="009C4058">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r w:rsidRPr="009C4058">
        <w:rPr>
          <w:rFonts w:cs="CMU Serif Roman"/>
          <w:i/>
          <w:iCs/>
          <w:lang w:val="en-GB"/>
        </w:rPr>
        <w:t>Behavior Analysis in Practice</w:t>
      </w:r>
      <w:r w:rsidRPr="009C4058">
        <w:rPr>
          <w:rFonts w:cs="CMU Serif Roman"/>
          <w:lang w:val="en-GB"/>
        </w:rPr>
        <w:t xml:space="preserve">, </w:t>
      </w:r>
      <w:r w:rsidRPr="009C4058">
        <w:rPr>
          <w:rFonts w:cs="CMU Serif Roman"/>
          <w:i/>
          <w:iCs/>
          <w:lang w:val="en-GB"/>
        </w:rPr>
        <w:t>12</w:t>
      </w:r>
      <w:r w:rsidRPr="009C4058">
        <w:rPr>
          <w:rFonts w:cs="CMU Serif Roman"/>
          <w:lang w:val="en-GB"/>
        </w:rPr>
        <w:t>(1), 52–65. https://doi.org/10.1007/s40617-018-00302-9</w:t>
      </w:r>
    </w:p>
    <w:p w14:paraId="337C4D4E" w14:textId="77777777" w:rsidR="009C4058" w:rsidRPr="009C4058" w:rsidRDefault="009C4058" w:rsidP="009C4058">
      <w:pPr>
        <w:pStyle w:val="Bibliography"/>
        <w:rPr>
          <w:rFonts w:cs="CMU Serif Roman"/>
          <w:lang w:val="en-GB"/>
        </w:rPr>
      </w:pPr>
      <w:r w:rsidRPr="009C4058">
        <w:rPr>
          <w:rFonts w:cs="CMU Serif Roman"/>
          <w:lang w:val="en-GB"/>
        </w:rPr>
        <w:t xml:space="preserve">Nosek, B. A., Greenwald, A. G., &amp; Banaji, M. R. (2005). Understanding and using the Implicit Association Test: II. Method variables and construct validity. </w:t>
      </w:r>
      <w:r w:rsidRPr="009C4058">
        <w:rPr>
          <w:rFonts w:cs="CMU Serif Roman"/>
          <w:i/>
          <w:iCs/>
          <w:lang w:val="en-GB"/>
        </w:rPr>
        <w:t>Personality &amp; Social Psychology Bulletin</w:t>
      </w:r>
      <w:r w:rsidRPr="009C4058">
        <w:rPr>
          <w:rFonts w:cs="CMU Serif Roman"/>
          <w:lang w:val="en-GB"/>
        </w:rPr>
        <w:t xml:space="preserve">, </w:t>
      </w:r>
      <w:r w:rsidRPr="009C4058">
        <w:rPr>
          <w:rFonts w:cs="CMU Serif Roman"/>
          <w:i/>
          <w:iCs/>
          <w:lang w:val="en-GB"/>
        </w:rPr>
        <w:t>31</w:t>
      </w:r>
      <w:r w:rsidRPr="009C4058">
        <w:rPr>
          <w:rFonts w:cs="CMU Serif Roman"/>
          <w:lang w:val="en-GB"/>
        </w:rPr>
        <w:t>(2), 166–180. https://doi.org/10.1177/0146167204271418</w:t>
      </w:r>
    </w:p>
    <w:p w14:paraId="42AE83B3" w14:textId="77777777" w:rsidR="009C4058" w:rsidRPr="009C4058" w:rsidRDefault="009C4058" w:rsidP="009C4058">
      <w:pPr>
        <w:pStyle w:val="Bibliography"/>
        <w:rPr>
          <w:rFonts w:cs="CMU Serif Roman"/>
          <w:lang w:val="en-GB"/>
        </w:rPr>
      </w:pPr>
      <w:r w:rsidRPr="009C4058">
        <w:rPr>
          <w:rFonts w:cs="CMU Serif Roman"/>
          <w:lang w:val="en-GB"/>
        </w:rPr>
        <w:t xml:space="preserve">O’Shea, B., Watson, D. G., &amp; Brown, G. D. A. (2016). Measuring implicit attitudes: A positive framing bias flaw in the Implicit Relational Assessment Procedure (IRAP). </w:t>
      </w:r>
      <w:r w:rsidRPr="009C4058">
        <w:rPr>
          <w:rFonts w:cs="CMU Serif Roman"/>
          <w:i/>
          <w:iCs/>
          <w:lang w:val="en-GB"/>
        </w:rPr>
        <w:t>Psychological Assessment</w:t>
      </w:r>
      <w:r w:rsidRPr="009C4058">
        <w:rPr>
          <w:rFonts w:cs="CMU Serif Roman"/>
          <w:lang w:val="en-GB"/>
        </w:rPr>
        <w:t xml:space="preserve">, </w:t>
      </w:r>
      <w:r w:rsidRPr="009C4058">
        <w:rPr>
          <w:rFonts w:cs="CMU Serif Roman"/>
          <w:i/>
          <w:iCs/>
          <w:lang w:val="en-GB"/>
        </w:rPr>
        <w:t>28</w:t>
      </w:r>
      <w:r w:rsidRPr="009C4058">
        <w:rPr>
          <w:rFonts w:cs="CMU Serif Roman"/>
          <w:lang w:val="en-GB"/>
        </w:rPr>
        <w:t>(2), 158–170. https://doi.org/10.1037/pas0000172</w:t>
      </w:r>
    </w:p>
    <w:p w14:paraId="3BFF461D"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Ratcliff, R. (1993). Methods for dealing with reaction time outliers. </w:t>
      </w:r>
      <w:r w:rsidRPr="009C4058">
        <w:rPr>
          <w:rFonts w:cs="CMU Serif Roman"/>
          <w:i/>
          <w:iCs/>
          <w:lang w:val="en-GB"/>
        </w:rPr>
        <w:t>Psychological Bulletin</w:t>
      </w:r>
      <w:r w:rsidRPr="009C4058">
        <w:rPr>
          <w:rFonts w:cs="CMU Serif Roman"/>
          <w:lang w:val="en-GB"/>
        </w:rPr>
        <w:t xml:space="preserve">, </w:t>
      </w:r>
      <w:r w:rsidRPr="009C4058">
        <w:rPr>
          <w:rFonts w:cs="CMU Serif Roman"/>
          <w:i/>
          <w:iCs/>
          <w:lang w:val="en-GB"/>
        </w:rPr>
        <w:t>114</w:t>
      </w:r>
      <w:r w:rsidRPr="009C4058">
        <w:rPr>
          <w:rFonts w:cs="CMU Serif Roman"/>
          <w:lang w:val="en-GB"/>
        </w:rPr>
        <w:t>(4), 510–532. https://doi.org/10.1037/0033-2909.114.3.510</w:t>
      </w:r>
    </w:p>
    <w:p w14:paraId="4B31A971" w14:textId="77777777" w:rsidR="009C4058" w:rsidRPr="009C4058" w:rsidRDefault="009C4058" w:rsidP="009C4058">
      <w:pPr>
        <w:pStyle w:val="Bibliography"/>
        <w:rPr>
          <w:rFonts w:cs="CMU Serif Roman"/>
          <w:lang w:val="en-GB"/>
        </w:rPr>
      </w:pPr>
      <w:r w:rsidRPr="009C4058">
        <w:rPr>
          <w:rFonts w:cs="CMU Serif Roman"/>
          <w:lang w:val="en-GB"/>
        </w:rPr>
        <w:t xml:space="preserve">Ruscio, J. (2008). A probability-based measure of effect size: Robustness to base rates and other factors. </w:t>
      </w:r>
      <w:r w:rsidRPr="009C4058">
        <w:rPr>
          <w:rFonts w:cs="CMU Serif Roman"/>
          <w:i/>
          <w:iCs/>
          <w:lang w:val="en-GB"/>
        </w:rPr>
        <w:t>Psychological Methods</w:t>
      </w:r>
      <w:r w:rsidRPr="009C4058">
        <w:rPr>
          <w:rFonts w:cs="CMU Serif Roman"/>
          <w:lang w:val="en-GB"/>
        </w:rPr>
        <w:t xml:space="preserve">, </w:t>
      </w:r>
      <w:r w:rsidRPr="009C4058">
        <w:rPr>
          <w:rFonts w:cs="CMU Serif Roman"/>
          <w:i/>
          <w:iCs/>
          <w:lang w:val="en-GB"/>
        </w:rPr>
        <w:t>13</w:t>
      </w:r>
      <w:r w:rsidRPr="009C4058">
        <w:rPr>
          <w:rFonts w:cs="CMU Serif Roman"/>
          <w:lang w:val="en-GB"/>
        </w:rPr>
        <w:t>(1), 19–30. https://doi.org/10.1037/1082-989X.13.1.19</w:t>
      </w:r>
    </w:p>
    <w:p w14:paraId="4B3E24E6" w14:textId="77777777" w:rsidR="009C4058" w:rsidRPr="009C4058" w:rsidRDefault="009C4058" w:rsidP="009C4058">
      <w:pPr>
        <w:pStyle w:val="Bibliography"/>
        <w:rPr>
          <w:rFonts w:cs="CMU Serif Roman"/>
          <w:lang w:val="en-GB"/>
        </w:rPr>
      </w:pPr>
      <w:r w:rsidRPr="009C4058">
        <w:rPr>
          <w:rFonts w:cs="CMU Serif Roman"/>
          <w:lang w:val="en-GB"/>
        </w:rPr>
        <w:t xml:space="preserve">Swinscow, T. D. V., &amp; Campbell, M. J. (1997). </w:t>
      </w:r>
      <w:r w:rsidRPr="009C4058">
        <w:rPr>
          <w:rFonts w:cs="CMU Serif Roman"/>
          <w:i/>
          <w:iCs/>
          <w:lang w:val="en-GB"/>
        </w:rPr>
        <w:t>Statistics at Square One</w:t>
      </w:r>
      <w:r w:rsidRPr="009C4058">
        <w:rPr>
          <w:rFonts w:cs="CMU Serif Roman"/>
          <w:lang w:val="en-GB"/>
        </w:rPr>
        <w:t xml:space="preserve"> (9th Ed.). BMJ Publishing Group. https://www.bmj.com/about-bmj/resources-readers/publications/statistics-square-one</w:t>
      </w:r>
    </w:p>
    <w:p w14:paraId="2A1A6505" w14:textId="77777777" w:rsidR="009C4058" w:rsidRPr="009C4058" w:rsidRDefault="009C4058" w:rsidP="009C4058">
      <w:pPr>
        <w:pStyle w:val="Bibliography"/>
        <w:rPr>
          <w:rFonts w:cs="CMU Serif Roman"/>
          <w:lang w:val="en-GB"/>
        </w:rPr>
      </w:pPr>
      <w:r w:rsidRPr="009C4058">
        <w:rPr>
          <w:rFonts w:cs="CMU Serif Roman"/>
          <w:lang w:val="en-GB"/>
        </w:rPr>
        <w:t xml:space="preserve">Vahey, N. A., Nicholson, E., &amp; Barnes-Holmes, D. (2015). A meta-analysis of criterion effects for the Implicit Relational Assessment Procedure (IRAP) in the clinical domain. </w:t>
      </w:r>
      <w:r w:rsidRPr="009C4058">
        <w:rPr>
          <w:rFonts w:cs="CMU Serif Roman"/>
          <w:i/>
          <w:iCs/>
          <w:lang w:val="en-GB"/>
        </w:rPr>
        <w:t>Journal of Behavior Therapy and Experimental Psychiatry</w:t>
      </w:r>
      <w:r w:rsidRPr="009C4058">
        <w:rPr>
          <w:rFonts w:cs="CMU Serif Roman"/>
          <w:lang w:val="en-GB"/>
        </w:rPr>
        <w:t xml:space="preserve">, </w:t>
      </w:r>
      <w:r w:rsidRPr="009C4058">
        <w:rPr>
          <w:rFonts w:cs="CMU Serif Roman"/>
          <w:i/>
          <w:iCs/>
          <w:lang w:val="en-GB"/>
        </w:rPr>
        <w:t>48</w:t>
      </w:r>
      <w:r w:rsidRPr="009C4058">
        <w:rPr>
          <w:rFonts w:cs="CMU Serif Roman"/>
          <w:lang w:val="en-GB"/>
        </w:rPr>
        <w:t>, 59–65. https://doi.org/10.1016/j.jbtep.2015.01.004</w:t>
      </w:r>
    </w:p>
    <w:p w14:paraId="51A24602"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(2010). Conducting Meta-Analyses in R with the metafor Package.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36</w:t>
      </w:r>
      <w:r w:rsidRPr="009C4058">
        <w:rPr>
          <w:rFonts w:cs="CMU Serif Roman"/>
          <w:lang w:val="en-GB"/>
        </w:rPr>
        <w:t>(3). https://doi.org/10.18637/jss.v036.i03</w:t>
      </w:r>
    </w:p>
    <w:p w14:paraId="5964A8B8"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(2022). </w:t>
      </w:r>
      <w:r w:rsidRPr="009C4058">
        <w:rPr>
          <w:rFonts w:cs="CMU Serif Roman"/>
          <w:i/>
          <w:iCs/>
          <w:lang w:val="en-GB"/>
        </w:rPr>
        <w:t>A Comparison of the rma() and the lm(), lme(), and lmer() Functions</w:t>
      </w:r>
      <w:r w:rsidRPr="009C4058">
        <w:rPr>
          <w:rFonts w:cs="CMU Serif Roman"/>
          <w:lang w:val="en-GB"/>
        </w:rPr>
        <w:t>. https://www.metafor-project.org/doku.php/tips:rma_vs_lm_lme_lmer</w:t>
      </w:r>
    </w:p>
    <w:p w14:paraId="05A98D90" w14:textId="77777777" w:rsidR="009C4058" w:rsidRPr="009C4058" w:rsidRDefault="009C4058" w:rsidP="009C4058">
      <w:pPr>
        <w:pStyle w:val="Bibliography"/>
        <w:rPr>
          <w:rFonts w:cs="CMU Serif Roman"/>
          <w:lang w:val="en-GB"/>
        </w:rPr>
      </w:pPr>
      <w:r w:rsidRPr="009C4058">
        <w:rPr>
          <w:rFonts w:cs="CMU Serif Roman"/>
          <w:lang w:val="en-GB"/>
        </w:rPr>
        <w:t xml:space="preserve">Weir, J. P. (2005). Quantifying test-retest reliability using the intraclass correlation coefficient and the SEM. </w:t>
      </w:r>
      <w:r w:rsidRPr="009C4058">
        <w:rPr>
          <w:rFonts w:cs="CMU Serif Roman"/>
          <w:i/>
          <w:iCs/>
          <w:lang w:val="en-GB"/>
        </w:rPr>
        <w:t>Journal of Strength and Conditioning Research</w:t>
      </w:r>
      <w:r w:rsidRPr="009C4058">
        <w:rPr>
          <w:rFonts w:cs="CMU Serif Roman"/>
          <w:lang w:val="en-GB"/>
        </w:rPr>
        <w:t xml:space="preserve">, </w:t>
      </w:r>
      <w:r w:rsidRPr="009C4058">
        <w:rPr>
          <w:rFonts w:cs="CMU Serif Roman"/>
          <w:i/>
          <w:iCs/>
          <w:lang w:val="en-GB"/>
        </w:rPr>
        <w:t>19</w:t>
      </w:r>
      <w:r w:rsidRPr="009C4058">
        <w:rPr>
          <w:rFonts w:cs="CMU Serif Roman"/>
          <w:lang w:val="en-GB"/>
        </w:rPr>
        <w:t>(1), 231–240. https://doi.org/10.1519/15184.1</w:t>
      </w:r>
    </w:p>
    <w:p w14:paraId="54A8844F" w14:textId="77777777" w:rsidR="009C4058" w:rsidRPr="009C4058" w:rsidRDefault="009C4058" w:rsidP="009C4058">
      <w:pPr>
        <w:pStyle w:val="Bibliography"/>
        <w:rPr>
          <w:rFonts w:cs="CMU Serif Roman"/>
          <w:lang w:val="en-GB"/>
        </w:rPr>
      </w:pPr>
      <w:r w:rsidRPr="009C4058">
        <w:rPr>
          <w:rFonts w:cs="CMU Serif Roman"/>
          <w:lang w:val="en-GB"/>
        </w:rPr>
        <w:t xml:space="preserve">Whelan, R. (2008). Effective analysis of reaction time data.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58</w:t>
      </w:r>
      <w:r w:rsidRPr="009C4058">
        <w:rPr>
          <w:rFonts w:cs="CMU Serif Roman"/>
          <w:lang w:val="en-GB"/>
        </w:rPr>
        <w:t>(3), 475–482.</w:t>
      </w:r>
    </w:p>
    <w:p w14:paraId="61BE35A5" w14:textId="40F36D1F" w:rsidR="004559D9" w:rsidRPr="0030678A" w:rsidRDefault="00E20116" w:rsidP="00373D03">
      <w:pPr>
        <w:pStyle w:val="Bibliography"/>
      </w:pPr>
      <w:r>
        <w:fldChar w:fldCharType="end"/>
      </w:r>
    </w:p>
    <w:sectPr w:rsidR="004559D9" w:rsidRPr="0030678A">
      <w:head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10T15:36:00Z" w:initials="IH">
    <w:p w14:paraId="1E9FF698" w14:textId="1F0DC1C2" w:rsidR="00F90270" w:rsidRDefault="00F90270">
      <w:pPr>
        <w:pStyle w:val="CommentText"/>
      </w:pPr>
      <w:r>
        <w:rPr>
          <w:rStyle w:val="CommentReference"/>
        </w:rPr>
        <w:annotationRef/>
      </w:r>
      <w:r>
        <w:t>Add that this dataset was constructed from a broader serach in qhich many labs were contacted, but only this one collaborator provided fruitful data.</w:t>
      </w:r>
    </w:p>
  </w:comment>
  <w:comment w:id="4" w:author="Ian Hussey" w:date="2022-08-10T15:58:00Z" w:initials="IH">
    <w:p w14:paraId="2190F27B" w14:textId="77777777" w:rsidR="00CE3B06" w:rsidRDefault="00CE3B06" w:rsidP="00CE3B06">
      <w:pPr>
        <w:pStyle w:val="CommentText"/>
      </w:pPr>
      <w:r>
        <w:rPr>
          <w:rStyle w:val="CommentReference"/>
        </w:rPr>
        <w:annotationRef/>
      </w:r>
      <w:r>
        <w:t>Why missing values here?</w:t>
      </w:r>
    </w:p>
  </w:comment>
  <w:comment w:id="5" w:author="Ian Hussey" w:date="2022-08-10T15:44:00Z" w:initials="IH">
    <w:p w14:paraId="3C8BCBD6" w14:textId="6A8755B3" w:rsidR="00301C97" w:rsidRDefault="00301C97">
      <w:pPr>
        <w:pStyle w:val="CommentText"/>
      </w:pPr>
      <w:r>
        <w:rPr>
          <w:rStyle w:val="CommentReference"/>
        </w:rPr>
        <w:annotationRef/>
      </w:r>
      <w:r>
        <w:t>update</w:t>
      </w:r>
    </w:p>
  </w:comment>
  <w:comment w:id="6"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F698" w15:done="0"/>
  <w15:commentEx w15:paraId="2190F27B" w15:done="0"/>
  <w15:commentEx w15:paraId="3C8BCBD6"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4EE8" w16cex:dateUtc="2022-08-10T13:36:00Z"/>
  <w16cex:commentExtensible w16cex:durableId="269E540B" w16cex:dateUtc="2022-08-10T13:58:00Z"/>
  <w16cex:commentExtensible w16cex:durableId="269E50C1" w16cex:dateUtc="2022-08-10T13:44: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F698" w16cid:durableId="269E4EE8"/>
  <w16cid:commentId w16cid:paraId="2190F27B" w16cid:durableId="269E540B"/>
  <w16cid:commentId w16cid:paraId="3C8BCBD6" w16cid:durableId="269E50C1"/>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D3F1" w14:textId="77777777" w:rsidR="00E8743C" w:rsidRDefault="00E8743C">
      <w:pPr>
        <w:spacing w:line="240" w:lineRule="auto"/>
      </w:pPr>
      <w:r>
        <w:separator/>
      </w:r>
    </w:p>
  </w:endnote>
  <w:endnote w:type="continuationSeparator" w:id="0">
    <w:p w14:paraId="4547014E" w14:textId="77777777" w:rsidR="00E8743C" w:rsidRDefault="00E87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E945" w14:textId="77777777" w:rsidR="00E8743C" w:rsidRDefault="00E8743C">
      <w:pPr>
        <w:spacing w:line="240" w:lineRule="auto"/>
      </w:pPr>
      <w:r>
        <w:separator/>
      </w:r>
    </w:p>
  </w:footnote>
  <w:footnote w:type="continuationSeparator" w:id="0">
    <w:p w14:paraId="1922F937" w14:textId="77777777" w:rsidR="00E8743C" w:rsidRDefault="00E87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27F97"/>
    <w:rsid w:val="00031BB8"/>
    <w:rsid w:val="00035451"/>
    <w:rsid w:val="000362BA"/>
    <w:rsid w:val="000402AA"/>
    <w:rsid w:val="00040C72"/>
    <w:rsid w:val="0004274E"/>
    <w:rsid w:val="00044447"/>
    <w:rsid w:val="00044BE3"/>
    <w:rsid w:val="000456A6"/>
    <w:rsid w:val="00046A4A"/>
    <w:rsid w:val="00050A69"/>
    <w:rsid w:val="0005157A"/>
    <w:rsid w:val="00054301"/>
    <w:rsid w:val="00055D50"/>
    <w:rsid w:val="00055F7C"/>
    <w:rsid w:val="0005603F"/>
    <w:rsid w:val="00061A6B"/>
    <w:rsid w:val="00063948"/>
    <w:rsid w:val="00064281"/>
    <w:rsid w:val="00065655"/>
    <w:rsid w:val="000667E9"/>
    <w:rsid w:val="000704C7"/>
    <w:rsid w:val="0007381E"/>
    <w:rsid w:val="00075C33"/>
    <w:rsid w:val="00077350"/>
    <w:rsid w:val="000800EF"/>
    <w:rsid w:val="0008181B"/>
    <w:rsid w:val="00083A87"/>
    <w:rsid w:val="00084D5D"/>
    <w:rsid w:val="00087606"/>
    <w:rsid w:val="00091214"/>
    <w:rsid w:val="00095EAB"/>
    <w:rsid w:val="00096216"/>
    <w:rsid w:val="00097DA0"/>
    <w:rsid w:val="000A29CC"/>
    <w:rsid w:val="000A3EE7"/>
    <w:rsid w:val="000A4CF6"/>
    <w:rsid w:val="000A57E6"/>
    <w:rsid w:val="000A73A9"/>
    <w:rsid w:val="000B24FF"/>
    <w:rsid w:val="000B2B81"/>
    <w:rsid w:val="000B31B4"/>
    <w:rsid w:val="000B32F8"/>
    <w:rsid w:val="000B5863"/>
    <w:rsid w:val="000B797D"/>
    <w:rsid w:val="000C2281"/>
    <w:rsid w:val="000C3871"/>
    <w:rsid w:val="000C50B8"/>
    <w:rsid w:val="000C5D1B"/>
    <w:rsid w:val="000D0C2E"/>
    <w:rsid w:val="000D1C63"/>
    <w:rsid w:val="000D2B47"/>
    <w:rsid w:val="000D564B"/>
    <w:rsid w:val="000D6CD8"/>
    <w:rsid w:val="000D7136"/>
    <w:rsid w:val="000D7138"/>
    <w:rsid w:val="000E1D0B"/>
    <w:rsid w:val="000E1D83"/>
    <w:rsid w:val="000E2B46"/>
    <w:rsid w:val="000E4B5A"/>
    <w:rsid w:val="000E6C57"/>
    <w:rsid w:val="000E6F17"/>
    <w:rsid w:val="000E72A9"/>
    <w:rsid w:val="000E750B"/>
    <w:rsid w:val="000E79D1"/>
    <w:rsid w:val="000F0DD0"/>
    <w:rsid w:val="000F1EC8"/>
    <w:rsid w:val="000F1F4A"/>
    <w:rsid w:val="000F1F7F"/>
    <w:rsid w:val="000F237C"/>
    <w:rsid w:val="000F34F3"/>
    <w:rsid w:val="000F4A0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340"/>
    <w:rsid w:val="00142425"/>
    <w:rsid w:val="00143ADA"/>
    <w:rsid w:val="0014481A"/>
    <w:rsid w:val="0014528B"/>
    <w:rsid w:val="00146AC6"/>
    <w:rsid w:val="00146EAD"/>
    <w:rsid w:val="00147AFD"/>
    <w:rsid w:val="00147E28"/>
    <w:rsid w:val="00147FCF"/>
    <w:rsid w:val="00152BC1"/>
    <w:rsid w:val="00153B4D"/>
    <w:rsid w:val="001542F9"/>
    <w:rsid w:val="001565A6"/>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50ED"/>
    <w:rsid w:val="00176C64"/>
    <w:rsid w:val="00183BED"/>
    <w:rsid w:val="001844A2"/>
    <w:rsid w:val="00184BF1"/>
    <w:rsid w:val="00185778"/>
    <w:rsid w:val="001865F2"/>
    <w:rsid w:val="00190183"/>
    <w:rsid w:val="0019308B"/>
    <w:rsid w:val="001939A0"/>
    <w:rsid w:val="001959A0"/>
    <w:rsid w:val="001969ED"/>
    <w:rsid w:val="00197696"/>
    <w:rsid w:val="001A2F5B"/>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BC1"/>
    <w:rsid w:val="001E37CE"/>
    <w:rsid w:val="001E39A8"/>
    <w:rsid w:val="001E498A"/>
    <w:rsid w:val="001F13D0"/>
    <w:rsid w:val="001F2C58"/>
    <w:rsid w:val="001F34C8"/>
    <w:rsid w:val="001F395C"/>
    <w:rsid w:val="001F3ACE"/>
    <w:rsid w:val="001F3D23"/>
    <w:rsid w:val="001F3F60"/>
    <w:rsid w:val="001F55A6"/>
    <w:rsid w:val="001F5BEB"/>
    <w:rsid w:val="001F649A"/>
    <w:rsid w:val="001F65ED"/>
    <w:rsid w:val="001F665F"/>
    <w:rsid w:val="001F7797"/>
    <w:rsid w:val="002010B3"/>
    <w:rsid w:val="00203258"/>
    <w:rsid w:val="00203380"/>
    <w:rsid w:val="00203AE4"/>
    <w:rsid w:val="00205DE6"/>
    <w:rsid w:val="002071A6"/>
    <w:rsid w:val="00207E09"/>
    <w:rsid w:val="00210977"/>
    <w:rsid w:val="00210FA4"/>
    <w:rsid w:val="00211A11"/>
    <w:rsid w:val="002121B6"/>
    <w:rsid w:val="0021741E"/>
    <w:rsid w:val="00217B9C"/>
    <w:rsid w:val="00222333"/>
    <w:rsid w:val="00225244"/>
    <w:rsid w:val="0022636A"/>
    <w:rsid w:val="00227EA1"/>
    <w:rsid w:val="0023164D"/>
    <w:rsid w:val="00233B97"/>
    <w:rsid w:val="00234FB4"/>
    <w:rsid w:val="002357D3"/>
    <w:rsid w:val="002359A4"/>
    <w:rsid w:val="00236D80"/>
    <w:rsid w:val="002411CB"/>
    <w:rsid w:val="00241597"/>
    <w:rsid w:val="00241B17"/>
    <w:rsid w:val="00242304"/>
    <w:rsid w:val="00242772"/>
    <w:rsid w:val="00242D29"/>
    <w:rsid w:val="002437E0"/>
    <w:rsid w:val="00245F9C"/>
    <w:rsid w:val="002468C8"/>
    <w:rsid w:val="00250801"/>
    <w:rsid w:val="00250C1D"/>
    <w:rsid w:val="00251880"/>
    <w:rsid w:val="002525FD"/>
    <w:rsid w:val="00253550"/>
    <w:rsid w:val="00254BD0"/>
    <w:rsid w:val="0025516D"/>
    <w:rsid w:val="002559BC"/>
    <w:rsid w:val="00256B9F"/>
    <w:rsid w:val="0025727C"/>
    <w:rsid w:val="00260B0D"/>
    <w:rsid w:val="00261734"/>
    <w:rsid w:val="00261CAC"/>
    <w:rsid w:val="00262081"/>
    <w:rsid w:val="00262AB1"/>
    <w:rsid w:val="0026448A"/>
    <w:rsid w:val="00264F3A"/>
    <w:rsid w:val="0026746C"/>
    <w:rsid w:val="00271166"/>
    <w:rsid w:val="00272053"/>
    <w:rsid w:val="00273091"/>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858E4"/>
    <w:rsid w:val="002871ED"/>
    <w:rsid w:val="002903C8"/>
    <w:rsid w:val="00290B73"/>
    <w:rsid w:val="00291858"/>
    <w:rsid w:val="00291CAF"/>
    <w:rsid w:val="0029310E"/>
    <w:rsid w:val="00293C2C"/>
    <w:rsid w:val="00294DBB"/>
    <w:rsid w:val="00295676"/>
    <w:rsid w:val="00295A3E"/>
    <w:rsid w:val="002971FC"/>
    <w:rsid w:val="00297E66"/>
    <w:rsid w:val="002A1B60"/>
    <w:rsid w:val="002A3868"/>
    <w:rsid w:val="002A3ECF"/>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5492"/>
    <w:rsid w:val="002E6115"/>
    <w:rsid w:val="002E679C"/>
    <w:rsid w:val="002F0266"/>
    <w:rsid w:val="002F0A4F"/>
    <w:rsid w:val="002F36D0"/>
    <w:rsid w:val="002F68F1"/>
    <w:rsid w:val="002F706C"/>
    <w:rsid w:val="002F7CF6"/>
    <w:rsid w:val="003004A8"/>
    <w:rsid w:val="00301C97"/>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3250"/>
    <w:rsid w:val="0032517D"/>
    <w:rsid w:val="003258B1"/>
    <w:rsid w:val="00325D22"/>
    <w:rsid w:val="003304DA"/>
    <w:rsid w:val="00333A4A"/>
    <w:rsid w:val="00336AC7"/>
    <w:rsid w:val="0033791E"/>
    <w:rsid w:val="00341517"/>
    <w:rsid w:val="00342B66"/>
    <w:rsid w:val="00343705"/>
    <w:rsid w:val="00345A4C"/>
    <w:rsid w:val="00345E10"/>
    <w:rsid w:val="00346DB7"/>
    <w:rsid w:val="00350CAB"/>
    <w:rsid w:val="0035152F"/>
    <w:rsid w:val="0035163B"/>
    <w:rsid w:val="00355A89"/>
    <w:rsid w:val="00362331"/>
    <w:rsid w:val="0036442C"/>
    <w:rsid w:val="003678E4"/>
    <w:rsid w:val="00370D0B"/>
    <w:rsid w:val="00372F96"/>
    <w:rsid w:val="00373AAD"/>
    <w:rsid w:val="00373D03"/>
    <w:rsid w:val="00375D25"/>
    <w:rsid w:val="00377282"/>
    <w:rsid w:val="0038046E"/>
    <w:rsid w:val="00384967"/>
    <w:rsid w:val="00385DD4"/>
    <w:rsid w:val="003876F7"/>
    <w:rsid w:val="00387A04"/>
    <w:rsid w:val="00387B3F"/>
    <w:rsid w:val="003943BB"/>
    <w:rsid w:val="00394CFD"/>
    <w:rsid w:val="0039578A"/>
    <w:rsid w:val="0039603C"/>
    <w:rsid w:val="003963AD"/>
    <w:rsid w:val="0039652D"/>
    <w:rsid w:val="00397A38"/>
    <w:rsid w:val="003A06EA"/>
    <w:rsid w:val="003A093F"/>
    <w:rsid w:val="003A160E"/>
    <w:rsid w:val="003A1D00"/>
    <w:rsid w:val="003A20D5"/>
    <w:rsid w:val="003A6054"/>
    <w:rsid w:val="003A7F3F"/>
    <w:rsid w:val="003B005C"/>
    <w:rsid w:val="003B10DC"/>
    <w:rsid w:val="003B16FC"/>
    <w:rsid w:val="003B2C71"/>
    <w:rsid w:val="003B3D03"/>
    <w:rsid w:val="003B4EC7"/>
    <w:rsid w:val="003B53FF"/>
    <w:rsid w:val="003B6E72"/>
    <w:rsid w:val="003C01EA"/>
    <w:rsid w:val="003C0DE5"/>
    <w:rsid w:val="003C1C21"/>
    <w:rsid w:val="003C23F2"/>
    <w:rsid w:val="003C3A90"/>
    <w:rsid w:val="003C53B5"/>
    <w:rsid w:val="003C5557"/>
    <w:rsid w:val="003C710E"/>
    <w:rsid w:val="003D1003"/>
    <w:rsid w:val="003D1C3C"/>
    <w:rsid w:val="003D298B"/>
    <w:rsid w:val="003D35A5"/>
    <w:rsid w:val="003D4579"/>
    <w:rsid w:val="003D57B1"/>
    <w:rsid w:val="003D6544"/>
    <w:rsid w:val="003D67E1"/>
    <w:rsid w:val="003E1233"/>
    <w:rsid w:val="003E1A44"/>
    <w:rsid w:val="003E1E11"/>
    <w:rsid w:val="003E267F"/>
    <w:rsid w:val="003E3CC4"/>
    <w:rsid w:val="003E3CDF"/>
    <w:rsid w:val="003E3D4C"/>
    <w:rsid w:val="003E6AD0"/>
    <w:rsid w:val="003F0065"/>
    <w:rsid w:val="003F1FEB"/>
    <w:rsid w:val="003F489C"/>
    <w:rsid w:val="003F4945"/>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21BF6"/>
    <w:rsid w:val="00422191"/>
    <w:rsid w:val="00423C74"/>
    <w:rsid w:val="00424241"/>
    <w:rsid w:val="0042549A"/>
    <w:rsid w:val="00426E5C"/>
    <w:rsid w:val="004273C5"/>
    <w:rsid w:val="00430F01"/>
    <w:rsid w:val="004316D7"/>
    <w:rsid w:val="00432D1B"/>
    <w:rsid w:val="00432D90"/>
    <w:rsid w:val="00433336"/>
    <w:rsid w:val="00433AF6"/>
    <w:rsid w:val="00437B89"/>
    <w:rsid w:val="0044065E"/>
    <w:rsid w:val="004408F8"/>
    <w:rsid w:val="00441AE6"/>
    <w:rsid w:val="00442E5C"/>
    <w:rsid w:val="00442E81"/>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3EA"/>
    <w:rsid w:val="004654BD"/>
    <w:rsid w:val="00465D8D"/>
    <w:rsid w:val="0046726C"/>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FC2"/>
    <w:rsid w:val="004C0348"/>
    <w:rsid w:val="004C0BDB"/>
    <w:rsid w:val="004C0D2F"/>
    <w:rsid w:val="004C0F1A"/>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B0F"/>
    <w:rsid w:val="004F2E8B"/>
    <w:rsid w:val="004F4C47"/>
    <w:rsid w:val="004F6B7A"/>
    <w:rsid w:val="004F6F00"/>
    <w:rsid w:val="005042BC"/>
    <w:rsid w:val="005056F0"/>
    <w:rsid w:val="00506C40"/>
    <w:rsid w:val="00513CBA"/>
    <w:rsid w:val="005143C9"/>
    <w:rsid w:val="00514CB6"/>
    <w:rsid w:val="0051500F"/>
    <w:rsid w:val="00517AED"/>
    <w:rsid w:val="005255F6"/>
    <w:rsid w:val="00527AE4"/>
    <w:rsid w:val="00527B39"/>
    <w:rsid w:val="00530FA9"/>
    <w:rsid w:val="00531B15"/>
    <w:rsid w:val="00533FA7"/>
    <w:rsid w:val="00536276"/>
    <w:rsid w:val="00543AB1"/>
    <w:rsid w:val="00547A47"/>
    <w:rsid w:val="00547B65"/>
    <w:rsid w:val="00550D68"/>
    <w:rsid w:val="00551FAD"/>
    <w:rsid w:val="005540A9"/>
    <w:rsid w:val="00554582"/>
    <w:rsid w:val="00554FCC"/>
    <w:rsid w:val="00555BF6"/>
    <w:rsid w:val="0055613D"/>
    <w:rsid w:val="00561B16"/>
    <w:rsid w:val="00564886"/>
    <w:rsid w:val="00567319"/>
    <w:rsid w:val="00571150"/>
    <w:rsid w:val="00571284"/>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443"/>
    <w:rsid w:val="005A578A"/>
    <w:rsid w:val="005A7127"/>
    <w:rsid w:val="005B0F8A"/>
    <w:rsid w:val="005B3272"/>
    <w:rsid w:val="005B63D8"/>
    <w:rsid w:val="005C14D5"/>
    <w:rsid w:val="005C3578"/>
    <w:rsid w:val="005C3632"/>
    <w:rsid w:val="005C5955"/>
    <w:rsid w:val="005C6734"/>
    <w:rsid w:val="005C7507"/>
    <w:rsid w:val="005D0445"/>
    <w:rsid w:val="005D05FA"/>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1FE7"/>
    <w:rsid w:val="00602161"/>
    <w:rsid w:val="0061036F"/>
    <w:rsid w:val="00610FEF"/>
    <w:rsid w:val="00615E3B"/>
    <w:rsid w:val="00616DAB"/>
    <w:rsid w:val="00620940"/>
    <w:rsid w:val="0062164F"/>
    <w:rsid w:val="0062195D"/>
    <w:rsid w:val="006236A3"/>
    <w:rsid w:val="0062490C"/>
    <w:rsid w:val="0063536B"/>
    <w:rsid w:val="0063704F"/>
    <w:rsid w:val="0064079D"/>
    <w:rsid w:val="00643C01"/>
    <w:rsid w:val="0064546F"/>
    <w:rsid w:val="006478E4"/>
    <w:rsid w:val="00650F24"/>
    <w:rsid w:val="00655C2D"/>
    <w:rsid w:val="0065627A"/>
    <w:rsid w:val="006621B0"/>
    <w:rsid w:val="00667870"/>
    <w:rsid w:val="00670D5A"/>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1557"/>
    <w:rsid w:val="00692EE6"/>
    <w:rsid w:val="00693644"/>
    <w:rsid w:val="00697233"/>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5D33"/>
    <w:rsid w:val="006C6001"/>
    <w:rsid w:val="006C7F5F"/>
    <w:rsid w:val="006D27FA"/>
    <w:rsid w:val="006D2A38"/>
    <w:rsid w:val="006D40E4"/>
    <w:rsid w:val="006D581F"/>
    <w:rsid w:val="006D6EC8"/>
    <w:rsid w:val="006E0470"/>
    <w:rsid w:val="006E0813"/>
    <w:rsid w:val="006E0FED"/>
    <w:rsid w:val="006E1276"/>
    <w:rsid w:val="006E27AD"/>
    <w:rsid w:val="006E37ED"/>
    <w:rsid w:val="006E4AE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06251"/>
    <w:rsid w:val="00707CAD"/>
    <w:rsid w:val="00712C1B"/>
    <w:rsid w:val="00714B2D"/>
    <w:rsid w:val="0071565D"/>
    <w:rsid w:val="007161BF"/>
    <w:rsid w:val="007174E6"/>
    <w:rsid w:val="0072226B"/>
    <w:rsid w:val="00722551"/>
    <w:rsid w:val="007249A7"/>
    <w:rsid w:val="00726255"/>
    <w:rsid w:val="00730013"/>
    <w:rsid w:val="00730633"/>
    <w:rsid w:val="00731155"/>
    <w:rsid w:val="00733269"/>
    <w:rsid w:val="00734148"/>
    <w:rsid w:val="0073479E"/>
    <w:rsid w:val="007364A8"/>
    <w:rsid w:val="007366D8"/>
    <w:rsid w:val="007431B9"/>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49BB"/>
    <w:rsid w:val="00796A3B"/>
    <w:rsid w:val="00797560"/>
    <w:rsid w:val="00797D3D"/>
    <w:rsid w:val="007A4C3A"/>
    <w:rsid w:val="007A57BE"/>
    <w:rsid w:val="007A741A"/>
    <w:rsid w:val="007B1E41"/>
    <w:rsid w:val="007B2E52"/>
    <w:rsid w:val="007B6AE6"/>
    <w:rsid w:val="007C2827"/>
    <w:rsid w:val="007C2D3E"/>
    <w:rsid w:val="007C3C65"/>
    <w:rsid w:val="007C60CA"/>
    <w:rsid w:val="007C6781"/>
    <w:rsid w:val="007C7285"/>
    <w:rsid w:val="007C78CE"/>
    <w:rsid w:val="007C7FF2"/>
    <w:rsid w:val="007D1F02"/>
    <w:rsid w:val="007D2CF0"/>
    <w:rsid w:val="007D349B"/>
    <w:rsid w:val="007D58A1"/>
    <w:rsid w:val="007D5E63"/>
    <w:rsid w:val="007D6724"/>
    <w:rsid w:val="007D7BD9"/>
    <w:rsid w:val="007E23C7"/>
    <w:rsid w:val="007E2DFE"/>
    <w:rsid w:val="007E4647"/>
    <w:rsid w:val="007E77CD"/>
    <w:rsid w:val="007F03B3"/>
    <w:rsid w:val="007F1A63"/>
    <w:rsid w:val="007F1CCC"/>
    <w:rsid w:val="007F4CE7"/>
    <w:rsid w:val="007F5427"/>
    <w:rsid w:val="00800635"/>
    <w:rsid w:val="00800F2E"/>
    <w:rsid w:val="008026DC"/>
    <w:rsid w:val="00803128"/>
    <w:rsid w:val="008054CF"/>
    <w:rsid w:val="00805F41"/>
    <w:rsid w:val="00807E22"/>
    <w:rsid w:val="00807FA9"/>
    <w:rsid w:val="0081210C"/>
    <w:rsid w:val="00813807"/>
    <w:rsid w:val="00816C6B"/>
    <w:rsid w:val="0082055C"/>
    <w:rsid w:val="008216FE"/>
    <w:rsid w:val="008221D5"/>
    <w:rsid w:val="008229D6"/>
    <w:rsid w:val="00823B78"/>
    <w:rsid w:val="008262CC"/>
    <w:rsid w:val="0082710E"/>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57A5A"/>
    <w:rsid w:val="0086147B"/>
    <w:rsid w:val="00863608"/>
    <w:rsid w:val="00863AF8"/>
    <w:rsid w:val="00863D65"/>
    <w:rsid w:val="00864EC3"/>
    <w:rsid w:val="00865A13"/>
    <w:rsid w:val="00866CDA"/>
    <w:rsid w:val="008712EB"/>
    <w:rsid w:val="008721FF"/>
    <w:rsid w:val="00872662"/>
    <w:rsid w:val="00872EB1"/>
    <w:rsid w:val="0087506D"/>
    <w:rsid w:val="00876582"/>
    <w:rsid w:val="008818A6"/>
    <w:rsid w:val="00881DEE"/>
    <w:rsid w:val="00892648"/>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B777D"/>
    <w:rsid w:val="008C08BA"/>
    <w:rsid w:val="008C292D"/>
    <w:rsid w:val="008C3A25"/>
    <w:rsid w:val="008C3BF8"/>
    <w:rsid w:val="008C3D16"/>
    <w:rsid w:val="008C4D28"/>
    <w:rsid w:val="008C4E4D"/>
    <w:rsid w:val="008C69EC"/>
    <w:rsid w:val="008C7177"/>
    <w:rsid w:val="008D2A7E"/>
    <w:rsid w:val="008D7972"/>
    <w:rsid w:val="008E4D91"/>
    <w:rsid w:val="008E63AA"/>
    <w:rsid w:val="008E672C"/>
    <w:rsid w:val="008E6AFB"/>
    <w:rsid w:val="008F00E5"/>
    <w:rsid w:val="008F1407"/>
    <w:rsid w:val="008F1EB6"/>
    <w:rsid w:val="008F3B84"/>
    <w:rsid w:val="008F41DA"/>
    <w:rsid w:val="008F41E4"/>
    <w:rsid w:val="008F494B"/>
    <w:rsid w:val="008F5A7F"/>
    <w:rsid w:val="009024D7"/>
    <w:rsid w:val="00902B59"/>
    <w:rsid w:val="00902B65"/>
    <w:rsid w:val="00903A16"/>
    <w:rsid w:val="0090415F"/>
    <w:rsid w:val="00904297"/>
    <w:rsid w:val="00904B64"/>
    <w:rsid w:val="0090500F"/>
    <w:rsid w:val="00907A70"/>
    <w:rsid w:val="0091072E"/>
    <w:rsid w:val="00913F18"/>
    <w:rsid w:val="00915351"/>
    <w:rsid w:val="009179A6"/>
    <w:rsid w:val="009206DC"/>
    <w:rsid w:val="00922C11"/>
    <w:rsid w:val="00923E40"/>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1C98"/>
    <w:rsid w:val="00952450"/>
    <w:rsid w:val="00955727"/>
    <w:rsid w:val="0095653C"/>
    <w:rsid w:val="009654A7"/>
    <w:rsid w:val="00966169"/>
    <w:rsid w:val="009738EA"/>
    <w:rsid w:val="00973EB9"/>
    <w:rsid w:val="00974A4E"/>
    <w:rsid w:val="00974FF0"/>
    <w:rsid w:val="00977489"/>
    <w:rsid w:val="00977904"/>
    <w:rsid w:val="009802CB"/>
    <w:rsid w:val="00980E1D"/>
    <w:rsid w:val="00982A16"/>
    <w:rsid w:val="00983F37"/>
    <w:rsid w:val="00987CA0"/>
    <w:rsid w:val="00992A85"/>
    <w:rsid w:val="0099339C"/>
    <w:rsid w:val="00995DF3"/>
    <w:rsid w:val="009A09C3"/>
    <w:rsid w:val="009A1268"/>
    <w:rsid w:val="009A44FE"/>
    <w:rsid w:val="009A68FD"/>
    <w:rsid w:val="009A7EAA"/>
    <w:rsid w:val="009B0013"/>
    <w:rsid w:val="009B10CA"/>
    <w:rsid w:val="009B317F"/>
    <w:rsid w:val="009B7136"/>
    <w:rsid w:val="009C0DBF"/>
    <w:rsid w:val="009C1B7F"/>
    <w:rsid w:val="009C3FF2"/>
    <w:rsid w:val="009C4058"/>
    <w:rsid w:val="009C577E"/>
    <w:rsid w:val="009C7727"/>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2524"/>
    <w:rsid w:val="00A04316"/>
    <w:rsid w:val="00A05FF3"/>
    <w:rsid w:val="00A06F3B"/>
    <w:rsid w:val="00A1013F"/>
    <w:rsid w:val="00A11E0F"/>
    <w:rsid w:val="00A16034"/>
    <w:rsid w:val="00A30C69"/>
    <w:rsid w:val="00A3270A"/>
    <w:rsid w:val="00A33383"/>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02E"/>
    <w:rsid w:val="00A57280"/>
    <w:rsid w:val="00A60CF8"/>
    <w:rsid w:val="00A64351"/>
    <w:rsid w:val="00A6517F"/>
    <w:rsid w:val="00A6697E"/>
    <w:rsid w:val="00A679A3"/>
    <w:rsid w:val="00A7209C"/>
    <w:rsid w:val="00A726FE"/>
    <w:rsid w:val="00A757AB"/>
    <w:rsid w:val="00A771DA"/>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A104C"/>
    <w:rsid w:val="00AA3313"/>
    <w:rsid w:val="00AA4386"/>
    <w:rsid w:val="00AA4882"/>
    <w:rsid w:val="00AB0C2D"/>
    <w:rsid w:val="00AB1372"/>
    <w:rsid w:val="00AB3207"/>
    <w:rsid w:val="00AB42F2"/>
    <w:rsid w:val="00AB45F4"/>
    <w:rsid w:val="00AB5596"/>
    <w:rsid w:val="00AB5881"/>
    <w:rsid w:val="00AB5A48"/>
    <w:rsid w:val="00AC000B"/>
    <w:rsid w:val="00AC096D"/>
    <w:rsid w:val="00AC249D"/>
    <w:rsid w:val="00AC2825"/>
    <w:rsid w:val="00AC4330"/>
    <w:rsid w:val="00AC510A"/>
    <w:rsid w:val="00AC7999"/>
    <w:rsid w:val="00AD1657"/>
    <w:rsid w:val="00AD1EB3"/>
    <w:rsid w:val="00AD4F3F"/>
    <w:rsid w:val="00AD6378"/>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13B9"/>
    <w:rsid w:val="00B225A3"/>
    <w:rsid w:val="00B23278"/>
    <w:rsid w:val="00B24361"/>
    <w:rsid w:val="00B26388"/>
    <w:rsid w:val="00B34653"/>
    <w:rsid w:val="00B348C6"/>
    <w:rsid w:val="00B36BCA"/>
    <w:rsid w:val="00B43474"/>
    <w:rsid w:val="00B458EC"/>
    <w:rsid w:val="00B50B17"/>
    <w:rsid w:val="00B50DA9"/>
    <w:rsid w:val="00B51C0B"/>
    <w:rsid w:val="00B5353C"/>
    <w:rsid w:val="00B56621"/>
    <w:rsid w:val="00B61A7C"/>
    <w:rsid w:val="00B62DE9"/>
    <w:rsid w:val="00B66E98"/>
    <w:rsid w:val="00B673C8"/>
    <w:rsid w:val="00B67F4A"/>
    <w:rsid w:val="00B70B48"/>
    <w:rsid w:val="00B73610"/>
    <w:rsid w:val="00B757F5"/>
    <w:rsid w:val="00B81A9C"/>
    <w:rsid w:val="00B82F91"/>
    <w:rsid w:val="00B83BA5"/>
    <w:rsid w:val="00B85FE1"/>
    <w:rsid w:val="00B871AE"/>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60E"/>
    <w:rsid w:val="00C03D7F"/>
    <w:rsid w:val="00C0447D"/>
    <w:rsid w:val="00C06387"/>
    <w:rsid w:val="00C11024"/>
    <w:rsid w:val="00C12A15"/>
    <w:rsid w:val="00C13572"/>
    <w:rsid w:val="00C164B1"/>
    <w:rsid w:val="00C21442"/>
    <w:rsid w:val="00C226DC"/>
    <w:rsid w:val="00C26741"/>
    <w:rsid w:val="00C354FC"/>
    <w:rsid w:val="00C3640A"/>
    <w:rsid w:val="00C36626"/>
    <w:rsid w:val="00C371DE"/>
    <w:rsid w:val="00C37A4A"/>
    <w:rsid w:val="00C37C32"/>
    <w:rsid w:val="00C37E57"/>
    <w:rsid w:val="00C410E4"/>
    <w:rsid w:val="00C44C0F"/>
    <w:rsid w:val="00C455C1"/>
    <w:rsid w:val="00C500D1"/>
    <w:rsid w:val="00C54F08"/>
    <w:rsid w:val="00C55A87"/>
    <w:rsid w:val="00C55FE0"/>
    <w:rsid w:val="00C57D68"/>
    <w:rsid w:val="00C63BFC"/>
    <w:rsid w:val="00C672B2"/>
    <w:rsid w:val="00C701AF"/>
    <w:rsid w:val="00C70DEF"/>
    <w:rsid w:val="00C7548E"/>
    <w:rsid w:val="00C75FE9"/>
    <w:rsid w:val="00C765FC"/>
    <w:rsid w:val="00C76714"/>
    <w:rsid w:val="00C8349B"/>
    <w:rsid w:val="00C84227"/>
    <w:rsid w:val="00C846E3"/>
    <w:rsid w:val="00C84EC3"/>
    <w:rsid w:val="00C86D1C"/>
    <w:rsid w:val="00C875A6"/>
    <w:rsid w:val="00C90EC7"/>
    <w:rsid w:val="00C934F6"/>
    <w:rsid w:val="00C93CFE"/>
    <w:rsid w:val="00CA0B6A"/>
    <w:rsid w:val="00CA0BE2"/>
    <w:rsid w:val="00CA1417"/>
    <w:rsid w:val="00CA40B1"/>
    <w:rsid w:val="00CA4B6D"/>
    <w:rsid w:val="00CA56FC"/>
    <w:rsid w:val="00CA5BC7"/>
    <w:rsid w:val="00CA65E4"/>
    <w:rsid w:val="00CB26F8"/>
    <w:rsid w:val="00CB2B79"/>
    <w:rsid w:val="00CB31D2"/>
    <w:rsid w:val="00CB66D1"/>
    <w:rsid w:val="00CB76D4"/>
    <w:rsid w:val="00CC1F96"/>
    <w:rsid w:val="00CC45E8"/>
    <w:rsid w:val="00CC5CF6"/>
    <w:rsid w:val="00CC6D8F"/>
    <w:rsid w:val="00CC73D2"/>
    <w:rsid w:val="00CD1069"/>
    <w:rsid w:val="00CD654D"/>
    <w:rsid w:val="00CD6C59"/>
    <w:rsid w:val="00CD6EDE"/>
    <w:rsid w:val="00CD79CF"/>
    <w:rsid w:val="00CE116A"/>
    <w:rsid w:val="00CE14CB"/>
    <w:rsid w:val="00CE3A01"/>
    <w:rsid w:val="00CE3B06"/>
    <w:rsid w:val="00CE48E2"/>
    <w:rsid w:val="00CE7758"/>
    <w:rsid w:val="00CF0161"/>
    <w:rsid w:val="00CF1322"/>
    <w:rsid w:val="00CF1323"/>
    <w:rsid w:val="00CF2951"/>
    <w:rsid w:val="00CF300B"/>
    <w:rsid w:val="00CF5666"/>
    <w:rsid w:val="00D0049C"/>
    <w:rsid w:val="00D04654"/>
    <w:rsid w:val="00D07279"/>
    <w:rsid w:val="00D075ED"/>
    <w:rsid w:val="00D100E7"/>
    <w:rsid w:val="00D120EE"/>
    <w:rsid w:val="00D14E0C"/>
    <w:rsid w:val="00D15DBB"/>
    <w:rsid w:val="00D21853"/>
    <w:rsid w:val="00D227BC"/>
    <w:rsid w:val="00D251CC"/>
    <w:rsid w:val="00D30247"/>
    <w:rsid w:val="00D31443"/>
    <w:rsid w:val="00D315A6"/>
    <w:rsid w:val="00D340DB"/>
    <w:rsid w:val="00D3526C"/>
    <w:rsid w:val="00D36ABA"/>
    <w:rsid w:val="00D36C03"/>
    <w:rsid w:val="00D37419"/>
    <w:rsid w:val="00D37964"/>
    <w:rsid w:val="00D4006A"/>
    <w:rsid w:val="00D4023F"/>
    <w:rsid w:val="00D4388C"/>
    <w:rsid w:val="00D44DDE"/>
    <w:rsid w:val="00D46E7F"/>
    <w:rsid w:val="00D5037F"/>
    <w:rsid w:val="00D5360D"/>
    <w:rsid w:val="00D56D3E"/>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63A4"/>
    <w:rsid w:val="00D87544"/>
    <w:rsid w:val="00D91667"/>
    <w:rsid w:val="00D918BF"/>
    <w:rsid w:val="00D92364"/>
    <w:rsid w:val="00D92586"/>
    <w:rsid w:val="00D9378A"/>
    <w:rsid w:val="00D94C19"/>
    <w:rsid w:val="00D94CFD"/>
    <w:rsid w:val="00D9638C"/>
    <w:rsid w:val="00D97593"/>
    <w:rsid w:val="00DA14D4"/>
    <w:rsid w:val="00DA2B80"/>
    <w:rsid w:val="00DA371F"/>
    <w:rsid w:val="00DA5F1D"/>
    <w:rsid w:val="00DA6658"/>
    <w:rsid w:val="00DB047A"/>
    <w:rsid w:val="00DB2584"/>
    <w:rsid w:val="00DB5267"/>
    <w:rsid w:val="00DC16AE"/>
    <w:rsid w:val="00DC1861"/>
    <w:rsid w:val="00DC25C4"/>
    <w:rsid w:val="00DC348B"/>
    <w:rsid w:val="00DC44CA"/>
    <w:rsid w:val="00DC60FC"/>
    <w:rsid w:val="00DC612E"/>
    <w:rsid w:val="00DD019C"/>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1702"/>
    <w:rsid w:val="00E833DC"/>
    <w:rsid w:val="00E83552"/>
    <w:rsid w:val="00E83EF2"/>
    <w:rsid w:val="00E850A6"/>
    <w:rsid w:val="00E8743C"/>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9E2"/>
    <w:rsid w:val="00EB4E51"/>
    <w:rsid w:val="00EB5B44"/>
    <w:rsid w:val="00EB78CA"/>
    <w:rsid w:val="00EB7A3B"/>
    <w:rsid w:val="00EB7B4E"/>
    <w:rsid w:val="00EC0F33"/>
    <w:rsid w:val="00EC2A3F"/>
    <w:rsid w:val="00EC3262"/>
    <w:rsid w:val="00EC475E"/>
    <w:rsid w:val="00EC674E"/>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523E"/>
    <w:rsid w:val="00F11AE5"/>
    <w:rsid w:val="00F1269F"/>
    <w:rsid w:val="00F13662"/>
    <w:rsid w:val="00F1423C"/>
    <w:rsid w:val="00F159AC"/>
    <w:rsid w:val="00F170F1"/>
    <w:rsid w:val="00F21DC1"/>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2D38"/>
    <w:rsid w:val="00F5340D"/>
    <w:rsid w:val="00F5421F"/>
    <w:rsid w:val="00F555E3"/>
    <w:rsid w:val="00F57C07"/>
    <w:rsid w:val="00F6205C"/>
    <w:rsid w:val="00F63E63"/>
    <w:rsid w:val="00F64326"/>
    <w:rsid w:val="00F6470F"/>
    <w:rsid w:val="00F71CD0"/>
    <w:rsid w:val="00F72C58"/>
    <w:rsid w:val="00F73320"/>
    <w:rsid w:val="00F73A27"/>
    <w:rsid w:val="00F75363"/>
    <w:rsid w:val="00F753B8"/>
    <w:rsid w:val="00F766BD"/>
    <w:rsid w:val="00F770BE"/>
    <w:rsid w:val="00F77E56"/>
    <w:rsid w:val="00F81C7E"/>
    <w:rsid w:val="00F82328"/>
    <w:rsid w:val="00F82E3C"/>
    <w:rsid w:val="00F84DC3"/>
    <w:rsid w:val="00F87EEE"/>
    <w:rsid w:val="00F90270"/>
    <w:rsid w:val="00F94ADD"/>
    <w:rsid w:val="00F96C04"/>
    <w:rsid w:val="00F97A31"/>
    <w:rsid w:val="00FA05D0"/>
    <w:rsid w:val="00FA436C"/>
    <w:rsid w:val="00FA528F"/>
    <w:rsid w:val="00FA5D06"/>
    <w:rsid w:val="00FB4B45"/>
    <w:rsid w:val="00FC0906"/>
    <w:rsid w:val="00FC1750"/>
    <w:rsid w:val="00FC19A7"/>
    <w:rsid w:val="00FC626E"/>
    <w:rsid w:val="00FD1166"/>
    <w:rsid w:val="00FD39F0"/>
    <w:rsid w:val="00FD3C78"/>
    <w:rsid w:val="00FD6504"/>
    <w:rsid w:val="00FE0CFA"/>
    <w:rsid w:val="00FE1C4D"/>
    <w:rsid w:val="00FE2573"/>
    <w:rsid w:val="00FE62B1"/>
    <w:rsid w:val="00FE6CF4"/>
    <w:rsid w:val="00FF235E"/>
    <w:rsid w:val="00FF2D17"/>
    <w:rsid w:val="00FF399B"/>
    <w:rsid w:val="00FF5C00"/>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sf.io/mb4ph" TargetMode="External"/><Relationship Id="rId23" Type="http://schemas.openxmlformats.org/officeDocument/2006/relationships/header" Target="header2.xml"/><Relationship Id="rId10" Type="http://schemas.openxmlformats.org/officeDocument/2006/relationships/hyperlink" Target="mailto:ian.hussey@rub.d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1828</TotalTime>
  <Pages>32</Pages>
  <Words>21569</Words>
  <Characters>122944</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1704</cp:revision>
  <dcterms:created xsi:type="dcterms:W3CDTF">2018-12-22T13:44:00Z</dcterms:created>
  <dcterms:modified xsi:type="dcterms:W3CDTF">2022-08-10T19:41:00Z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