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44FC" w14:textId="6642E61D" w:rsidR="00ED7FDE" w:rsidRDefault="00ED7FDE" w:rsidP="00ED7FDE">
      <w:pPr>
        <w:pStyle w:val="abstract"/>
        <w:jc w:val="center"/>
      </w:pPr>
      <w:r>
        <w:t>Abstract</w:t>
      </w:r>
    </w:p>
    <w:p w14:paraId="6A7DDF79" w14:textId="4F4F1256" w:rsidR="002F5E62" w:rsidRPr="003A10CA" w:rsidRDefault="002F5E62" w:rsidP="003A10CA">
      <w:pPr>
        <w:pStyle w:val="abstract"/>
      </w:pPr>
      <w:r w:rsidRPr="003A10CA">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rsidRPr="003A10CA">
        <w:t>, and effects on the task are heavily confounded</w:t>
      </w:r>
      <w:r w:rsidRPr="003A10CA">
        <w:t xml:space="preserve">. The existence of the generic pattern may also undermine the validity of many conclusions made in the published IRAP literature. </w:t>
      </w:r>
    </w:p>
    <w:p w14:paraId="40F43577" w14:textId="77777777" w:rsidR="000D4308" w:rsidRDefault="000D4308" w:rsidP="003A10CA">
      <w:pPr>
        <w:pStyle w:val="abstract"/>
      </w:pPr>
    </w:p>
    <w:p w14:paraId="0D5E744E" w14:textId="77777777" w:rsidR="000D4308" w:rsidRDefault="000D4308" w:rsidP="003A10CA">
      <w:pPr>
        <w:sectPr w:rsidR="000D4308" w:rsidSect="003A10CA">
          <w:headerReference w:type="even" r:id="rId10"/>
          <w:headerReference w:type="default" r:id="rId11"/>
          <w:footerReference w:type="even" r:id="rId12"/>
          <w:footerReference w:type="default" r:id="rId13"/>
          <w:headerReference w:type="first" r:id="rId14"/>
          <w:footerReference w:type="first" r:id="rId15"/>
          <w:type w:val="continuous"/>
          <w:pgSz w:w="11900" w:h="16840" w:code="9"/>
          <w:pgMar w:top="1440" w:right="1440" w:bottom="1440" w:left="1440" w:header="720" w:footer="720" w:gutter="0"/>
          <w:cols w:space="340"/>
          <w:titlePg/>
          <w:docGrid w:linePitch="360"/>
        </w:sectPr>
      </w:pPr>
    </w:p>
    <w:p w14:paraId="42BD36A5" w14:textId="77777777" w:rsidR="003A10CA" w:rsidRDefault="003A10CA">
      <w:pPr>
        <w:jc w:val="left"/>
      </w:pPr>
      <w:r>
        <w:br w:type="page"/>
      </w:r>
    </w:p>
    <w:p w14:paraId="3FFA5DB5" w14:textId="77777777" w:rsidR="003A10CA" w:rsidRPr="003A10CA" w:rsidRDefault="003A10CA" w:rsidP="003A10CA">
      <w:pPr>
        <w:pStyle w:val="Title1"/>
      </w:pPr>
      <w:r w:rsidRPr="003A10CA">
        <w:lastRenderedPageBreak/>
        <w:t>The Implicit Relational Assessment Procedure is not very sensitive to the attitudes and learning histories it is used to assess</w:t>
      </w:r>
    </w:p>
    <w:p w14:paraId="7E7740B5" w14:textId="77777777" w:rsidR="003A10CA" w:rsidRDefault="003A10CA" w:rsidP="003A10CA"/>
    <w:p w14:paraId="1F72BA58" w14:textId="6D695F3B" w:rsidR="000D4308" w:rsidRPr="003A10CA" w:rsidRDefault="000D4308" w:rsidP="003A10CA">
      <w:r w:rsidRPr="003A10CA">
        <w:t xml:space="preserve">Implicit measures have seen widespread use across many clinical and social domains over the past two decades and are now a mainstay of psychological measurement </w:t>
      </w:r>
      <w:r w:rsidRPr="003A10CA">
        <w:fldChar w:fldCharType="begin"/>
      </w:r>
      <w:r w:rsidR="00D12214" w:rsidRPr="003A10CA">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3A10CA">
        <w:fldChar w:fldCharType="separate"/>
      </w:r>
      <w:r w:rsidRPr="003A10CA">
        <w:t>(Greenwald &amp; Lai, 2020; Nosek et al., 2011)</w:t>
      </w:r>
      <w:r w:rsidRPr="003A10CA">
        <w:fldChar w:fldCharType="end"/>
      </w:r>
      <w:r w:rsidRPr="003A10CA">
        <w:t xml:space="preserve">. A wide variety of implicit measures have been created, with each procedure having unique features and benefits. In particular, the Implicit Relational Assessment Procedure </w:t>
      </w:r>
      <w:r w:rsidRPr="003A10CA">
        <w:fldChar w:fldCharType="begin"/>
      </w:r>
      <w:r w:rsidR="00D12214" w:rsidRPr="003A10CA">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3A10CA">
        <w:fldChar w:fldCharType="separate"/>
      </w:r>
      <w:r w:rsidRPr="003A10CA">
        <w:t>(IRAP: Barnes-Holmes et al., 2010)</w:t>
      </w:r>
      <w:r w:rsidRPr="003A10CA">
        <w:fldChar w:fldCharType="end"/>
      </w:r>
      <w:r w:rsidRPr="003A10CA">
        <w:t xml:space="preserve"> is acknowledged to be one of few implicit measures that allows researchers to assess the relations between stimuli of interest </w:t>
      </w:r>
      <w:r w:rsidRPr="003A10CA">
        <w:fldChar w:fldCharType="begin"/>
      </w:r>
      <w:r w:rsidR="00D12214" w:rsidRPr="003A10CA">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3A10CA">
        <w:fldChar w:fldCharType="separate"/>
      </w:r>
      <w:r w:rsidRPr="003A10CA">
        <w:t>(Gawronski &amp; De Houwer, 2011)</w:t>
      </w:r>
      <w:r w:rsidRPr="003A10CA">
        <w:fldChar w:fldCharType="end"/>
      </w:r>
      <w:r w:rsidRPr="003A10CA">
        <w:t xml:space="preserve">. That is, the IRAP can assess not only how automatically concepts and attributes are associated (e.g., self and negative) but also the manner in which they are related. For example, the distinction between “I am bad” versus “I want to be bad” </w:t>
      </w:r>
      <w:r w:rsidRPr="003A10CA">
        <w:fldChar w:fldCharType="begin"/>
      </w:r>
      <w:r w:rsidR="00D12214" w:rsidRPr="003A10CA">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3A10CA">
        <w:fldChar w:fldCharType="separate"/>
      </w:r>
      <w:r w:rsidRPr="003A10CA">
        <w:t>(Remue et al., 2013, 2014)</w:t>
      </w:r>
      <w:r w:rsidRPr="003A10CA">
        <w:fldChar w:fldCharType="end"/>
      </w:r>
      <w:r w:rsidRPr="003A10CA">
        <w:t xml:space="preserve">. IRAP researchers have offered this distinction as a potential benefit of the procedure compared to associative measures </w:t>
      </w:r>
      <w:r w:rsidRPr="003A10CA">
        <w:fldChar w:fldCharType="begin"/>
      </w:r>
      <w:r w:rsidR="00D12214" w:rsidRPr="003A10CA">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3A10CA">
        <w:fldChar w:fldCharType="separate"/>
      </w:r>
      <w:r w:rsidRPr="003A10CA">
        <w:t>(Gawronski &amp; De Houwer, 2011; Hughes et al., 2012)</w:t>
      </w:r>
      <w:r w:rsidRPr="003A10CA">
        <w:fldChar w:fldCharType="end"/>
      </w:r>
      <w:r w:rsidRPr="003A10CA">
        <w:t>.</w:t>
      </w:r>
    </w:p>
    <w:p w14:paraId="0F6396F1" w14:textId="77777777" w:rsidR="000D4308" w:rsidRPr="005211F1" w:rsidRDefault="000D4308" w:rsidP="003A10CA">
      <w:pPr>
        <w:pStyle w:val="Heading2"/>
      </w:pPr>
      <w:r w:rsidRPr="005211F1">
        <w:t>Generic patterns in IRAP data</w:t>
      </w:r>
    </w:p>
    <w:p w14:paraId="7AA24E46" w14:textId="78A9A191" w:rsidR="000D4308" w:rsidRPr="005211F1" w:rsidRDefault="000D4308" w:rsidP="003A10CA">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3A10CA">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w:t>
      </w:r>
      <w:r w:rsidRPr="005211F1">
        <w:lastRenderedPageBreak/>
        <w:t xml:space="preserve">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3A10CA">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3A10CA">
      <w:pPr>
        <w:pStyle w:val="Heading2"/>
      </w:pPr>
      <w:r w:rsidRPr="005211F1">
        <w:t>Goals of the current research</w:t>
      </w:r>
    </w:p>
    <w:p w14:paraId="56BA3AB9" w14:textId="77777777" w:rsidR="000D4308" w:rsidRPr="005211F1" w:rsidRDefault="000D4308" w:rsidP="003A10CA">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3A10CA">
      <w:r w:rsidRPr="005211F1">
        <w:lastRenderedPageBreak/>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3A10CA">
      <w:pPr>
        <w:pStyle w:val="Heading1"/>
      </w:pPr>
      <w:bookmarkStart w:id="0" w:name="_yzqcyehgy7mj" w:colFirst="0" w:colLast="0"/>
      <w:bookmarkEnd w:id="0"/>
      <w:r w:rsidRPr="005211F1">
        <w:t>Method</w:t>
      </w:r>
    </w:p>
    <w:p w14:paraId="338710C0" w14:textId="1EB0213C" w:rsidR="000D4308" w:rsidRPr="005211F1" w:rsidRDefault="000D4308" w:rsidP="003A10CA">
      <w:r w:rsidRPr="005211F1">
        <w:t>All data and code for data processing and analysis code is available on the Open Science Framework (</w:t>
      </w:r>
      <w:hyperlink r:id="rId16" w:history="1">
        <w:r w:rsidR="00B85024" w:rsidRPr="004A09BF">
          <w:rPr>
            <w:rStyle w:val="Hyperlink"/>
          </w:rPr>
          <w:t>https://osf.io/vhzsn/?view_only=60e9e24c080e410db9c929914cf7eec4</w:t>
        </w:r>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3A10CA">
      <w:pPr>
        <w:pStyle w:val="Heading2"/>
        <w:rPr>
          <w:rStyle w:val="Heading3Char"/>
          <w:b/>
          <w:bCs/>
        </w:rPr>
      </w:pPr>
      <w:bookmarkStart w:id="1" w:name="_6a1sgl1fgfyh" w:colFirst="0" w:colLast="0"/>
      <w:bookmarkEnd w:id="1"/>
      <w:r w:rsidRPr="005211F1">
        <w:rPr>
          <w:rStyle w:val="Heading3Char"/>
          <w:b/>
          <w:bCs/>
        </w:rPr>
        <w:t>Data</w:t>
      </w:r>
    </w:p>
    <w:p w14:paraId="41421657" w14:textId="31647828" w:rsidR="000D4308" w:rsidRPr="005211F1" w:rsidRDefault="000D4308" w:rsidP="003A10CA">
      <w:r w:rsidRPr="005211F1">
        <w:t>Data was taken from an existing, publicly available dataset of IRAP data</w:t>
      </w:r>
      <w:r w:rsidR="00A96C00">
        <w:t xml:space="preserve"> [reference removed for peer review blinding on editor’s instruction]</w:t>
      </w:r>
      <w:r w:rsidRPr="005211F1">
        <w:t xml:space="preserve">. The current study therefore employs secondary analysis of existing data, with sample size being determined by data availability. Inclusion criteria were as follows: (1) The study must have included at least one standard IRAP </w:t>
      </w:r>
      <w:r w:rsidRPr="005211F1">
        <w:lastRenderedPageBreak/>
        <w:t xml:space="preserve">(i.e., not variants such as the MT-IRAP or Training IRAP); (2) The IRAP must employ single-word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r w:rsidR="003952F7">
        <w:t xml:space="preserve">using 12 stimuli sets </w:t>
      </w:r>
      <w:r w:rsidRPr="005211F1">
        <w:t>and a total of 753 participants met inclusion criteria. See Figure 2 for a list of all domains.</w:t>
      </w:r>
    </w:p>
    <w:p w14:paraId="1F5FDFA6" w14:textId="77777777" w:rsidR="000D4308" w:rsidRPr="005211F1" w:rsidRDefault="000D4308" w:rsidP="003A10CA">
      <w:pPr>
        <w:pStyle w:val="Heading2"/>
      </w:pPr>
      <w:r w:rsidRPr="005211F1">
        <w:t>Performance exclusions</w:t>
      </w:r>
    </w:p>
    <w:p w14:paraId="3C13A731" w14:textId="3001C49D" w:rsidR="000D4308" w:rsidRPr="005211F1" w:rsidRDefault="000D4308" w:rsidP="003A10CA">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2" w:name="_5g8p8jzfdniw" w:colFirst="0" w:colLast="0"/>
      <w:bookmarkEnd w:id="2"/>
      <w:r w:rsidRPr="005211F1">
        <w:t xml:space="preserve"> </w:t>
      </w:r>
    </w:p>
    <w:p w14:paraId="5901CC01" w14:textId="77777777" w:rsidR="000D4308" w:rsidRPr="005211F1" w:rsidRDefault="000D4308" w:rsidP="003A10CA">
      <w:pPr>
        <w:pStyle w:val="Heading2"/>
      </w:pPr>
      <w:bookmarkStart w:id="3" w:name="_ewb4gz3cin37" w:colFirst="0" w:colLast="0"/>
      <w:bookmarkEnd w:id="3"/>
      <w:r w:rsidRPr="005211F1">
        <w:t>Participants</w:t>
      </w:r>
    </w:p>
    <w:p w14:paraId="34FC2DF6" w14:textId="77777777" w:rsidR="000D4308" w:rsidRPr="005211F1" w:rsidRDefault="000D4308" w:rsidP="003A10CA">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4" w:name="_yzgpn55klhwa" w:colFirst="0" w:colLast="0"/>
      <w:bookmarkEnd w:id="4"/>
    </w:p>
    <w:p w14:paraId="497C09E9" w14:textId="77777777" w:rsidR="000D4308" w:rsidRPr="005211F1" w:rsidRDefault="000D4308" w:rsidP="003A10CA">
      <w:pPr>
        <w:pStyle w:val="Heading2"/>
      </w:pPr>
      <w:r w:rsidRPr="005211F1">
        <w:lastRenderedPageBreak/>
        <w:t>Measures</w:t>
      </w:r>
    </w:p>
    <w:p w14:paraId="36951DCA" w14:textId="5408408D" w:rsidR="000D4308" w:rsidRPr="005211F1" w:rsidRDefault="000D4308" w:rsidP="003A10CA">
      <w:bookmarkStart w:id="5" w:name="_e4ajn071d6fh" w:colFirst="0" w:colLast="0"/>
      <w:bookmarkEnd w:id="5"/>
      <w:r w:rsidRPr="005211F1">
        <w:t xml:space="preserve">The IRAP is a computer-based reaction time task. Its procedural parameters have been discussed in great detail in many other papers </w:t>
      </w:r>
      <w:r w:rsidRPr="005211F1">
        <w:fldChar w:fldCharType="begin"/>
      </w:r>
      <w:r w:rsidR="00D12214">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D12214">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7" w:history="1">
        <w:r w:rsidR="00B85024" w:rsidRPr="004A09BF">
          <w:rPr>
            <w:rStyle w:val="Hyperlink"/>
          </w:rPr>
          <w:t>https://osf.io/vhzsn/?view_only=60e9e24c080e410db9c929914cf7eec4</w:t>
        </w:r>
      </w:hyperlink>
      <w:r w:rsidRPr="005211F1">
        <w:t>).</w:t>
      </w:r>
    </w:p>
    <w:p w14:paraId="11A4A8AD" w14:textId="77777777" w:rsidR="000D4308" w:rsidRPr="005211F1" w:rsidRDefault="000D4308" w:rsidP="003A10CA">
      <w:pPr>
        <w:pStyle w:val="Heading2"/>
      </w:pPr>
      <w:r w:rsidRPr="005211F1">
        <w:t>Data processing</w:t>
      </w:r>
    </w:p>
    <w:p w14:paraId="74E7A39A" w14:textId="6E6E524F" w:rsidR="000D4308" w:rsidRPr="005211F1" w:rsidRDefault="000D4308" w:rsidP="003A10CA">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D12214">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w:t>
      </w:r>
      <w:r w:rsidRPr="005211F1">
        <w:lastRenderedPageBreak/>
        <w:t xml:space="preserve">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3A10CA">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3A10CA">
      <w:pPr>
        <w:pStyle w:val="Heading1"/>
      </w:pPr>
      <w:r w:rsidRPr="005211F1">
        <w:t>Results</w:t>
      </w:r>
    </w:p>
    <w:p w14:paraId="6AD88064" w14:textId="77777777" w:rsidR="000D4308" w:rsidRPr="005211F1" w:rsidRDefault="000D4308" w:rsidP="003A10CA">
      <w:pPr>
        <w:pStyle w:val="Heading2"/>
      </w:pPr>
      <w:r w:rsidRPr="005211F1">
        <w:t>Evidence for the generic pattern</w:t>
      </w:r>
    </w:p>
    <w:p w14:paraId="0EC268FA" w14:textId="713BDFF2" w:rsidR="000D4308" w:rsidRPr="005211F1" w:rsidRDefault="000D4308" w:rsidP="003A10CA">
      <w:r w:rsidRPr="005211F1">
        <w:t>We hypothesized that if the IRAP is relatively sensitive to the domain being assessed</w:t>
      </w:r>
      <w:r w:rsidR="00581EAA">
        <w:t xml:space="preserve"> then </w:t>
      </w:r>
      <w:r w:rsidRPr="005211F1">
        <w:t xml:space="preserve">a greater proportion of variance </w:t>
      </w:r>
      <w:r w:rsidR="00581EAA">
        <w:t>will</w:t>
      </w:r>
      <w:r w:rsidR="00581EAA" w:rsidRPr="005211F1">
        <w:t xml:space="preserve"> </w:t>
      </w:r>
      <w:r w:rsidRPr="005211F1">
        <w:t>be attributable to the main effect for IRAP stimuli domain and/or the interaction between domain and trial type</w:t>
      </w:r>
      <w:r w:rsidR="00581EAA">
        <w:t xml:space="preserve"> than for the main effect for trial type</w:t>
      </w:r>
      <w:r w:rsidRPr="005211F1">
        <w:t>. However, if IRAP effects are mostly driven by the generic pattern then the main effect for trial type effect would be larger</w:t>
      </w:r>
      <w:r w:rsidR="00581EAA">
        <w:t xml:space="preserve"> than the main effect for domain or their interaction effect</w:t>
      </w:r>
      <w:r w:rsidRPr="005211F1">
        <w:t xml:space="preserve">. This </w:t>
      </w:r>
      <w:r w:rsidR="00581EAA">
        <w:t xml:space="preserve">latter scenario </w:t>
      </w:r>
      <w:r w:rsidRPr="005211F1">
        <w:t>would imply that the IRAP is relatively insensitive to the stimulus domain being assessed.</w:t>
      </w:r>
    </w:p>
    <w:p w14:paraId="534200FB" w14:textId="41A7CBCC" w:rsidR="000D4308" w:rsidRPr="005211F1" w:rsidRDefault="000D4308" w:rsidP="003A10CA">
      <w:r w:rsidRPr="005211F1">
        <w:t xml:space="preserve">A mixed within-between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w:t>
      </w:r>
      <w:r w:rsidRPr="005211F1">
        <w:lastRenderedPageBreak/>
        <w:t>domains featuring known-words was used (i.e., all domains other than the non-words IRAP). Because our hypothes</w:t>
      </w:r>
      <w:r w:rsidR="009B12B3">
        <w:t>i</w:t>
      </w:r>
      <w:r w:rsidRPr="005211F1">
        <w:t xml:space="preserve">s </w:t>
      </w:r>
      <w:r w:rsidR="009B12B3">
        <w:t>involved</w:t>
      </w:r>
      <w:r w:rsidRPr="005211F1">
        <w:t xml:space="preserve"> comparing the proportion of variance attributable to </w:t>
      </w:r>
      <w:r w:rsidR="009B12B3">
        <w:t xml:space="preserve">the effects </w:t>
      </w:r>
      <w:r w:rsidRPr="005211F1">
        <w:t xml:space="preserve">effect rather than assessing differences in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w:t>
      </w:r>
      <w:r w:rsidR="009B12B3">
        <w:t>Point estimates for effect sizes are computed as m</w:t>
      </w:r>
      <w:r w:rsidRPr="005211F1">
        <w:t xml:space="preserve">edian bootstrapped estimates for robustness. Following standard practice, 90% confidence intervals are reported </w:t>
      </w:r>
      <w:r w:rsidR="00DC7514">
        <w:t xml:space="preserve">rather than 95% confidence intervals </w:t>
      </w:r>
      <w:r w:rsidRPr="005211F1">
        <w:t xml:space="preserve">on the basis that squared effect sizes can only be positive numbers. </w:t>
      </w:r>
    </w:p>
    <w:p w14:paraId="262C85EF" w14:textId="6000AD12" w:rsidR="000D4308" w:rsidRDefault="000D4308" w:rsidP="003A10CA">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r w:rsidR="00AD7A86">
        <w:t>. I</w:t>
      </w:r>
      <w:r w:rsidR="002C6BD6">
        <w:t>ndeed the generalized form of this effect size was created for exactly such purposes.</w:t>
      </w:r>
      <w:r w:rsidR="00AD7A86">
        <w:t xml:space="preserve"> </w:t>
      </w:r>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70</w:t>
      </w:r>
      <w:r w:rsidRPr="005211F1">
        <w:t>, 90% CI [0.6</w:t>
      </w:r>
      <w:r w:rsidR="002E00E1">
        <w:t>6</w:t>
      </w:r>
      <w:r w:rsidRPr="005211F1">
        <w:t>, 0.7</w:t>
      </w:r>
      <w:r w:rsidR="002E00E1">
        <w:t>5</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r w:rsidR="002E00E1">
        <w:t>4</w:t>
      </w:r>
      <w:r w:rsidRPr="005211F1">
        <w:t>, 90% CI [0.</w:t>
      </w:r>
      <w:r w:rsidR="002E00E1">
        <w:t>22</w:t>
      </w:r>
      <w:r w:rsidRPr="005211F1">
        <w:t>, 0.2</w:t>
      </w:r>
      <w:r w:rsidR="002E00E1">
        <w:t>7</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r w:rsidR="002E00E1">
        <w:t>7</w:t>
      </w:r>
      <w:r w:rsidRPr="005211F1">
        <w:t>, 90% CI [0.1</w:t>
      </w:r>
      <w:r w:rsidR="002E00E1">
        <w:t>5</w:t>
      </w:r>
      <w:r w:rsidRPr="005211F1">
        <w:t>, 0.</w:t>
      </w:r>
      <w:r w:rsidR="002E00E1">
        <w:t>19</w:t>
      </w:r>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 90% CI [0.07, 0.1</w:t>
      </w:r>
      <w:r w:rsidR="002E00E1">
        <w:t>4</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r w:rsidR="002E00E1">
        <w:t>8</w:t>
      </w:r>
      <w:r w:rsidRPr="005211F1">
        <w:t>, 90% CI [0.0</w:t>
      </w:r>
      <w:r w:rsidR="002E00E1">
        <w:t>6</w:t>
      </w:r>
      <w:r w:rsidRPr="005211F1">
        <w:t>, 0.</w:t>
      </w:r>
      <w:r w:rsidR="002E00E1">
        <w:t>10</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[0.0</w:t>
      </w:r>
      <w:r w:rsidR="002E00E1">
        <w:t>2</w:t>
      </w:r>
      <w:r w:rsidRPr="005211F1">
        <w:t>, 0.0</w:t>
      </w:r>
      <w:r w:rsidR="002E00E1">
        <w:t>4</w:t>
      </w:r>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09</w:t>
      </w:r>
      <w:r w:rsidRPr="005211F1">
        <w:t>, 90% CI [0.0</w:t>
      </w:r>
      <w:r w:rsidR="002E00E1">
        <w:t>7</w:t>
      </w:r>
      <w:r w:rsidRPr="005211F1">
        <w:t>, 0.1</w:t>
      </w:r>
      <w:r w:rsidR="002E00E1">
        <w:t>2</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 90% CI [0.03, 0.05],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90% CI [0.02, 0.0</w:t>
      </w:r>
      <w:r w:rsidR="002E00E1">
        <w:t>4</w:t>
      </w:r>
      <w:r w:rsidRPr="005211F1">
        <w:t xml:space="preserve">]). Results are illustrated in Figure 1. Results therefore supported the conclusion that variation in the IRAP </w:t>
      </w:r>
      <w:r w:rsidRPr="005211F1">
        <w:lastRenderedPageBreak/>
        <w:t xml:space="preserve">effects are mostly attributable to a generic pattern among the IRAP trial types. IRAP effects are therefore relatively insensitive to the attitude domain being assessed. </w:t>
      </w:r>
    </w:p>
    <w:p w14:paraId="6AFC84B3" w14:textId="747BC8A7" w:rsidR="00FF65C2" w:rsidRDefault="00FF65C2" w:rsidP="003A10CA"/>
    <w:p w14:paraId="0639B92D" w14:textId="64A4681C" w:rsidR="00FF65C2" w:rsidRPr="009B786B" w:rsidRDefault="00030308" w:rsidP="0057776C">
      <w:pPr>
        <w:ind w:firstLine="0"/>
        <w:jc w:val="center"/>
      </w:pPr>
      <w:r>
        <w:rPr>
          <w:noProof/>
        </w:rPr>
        <w:drawing>
          <wp:inline distT="0" distB="0" distL="0" distR="0" wp14:anchorId="6B1E2DC8" wp14:editId="0A3CA98B">
            <wp:extent cx="3707296" cy="41711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3713875" cy="4178537"/>
                    </a:xfrm>
                    <a:prstGeom prst="rect">
                      <a:avLst/>
                    </a:prstGeom>
                  </pic:spPr>
                </pic:pic>
              </a:graphicData>
            </a:graphic>
          </wp:inline>
        </w:drawing>
      </w:r>
    </w:p>
    <w:p w14:paraId="6F81B0C9" w14:textId="65E2618D" w:rsidR="00FF65C2" w:rsidRPr="009B786B" w:rsidRDefault="00FF65C2" w:rsidP="008D48B7">
      <w:pPr>
        <w:pStyle w:val="figuretitles"/>
      </w:pPr>
      <w:r w:rsidRPr="009B786B">
        <w:rPr>
          <w:i/>
        </w:rPr>
        <w:t>Figure 1.</w:t>
      </w:r>
      <w:r w:rsidRPr="009B786B">
        <w:t xml:space="preserve"> Effect size estimates for the ANOVAs.</w:t>
      </w:r>
    </w:p>
    <w:p w14:paraId="6518DF41" w14:textId="77777777" w:rsidR="00FF65C2" w:rsidRPr="005211F1" w:rsidRDefault="00FF65C2" w:rsidP="003A10CA"/>
    <w:p w14:paraId="151AF91E" w14:textId="77777777" w:rsidR="000D4308" w:rsidRPr="005211F1" w:rsidRDefault="000D4308" w:rsidP="003A10CA">
      <w:pPr>
        <w:pStyle w:val="Heading2"/>
      </w:pPr>
      <w:r w:rsidRPr="005211F1">
        <w:t xml:space="preserve">Estimating the generic pattern </w:t>
      </w:r>
    </w:p>
    <w:p w14:paraId="46D3BED4" w14:textId="77777777" w:rsidR="000D4308" w:rsidRPr="005211F1" w:rsidRDefault="000D4308" w:rsidP="003A10CA">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7776C" w:rsidRDefault="000D4308" w:rsidP="003A10CA">
      <w:pPr>
        <w:rPr>
          <w:rFonts w:ascii="Monaco" w:hAnsi="Monaco"/>
          <w:sz w:val="20"/>
          <w:szCs w:val="20"/>
        </w:rPr>
      </w:pPr>
      <w:r w:rsidRPr="0057776C">
        <w:rPr>
          <w:rFonts w:ascii="Monaco" w:hAnsi="Monaco"/>
          <w:sz w:val="20"/>
          <w:szCs w:val="20"/>
        </w:rPr>
        <w:t xml:space="preserve">D ~ 1 + </w:t>
      </w:r>
      <w:proofErr w:type="spellStart"/>
      <w:r w:rsidRPr="0057776C">
        <w:rPr>
          <w:rFonts w:ascii="Monaco" w:hAnsi="Monaco"/>
          <w:sz w:val="20"/>
          <w:szCs w:val="20"/>
        </w:rPr>
        <w:t>trialtype</w:t>
      </w:r>
      <w:proofErr w:type="spellEnd"/>
      <w:r w:rsidRPr="0057776C">
        <w:rPr>
          <w:rFonts w:ascii="Monaco" w:hAnsi="Monaco"/>
          <w:sz w:val="20"/>
          <w:szCs w:val="20"/>
        </w:rPr>
        <w:t xml:space="preserve"> + (1 | domain) + (1 | participant)</w:t>
      </w:r>
    </w:p>
    <w:p w14:paraId="494C4F07" w14:textId="792BAE14" w:rsidR="000D4308" w:rsidRPr="005211F1" w:rsidRDefault="000D4308" w:rsidP="003A10CA">
      <w:r w:rsidRPr="005211F1">
        <w:lastRenderedPageBreak/>
        <w:t xml:space="preserve">The generic pattern was therefore estimated via the estimated means for each trial type. Estimated means were Category 1 – Positive: </w:t>
      </w:r>
      <w:r w:rsidRPr="005211F1">
        <w:rPr>
          <w:i/>
        </w:rPr>
        <w:t>M</w:t>
      </w:r>
      <w:r w:rsidRPr="005211F1">
        <w:t xml:space="preserve"> = 0.</w:t>
      </w:r>
      <w:r w:rsidR="00C21CEC">
        <w:t>34</w:t>
      </w:r>
      <w:r w:rsidRPr="005211F1">
        <w:t>, 95% CI = [0.</w:t>
      </w:r>
      <w:r w:rsidR="00C21CEC">
        <w:t>3</w:t>
      </w:r>
      <w:r w:rsidRPr="005211F1">
        <w:t>0, 0.</w:t>
      </w:r>
      <w:r w:rsidR="00C21CEC">
        <w:t>38</w:t>
      </w:r>
      <w:r w:rsidRPr="005211F1">
        <w:t xml:space="preserve">], </w:t>
      </w:r>
      <w:r w:rsidRPr="005211F1">
        <w:rPr>
          <w:i/>
        </w:rPr>
        <w:t>p</w:t>
      </w:r>
      <w:r w:rsidRPr="005211F1">
        <w:t xml:space="preserve"> &lt; .001; Category 1 – Negative: </w:t>
      </w:r>
      <w:r w:rsidRPr="005211F1">
        <w:rPr>
          <w:i/>
        </w:rPr>
        <w:t>M</w:t>
      </w:r>
      <w:r w:rsidRPr="005211F1">
        <w:t xml:space="preserve"> = 0.</w:t>
      </w:r>
      <w:r w:rsidR="00C21CEC">
        <w:t>14</w:t>
      </w:r>
      <w:r w:rsidRPr="005211F1">
        <w:t>, 95% CI = [0.0</w:t>
      </w:r>
      <w:r w:rsidR="00C21CEC">
        <w:t>6</w:t>
      </w:r>
      <w:r w:rsidRPr="005211F1">
        <w:t>, 0.</w:t>
      </w:r>
      <w:r w:rsidR="00C21CEC">
        <w:t>21</w:t>
      </w:r>
      <w:r w:rsidRPr="005211F1">
        <w:t xml:space="preserve">], </w:t>
      </w:r>
      <w:r w:rsidRPr="005211F1">
        <w:rPr>
          <w:i/>
        </w:rPr>
        <w:t>p</w:t>
      </w:r>
      <w:r w:rsidRPr="005211F1">
        <w:t xml:space="preserve"> &lt; .001; Category 2 – Positive: </w:t>
      </w:r>
      <w:r w:rsidRPr="005211F1">
        <w:rPr>
          <w:i/>
        </w:rPr>
        <w:t>M</w:t>
      </w:r>
      <w:r w:rsidRPr="005211F1">
        <w:t xml:space="preserve"> = -0.</w:t>
      </w:r>
      <w:r w:rsidR="00C21CEC">
        <w:t>20</w:t>
      </w:r>
      <w:r w:rsidRPr="005211F1">
        <w:t>, 95% CI = [-0.</w:t>
      </w:r>
      <w:r w:rsidR="00C21CEC">
        <w:t>28</w:t>
      </w:r>
      <w:r w:rsidRPr="005211F1">
        <w:t>, -0.</w:t>
      </w:r>
      <w:r w:rsidR="00C21CEC">
        <w:t>12</w:t>
      </w:r>
      <w:r w:rsidRPr="005211F1">
        <w:t xml:space="preserve">], </w:t>
      </w:r>
      <w:r w:rsidRPr="005211F1">
        <w:rPr>
          <w:i/>
        </w:rPr>
        <w:t>p</w:t>
      </w:r>
      <w:r w:rsidRPr="005211F1">
        <w:t xml:space="preserve"> &lt; .001; Category 2 – Negative: </w:t>
      </w:r>
      <w:r w:rsidRPr="005211F1">
        <w:rPr>
          <w:i/>
        </w:rPr>
        <w:t>M</w:t>
      </w:r>
      <w:r w:rsidRPr="005211F1">
        <w:t xml:space="preserve"> = 0.0</w:t>
      </w:r>
      <w:r w:rsidR="00C21CEC">
        <w:t>2</w:t>
      </w:r>
      <w:r w:rsidRPr="005211F1">
        <w:t>, 95% CI = [</w:t>
      </w:r>
      <w:r w:rsidR="00C21CEC">
        <w:t>-</w:t>
      </w:r>
      <w:r w:rsidRPr="005211F1">
        <w:t>0.0</w:t>
      </w:r>
      <w:r w:rsidR="00C21CEC">
        <w:t>6</w:t>
      </w:r>
      <w:r w:rsidRPr="005211F1">
        <w:t>, 0.0</w:t>
      </w:r>
      <w:r w:rsidR="00C21CEC">
        <w:t>9</w:t>
      </w:r>
      <w:r w:rsidRPr="005211F1">
        <w:t xml:space="preserve">], </w:t>
      </w:r>
      <w:r w:rsidRPr="005211F1">
        <w:rPr>
          <w:i/>
        </w:rPr>
        <w:t>p</w:t>
      </w:r>
      <w:r w:rsidRPr="005211F1">
        <w:t xml:space="preserve"> &lt; .001. This pattern is illustrated in Figure 2 (upper panel), along with the data from each attitude domain. </w:t>
      </w:r>
    </w:p>
    <w:p w14:paraId="0F808FF2" w14:textId="2E3E90F5" w:rsidR="000D4308" w:rsidRDefault="000D4308" w:rsidP="003A10CA">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r w:rsidR="009E5A0D">
        <w:t xml:space="preserve">Nonetheless, visual </w:t>
      </w:r>
      <w:r w:rsidR="00030308">
        <w:t>inspection</w:t>
      </w:r>
      <w:r w:rsidR="009E5A0D">
        <w:t xml:space="preserve"> of the plot reveals a strikingly similar pattern between the trial types, despite one set of IRAPs supposedly measuring attitudes to a set of domains, and the other employing nonsense words. </w:t>
      </w:r>
    </w:p>
    <w:p w14:paraId="00A60681" w14:textId="7C5FA125" w:rsidR="008E5DAD" w:rsidRDefault="008E5DAD" w:rsidP="003A10CA">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00D12214">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3A10CA"/>
    <w:p w14:paraId="65E1F17D" w14:textId="46B52243" w:rsidR="002D4B59" w:rsidRPr="009B786B" w:rsidRDefault="00030308" w:rsidP="0057776C">
      <w:pPr>
        <w:ind w:firstLine="0"/>
        <w:jc w:val="center"/>
      </w:pPr>
      <w:r>
        <w:rPr>
          <w:noProof/>
        </w:rPr>
        <w:drawing>
          <wp:inline distT="0" distB="0" distL="0" distR="0" wp14:anchorId="112C9B48" wp14:editId="34ED94CB">
            <wp:extent cx="4452730" cy="51945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stretch>
                      <a:fillRect/>
                    </a:stretch>
                  </pic:blipFill>
                  <pic:spPr>
                    <a:xfrm>
                      <a:off x="0" y="0"/>
                      <a:ext cx="4457878" cy="5200515"/>
                    </a:xfrm>
                    <a:prstGeom prst="rect">
                      <a:avLst/>
                    </a:prstGeom>
                  </pic:spPr>
                </pic:pic>
              </a:graphicData>
            </a:graphic>
          </wp:inline>
        </w:drawing>
      </w:r>
    </w:p>
    <w:p w14:paraId="2BD286B4" w14:textId="77E92F7B" w:rsidR="002D4B59" w:rsidRDefault="002D4B59" w:rsidP="008D48B7">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8D48B7">
      <w:pPr>
        <w:pStyle w:val="figuretitles"/>
      </w:pPr>
    </w:p>
    <w:p w14:paraId="4E5CBC0C" w14:textId="77777777" w:rsidR="002D4B59" w:rsidRDefault="002D4B59" w:rsidP="003A10CA"/>
    <w:p w14:paraId="103C8F40" w14:textId="19F005C7" w:rsidR="002D4B59" w:rsidRPr="009B786B" w:rsidRDefault="00030308" w:rsidP="0057776C">
      <w:pPr>
        <w:ind w:firstLine="0"/>
        <w:jc w:val="center"/>
      </w:pPr>
      <w:r>
        <w:rPr>
          <w:noProof/>
        </w:rPr>
        <w:lastRenderedPageBreak/>
        <w:drawing>
          <wp:inline distT="0" distB="0" distL="0" distR="0" wp14:anchorId="34BB1E94" wp14:editId="4E833429">
            <wp:extent cx="4501006" cy="3150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stretch>
                      <a:fillRect/>
                    </a:stretch>
                  </pic:blipFill>
                  <pic:spPr>
                    <a:xfrm>
                      <a:off x="0" y="0"/>
                      <a:ext cx="4515044" cy="3160530"/>
                    </a:xfrm>
                    <a:prstGeom prst="rect">
                      <a:avLst/>
                    </a:prstGeom>
                  </pic:spPr>
                </pic:pic>
              </a:graphicData>
            </a:graphic>
          </wp:inline>
        </w:drawing>
      </w:r>
    </w:p>
    <w:p w14:paraId="2177E944" w14:textId="2E392EF0" w:rsidR="002D4B59" w:rsidRDefault="002D4B59" w:rsidP="008D48B7">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62CA84A1" w14:textId="77777777" w:rsidR="00DD754F" w:rsidRPr="005211F1" w:rsidRDefault="00DD754F" w:rsidP="008D48B7">
      <w:pPr>
        <w:pStyle w:val="figuretitles"/>
      </w:pPr>
    </w:p>
    <w:p w14:paraId="06803699" w14:textId="77777777" w:rsidR="000D4308" w:rsidRPr="005211F1" w:rsidRDefault="000D4308" w:rsidP="003A10CA">
      <w:pPr>
        <w:pStyle w:val="Heading1"/>
      </w:pPr>
      <w:r w:rsidRPr="005211F1">
        <w:t>Discussion</w:t>
      </w:r>
    </w:p>
    <w:p w14:paraId="7FBB50F6" w14:textId="5E6F239D" w:rsidR="000D4308" w:rsidRPr="005211F1" w:rsidRDefault="000D4308" w:rsidP="003A10CA">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226DF7D1" w:rsidR="000D4308" w:rsidRPr="005211F1" w:rsidRDefault="000D4308" w:rsidP="003A10CA">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but instead represents both differences between positive and negative </w:t>
      </w:r>
      <w:r w:rsidRPr="005211F1">
        <w:lastRenderedPageBreak/>
        <w:t>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34116865" w:rsidR="000D4308" w:rsidRPr="005211F1" w:rsidRDefault="000D4308" w:rsidP="003A10CA">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3A10CA">
      <w:pPr>
        <w:pStyle w:val="Heading2"/>
      </w:pPr>
      <w:r w:rsidRPr="005211F1">
        <w:t>Implications for the validity of conclusions in the published literature</w:t>
      </w:r>
    </w:p>
    <w:p w14:paraId="7E839672" w14:textId="1935A94B" w:rsidR="002D4B59" w:rsidRPr="005211F1" w:rsidRDefault="000D4308" w:rsidP="003A10CA">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w:t>
      </w:r>
      <w:r w:rsidRPr="005211F1">
        <w:lastRenderedPageBreak/>
        <w:t xml:space="preserve">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3A2F5A45" w14:textId="77777777" w:rsidR="0057776C" w:rsidRPr="007666DF" w:rsidRDefault="000D4308" w:rsidP="0057776C">
      <w:pPr>
        <w:rPr>
          <w:color w:val="FF0000"/>
        </w:rPr>
      </w:pPr>
      <w:r w:rsidRPr="005211F1">
        <w:t>The existence of a generic pattern has significant implications for how the results of past and future IRAP studies should be interpreted. Indeed, many of the conclusions made in the published literature may be undermined or invalidated</w:t>
      </w:r>
      <w:r w:rsidR="009F6CC6">
        <w:t xml:space="preserve"> due to the confound that the generic pattern represents</w:t>
      </w:r>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w:t>
      </w:r>
      <w:r w:rsidR="0057776C" w:rsidRPr="005211F1">
        <w:t xml:space="preserve">conclusions when a </w:t>
      </w:r>
      <w:r w:rsidR="0057776C" w:rsidRPr="005211F1">
        <w:rPr>
          <w:i/>
        </w:rPr>
        <w:t>D</w:t>
      </w:r>
      <w:r w:rsidR="0057776C" w:rsidRPr="005211F1">
        <w:t xml:space="preserve"> score at or near zero is treated as meaningful have been around as long as the IRAP itself </w:t>
      </w:r>
      <w:r w:rsidR="0057776C" w:rsidRPr="005211F1">
        <w:fldChar w:fldCharType="begin"/>
      </w:r>
      <w:r w:rsidR="0057776C">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57776C" w:rsidRPr="005211F1">
        <w:fldChar w:fldCharType="separate"/>
      </w:r>
      <w:r w:rsidR="0057776C" w:rsidRPr="005211F1">
        <w:t>(Blanton &amp; Jaccard, 2006)</w:t>
      </w:r>
      <w:r w:rsidR="0057776C" w:rsidRPr="005211F1">
        <w:fldChar w:fldCharType="end"/>
      </w:r>
      <w:r w:rsidR="0057776C" w:rsidRPr="005211F1">
        <w:t>. However, these have previously been conceptual arguments, where the current work is empirical.</w:t>
      </w:r>
    </w:p>
    <w:p w14:paraId="6FCE9C0E" w14:textId="45A6DAD0" w:rsidR="005963FA" w:rsidRDefault="005963FA" w:rsidP="003A10CA">
      <w:pPr>
        <w:sectPr w:rsidR="005963FA" w:rsidSect="003A10CA">
          <w:type w:val="continuous"/>
          <w:pgSz w:w="11900" w:h="16840" w:code="9"/>
          <w:pgMar w:top="1440" w:right="1440" w:bottom="1440" w:left="1440" w:header="720" w:footer="720" w:gutter="0"/>
          <w:cols w:space="340"/>
          <w:titlePg/>
          <w:docGrid w:linePitch="360"/>
        </w:sectPr>
      </w:pPr>
    </w:p>
    <w:p w14:paraId="600B2388" w14:textId="7E0314B9" w:rsidR="00703F4F" w:rsidRPr="00532235" w:rsidRDefault="00703F4F" w:rsidP="008D48B7">
      <w:pPr>
        <w:ind w:firstLine="0"/>
      </w:pPr>
      <w:r w:rsidRPr="00703F4F">
        <w:rPr>
          <w:i/>
        </w:rPr>
        <w:lastRenderedPageBreak/>
        <w:t>Table 1.</w:t>
      </w:r>
      <w:r w:rsidRPr="00703F4F">
        <w:t xml:space="preserve"> A description of commonly-used methods of analysis for IRAP data, as well as the validity of the inferences which are typically made from them. </w:t>
      </w: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8D48B7"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8D48B7" w:rsidRDefault="00703F4F" w:rsidP="008D48B7">
            <w:pPr>
              <w:spacing w:line="240" w:lineRule="auto"/>
              <w:ind w:firstLine="0"/>
              <w:rPr>
                <w:sz w:val="20"/>
                <w:szCs w:val="20"/>
              </w:rPr>
            </w:pPr>
            <w:r w:rsidRPr="008D48B7">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8D48B7" w:rsidRDefault="00703F4F" w:rsidP="008D48B7">
            <w:pPr>
              <w:spacing w:line="240" w:lineRule="auto"/>
              <w:ind w:firstLine="0"/>
              <w:rPr>
                <w:sz w:val="20"/>
                <w:szCs w:val="20"/>
              </w:rPr>
            </w:pPr>
            <w:r w:rsidRPr="008D48B7">
              <w:rPr>
                <w:sz w:val="20"/>
                <w:szCs w:val="20"/>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8D48B7" w:rsidRDefault="00703F4F" w:rsidP="008D48B7">
            <w:pPr>
              <w:spacing w:line="240" w:lineRule="auto"/>
              <w:ind w:firstLine="0"/>
              <w:rPr>
                <w:sz w:val="20"/>
                <w:szCs w:val="20"/>
              </w:rPr>
            </w:pPr>
            <w:r w:rsidRPr="008D48B7">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8D48B7" w:rsidRDefault="00703F4F" w:rsidP="008D48B7">
            <w:pPr>
              <w:spacing w:line="240" w:lineRule="auto"/>
              <w:ind w:firstLine="0"/>
              <w:rPr>
                <w:sz w:val="20"/>
                <w:szCs w:val="20"/>
              </w:rPr>
            </w:pPr>
            <w:r w:rsidRPr="008D48B7">
              <w:rPr>
                <w:sz w:val="20"/>
                <w:szCs w:val="20"/>
              </w:rPr>
              <w:t>Common inference</w:t>
            </w:r>
          </w:p>
        </w:tc>
        <w:tc>
          <w:tcPr>
            <w:tcW w:w="1340" w:type="dxa"/>
            <w:tcBorders>
              <w:top w:val="single" w:sz="4" w:space="0" w:color="auto"/>
              <w:bottom w:val="single" w:sz="4" w:space="0" w:color="auto"/>
            </w:tcBorders>
          </w:tcPr>
          <w:p w14:paraId="20847D69" w14:textId="77777777" w:rsidR="00703F4F" w:rsidRPr="008D48B7" w:rsidRDefault="00703F4F" w:rsidP="008D48B7">
            <w:pPr>
              <w:spacing w:line="240" w:lineRule="auto"/>
              <w:ind w:firstLine="0"/>
              <w:rPr>
                <w:sz w:val="20"/>
                <w:szCs w:val="20"/>
              </w:rPr>
            </w:pPr>
            <w:r w:rsidRPr="008D48B7">
              <w:rPr>
                <w:sz w:val="20"/>
                <w:szCs w:val="20"/>
              </w:rPr>
              <w:t xml:space="preserve">Conclusions </w:t>
            </w:r>
          </w:p>
        </w:tc>
      </w:tr>
      <w:tr w:rsidR="00703F4F" w:rsidRPr="008D48B7"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8D48B7" w:rsidRDefault="00703F4F" w:rsidP="008D48B7">
            <w:pPr>
              <w:spacing w:line="240" w:lineRule="auto"/>
              <w:ind w:firstLine="0"/>
              <w:rPr>
                <w:sz w:val="20"/>
                <w:szCs w:val="20"/>
              </w:rPr>
            </w:pPr>
            <w:r w:rsidRPr="008D48B7">
              <w:rPr>
                <w:sz w:val="20"/>
                <w:szCs w:val="20"/>
              </w:rPr>
              <w:t xml:space="preserve">Is the “White people – positive” </w:t>
            </w:r>
            <w:r w:rsidRPr="008D48B7">
              <w:rPr>
                <w:i/>
                <w:sz w:val="20"/>
                <w:szCs w:val="20"/>
              </w:rPr>
              <w:t>D</w:t>
            </w:r>
            <w:r w:rsidRPr="008D48B7">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8D48B7" w:rsidRDefault="00703F4F" w:rsidP="008D48B7">
            <w:pPr>
              <w:spacing w:line="240" w:lineRule="auto"/>
              <w:ind w:firstLine="0"/>
              <w:rPr>
                <w:sz w:val="20"/>
                <w:szCs w:val="20"/>
              </w:rPr>
            </w:pPr>
            <w:r w:rsidRPr="008D48B7">
              <w:rPr>
                <w:sz w:val="20"/>
                <w:szCs w:val="20"/>
              </w:rPr>
              <w:t xml:space="preserve">One-sample </w:t>
            </w:r>
            <w:r w:rsidRPr="008D48B7">
              <w:rPr>
                <w:i/>
                <w:sz w:val="20"/>
                <w:szCs w:val="20"/>
              </w:rPr>
              <w:t>t</w:t>
            </w:r>
            <w:r w:rsidRPr="008D48B7">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8D48B7" w:rsidRDefault="00703F4F" w:rsidP="008D48B7">
            <w:pPr>
              <w:spacing w:line="240" w:lineRule="auto"/>
              <w:ind w:firstLine="0"/>
              <w:rPr>
                <w:sz w:val="20"/>
                <w:szCs w:val="20"/>
              </w:rPr>
            </w:pPr>
            <w:r w:rsidRPr="008D48B7">
              <w:rPr>
                <w:sz w:val="20"/>
                <w:szCs w:val="20"/>
              </w:rPr>
              <w:t>A “White people – positive” bias was observed.</w:t>
            </w:r>
          </w:p>
        </w:tc>
        <w:tc>
          <w:tcPr>
            <w:tcW w:w="1340" w:type="dxa"/>
            <w:tcBorders>
              <w:top w:val="single" w:sz="4" w:space="0" w:color="auto"/>
            </w:tcBorders>
          </w:tcPr>
          <w:p w14:paraId="1567AEC1" w14:textId="5DFC5CAD"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8D48B7" w:rsidRDefault="00703F4F" w:rsidP="008D48B7">
            <w:pPr>
              <w:spacing w:line="240" w:lineRule="auto"/>
              <w:ind w:firstLine="0"/>
              <w:rPr>
                <w:sz w:val="20"/>
                <w:szCs w:val="20"/>
              </w:rPr>
            </w:pPr>
            <w:r w:rsidRPr="008D48B7">
              <w:rPr>
                <w:sz w:val="20"/>
                <w:szCs w:val="20"/>
              </w:rPr>
              <w:t xml:space="preserve">Does participant 1’s “White people – positive” </w:t>
            </w:r>
            <w:r w:rsidRPr="008D48B7">
              <w:rPr>
                <w:i/>
                <w:sz w:val="20"/>
                <w:szCs w:val="20"/>
              </w:rPr>
              <w:t>D</w:t>
            </w:r>
            <w:r w:rsidRPr="008D48B7">
              <w:rPr>
                <w:sz w:val="20"/>
                <w:szCs w:val="20"/>
              </w:rPr>
              <w:t xml:space="preserve"> score differ from their “White people – negative” </w:t>
            </w:r>
            <w:r w:rsidRPr="008D48B7">
              <w:rPr>
                <w:i/>
                <w:sz w:val="20"/>
                <w:szCs w:val="20"/>
              </w:rPr>
              <w:t>D</w:t>
            </w:r>
            <w:r w:rsidRPr="008D48B7">
              <w:rPr>
                <w:sz w:val="20"/>
                <w:szCs w:val="20"/>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02B5F694" w14:textId="77777777" w:rsidR="00703F4F" w:rsidRPr="008D48B7" w:rsidRDefault="00703F4F" w:rsidP="008D48B7">
            <w:pPr>
              <w:spacing w:line="240" w:lineRule="auto"/>
              <w:ind w:firstLine="0"/>
              <w:rPr>
                <w:sz w:val="20"/>
                <w:szCs w:val="20"/>
              </w:rPr>
            </w:pPr>
            <w:r w:rsidRPr="008D48B7">
              <w:rPr>
                <w:sz w:val="20"/>
                <w:szCs w:val="20"/>
              </w:rPr>
              <w:t>“White people – positive” biases were larger than “White people – negative” biases.</w:t>
            </w:r>
          </w:p>
        </w:tc>
        <w:tc>
          <w:tcPr>
            <w:tcW w:w="1340" w:type="dxa"/>
          </w:tcPr>
          <w:p w14:paraId="19C14CBB" w14:textId="101DCAD1"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 </w:t>
            </w:r>
            <w:r w:rsidRPr="008D48B7">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8D48B7" w:rsidRDefault="00703F4F" w:rsidP="008D48B7">
            <w:pPr>
              <w:spacing w:line="240" w:lineRule="auto"/>
              <w:ind w:firstLine="0"/>
              <w:rPr>
                <w:sz w:val="20"/>
                <w:szCs w:val="20"/>
              </w:rPr>
            </w:pPr>
            <w:r w:rsidRPr="008D48B7">
              <w:rPr>
                <w:sz w:val="20"/>
                <w:szCs w:val="20"/>
              </w:rPr>
              <w:t xml:space="preserve">Do </w:t>
            </w:r>
            <w:r w:rsidRPr="008D48B7">
              <w:rPr>
                <w:i/>
                <w:sz w:val="20"/>
                <w:szCs w:val="20"/>
              </w:rPr>
              <w:t>D</w:t>
            </w:r>
            <w:r w:rsidRPr="008D48B7">
              <w:rPr>
                <w:sz w:val="20"/>
                <w:szCs w:val="20"/>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364442D0" w14:textId="77777777" w:rsidR="00703F4F" w:rsidRPr="008D48B7" w:rsidRDefault="00703F4F" w:rsidP="008D48B7">
            <w:pPr>
              <w:spacing w:line="240" w:lineRule="auto"/>
              <w:ind w:firstLine="0"/>
              <w:rPr>
                <w:sz w:val="20"/>
                <w:szCs w:val="20"/>
              </w:rPr>
            </w:pPr>
            <w:r w:rsidRPr="008D48B7">
              <w:rPr>
                <w:sz w:val="20"/>
                <w:szCs w:val="20"/>
              </w:rPr>
              <w:t>“White people – positive” bias changed between timepoints/after the intervention.</w:t>
            </w:r>
          </w:p>
        </w:tc>
        <w:tc>
          <w:tcPr>
            <w:tcW w:w="1340" w:type="dxa"/>
          </w:tcPr>
          <w:p w14:paraId="73C3F762"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8D48B7" w:rsidRDefault="00703F4F" w:rsidP="008D48B7">
            <w:pPr>
              <w:spacing w:line="240" w:lineRule="auto"/>
              <w:ind w:firstLine="0"/>
              <w:rPr>
                <w:sz w:val="20"/>
                <w:szCs w:val="20"/>
              </w:rPr>
            </w:pPr>
            <w:r w:rsidRPr="008D48B7">
              <w:rPr>
                <w:sz w:val="20"/>
                <w:szCs w:val="20"/>
              </w:rPr>
              <w:t xml:space="preserve">Do effects on the “White people – positive” </w:t>
            </w:r>
            <w:r w:rsidRPr="008D48B7">
              <w:rPr>
                <w:i/>
                <w:sz w:val="20"/>
                <w:szCs w:val="20"/>
              </w:rPr>
              <w:t>D</w:t>
            </w:r>
            <w:r w:rsidRPr="008D48B7">
              <w:rPr>
                <w:sz w:val="20"/>
                <w:szCs w:val="20"/>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8D48B7" w:rsidRDefault="00703F4F" w:rsidP="008D48B7">
            <w:pPr>
              <w:spacing w:line="240" w:lineRule="auto"/>
              <w:ind w:firstLine="0"/>
              <w:rPr>
                <w:sz w:val="20"/>
                <w:szCs w:val="20"/>
              </w:rPr>
            </w:pPr>
            <w:r w:rsidRPr="008D48B7">
              <w:rPr>
                <w:sz w:val="20"/>
                <w:szCs w:val="20"/>
              </w:rPr>
              <w:t xml:space="preserve">Between-subjects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78EF6492" w14:textId="77777777" w:rsidR="00703F4F" w:rsidRPr="008D48B7" w:rsidRDefault="00703F4F" w:rsidP="008D48B7">
            <w:pPr>
              <w:spacing w:line="240" w:lineRule="auto"/>
              <w:ind w:firstLine="0"/>
              <w:rPr>
                <w:sz w:val="20"/>
                <w:szCs w:val="20"/>
              </w:rPr>
            </w:pPr>
            <w:r w:rsidRPr="008D48B7">
              <w:rPr>
                <w:sz w:val="20"/>
                <w:szCs w:val="20"/>
              </w:rPr>
              <w:t>White people demonstrated a larger “White people – positive” bias than Black people.</w:t>
            </w:r>
          </w:p>
        </w:tc>
        <w:tc>
          <w:tcPr>
            <w:tcW w:w="1340" w:type="dxa"/>
          </w:tcPr>
          <w:p w14:paraId="12F23026"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8D48B7" w:rsidRDefault="00703F4F" w:rsidP="008D48B7">
            <w:pPr>
              <w:spacing w:line="240" w:lineRule="auto"/>
              <w:ind w:firstLine="0"/>
              <w:rPr>
                <w:sz w:val="20"/>
                <w:szCs w:val="20"/>
              </w:rPr>
            </w:pPr>
            <w:r w:rsidRPr="008D48B7">
              <w:rPr>
                <w:sz w:val="20"/>
                <w:szCs w:val="20"/>
              </w:rPr>
              <w:t xml:space="preserve">Are “White people – positive” </w:t>
            </w:r>
            <w:r w:rsidRPr="008D48B7">
              <w:rPr>
                <w:i/>
                <w:sz w:val="20"/>
                <w:szCs w:val="20"/>
              </w:rPr>
              <w:t>D</w:t>
            </w:r>
            <w:r w:rsidRPr="008D48B7">
              <w:rPr>
                <w:sz w:val="20"/>
                <w:szCs w:val="20"/>
              </w:rPr>
              <w:t xml:space="preserve"> scores negatively associated with “White people – negative” </w:t>
            </w:r>
            <w:r w:rsidRPr="008D48B7">
              <w:rPr>
                <w:i/>
                <w:sz w:val="20"/>
                <w:szCs w:val="20"/>
              </w:rPr>
              <w:t>D</w:t>
            </w:r>
            <w:r w:rsidRPr="008D48B7">
              <w:rPr>
                <w:sz w:val="20"/>
                <w:szCs w:val="20"/>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shd w:val="clear" w:color="auto" w:fill="auto"/>
            <w:tcMar>
              <w:top w:w="100" w:type="dxa"/>
              <w:left w:w="100" w:type="dxa"/>
              <w:bottom w:w="100" w:type="dxa"/>
              <w:right w:w="100" w:type="dxa"/>
            </w:tcMar>
          </w:tcPr>
          <w:p w14:paraId="5CD8ACEA" w14:textId="77777777" w:rsidR="00703F4F" w:rsidRPr="008D48B7" w:rsidRDefault="00703F4F" w:rsidP="008D48B7">
            <w:pPr>
              <w:spacing w:line="240" w:lineRule="auto"/>
              <w:ind w:firstLine="0"/>
              <w:rPr>
                <w:sz w:val="20"/>
                <w:szCs w:val="20"/>
              </w:rPr>
            </w:pPr>
            <w:r w:rsidRPr="008D48B7">
              <w:rPr>
                <w:sz w:val="20"/>
                <w:szCs w:val="20"/>
              </w:rPr>
              <w:t>Positive evaluations of White people are negatively associated with negative evaluations of White people.</w:t>
            </w:r>
          </w:p>
        </w:tc>
        <w:tc>
          <w:tcPr>
            <w:tcW w:w="1340" w:type="dxa"/>
          </w:tcPr>
          <w:p w14:paraId="7F6E741B"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8D48B7" w:rsidRDefault="00703F4F" w:rsidP="008D48B7">
            <w:pPr>
              <w:spacing w:line="240" w:lineRule="auto"/>
              <w:ind w:firstLine="0"/>
              <w:rPr>
                <w:sz w:val="20"/>
                <w:szCs w:val="20"/>
              </w:rPr>
            </w:pPr>
            <w:r w:rsidRPr="008D48B7">
              <w:rPr>
                <w:sz w:val="20"/>
                <w:szCs w:val="20"/>
              </w:rPr>
              <w:t xml:space="preserve">Are “Black people – negative” </w:t>
            </w:r>
            <w:r w:rsidRPr="008D48B7">
              <w:rPr>
                <w:i/>
                <w:sz w:val="20"/>
                <w:szCs w:val="20"/>
              </w:rPr>
              <w:t>D</w:t>
            </w:r>
            <w:r w:rsidRPr="008D48B7">
              <w:rPr>
                <w:sz w:val="20"/>
                <w:szCs w:val="20"/>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8D48B7" w:rsidRDefault="00703F4F" w:rsidP="008D48B7">
            <w:pPr>
              <w:spacing w:line="240" w:lineRule="auto"/>
              <w:ind w:firstLine="0"/>
              <w:rPr>
                <w:sz w:val="20"/>
                <w:szCs w:val="20"/>
              </w:rPr>
            </w:pPr>
            <w:r w:rsidRPr="008D48B7">
              <w:rPr>
                <w:sz w:val="20"/>
                <w:szCs w:val="20"/>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8D48B7" w:rsidRDefault="00703F4F" w:rsidP="008D48B7">
            <w:pPr>
              <w:spacing w:line="240" w:lineRule="auto"/>
              <w:ind w:firstLine="0"/>
              <w:rPr>
                <w:sz w:val="20"/>
                <w:szCs w:val="20"/>
              </w:rPr>
            </w:pPr>
            <w:r w:rsidRPr="008D48B7">
              <w:rPr>
                <w:i/>
                <w:sz w:val="20"/>
                <w:szCs w:val="20"/>
              </w:rPr>
              <w:t>Notes:</w:t>
            </w:r>
            <w:r w:rsidRPr="008D48B7">
              <w:rPr>
                <w:sz w:val="20"/>
                <w:szCs w:val="20"/>
              </w:rPr>
              <w:t xml:space="preserve"> Conclusions refers to the validity of substantive domain-level conclusions in light of the existence of the generic pattern among IRAP effects.</w:t>
            </w:r>
          </w:p>
        </w:tc>
      </w:tr>
    </w:tbl>
    <w:p w14:paraId="4032F66A" w14:textId="0FAA6A3F" w:rsidR="00222377" w:rsidRDefault="00222377" w:rsidP="003A10CA">
      <w:pPr>
        <w:sectPr w:rsidR="00222377" w:rsidSect="003A10CA">
          <w:pgSz w:w="16840" w:h="11900" w:orient="landscape" w:code="9"/>
          <w:pgMar w:top="1440" w:right="1440" w:bottom="1440" w:left="1440" w:header="720" w:footer="720" w:gutter="0"/>
          <w:cols w:space="340"/>
          <w:titlePg/>
          <w:docGrid w:linePitch="360"/>
        </w:sectPr>
      </w:pPr>
    </w:p>
    <w:p w14:paraId="473E1E29" w14:textId="56918F1D" w:rsidR="00703F4F" w:rsidRDefault="00703F4F" w:rsidP="003A10CA">
      <w:pPr>
        <w:sectPr w:rsidR="00703F4F" w:rsidSect="003A10CA">
          <w:type w:val="continuous"/>
          <w:pgSz w:w="16840" w:h="11900" w:orient="landscape" w:code="9"/>
          <w:pgMar w:top="1440" w:right="1440" w:bottom="1440" w:left="1440" w:header="720" w:footer="720" w:gutter="0"/>
          <w:cols w:space="340"/>
          <w:titlePg/>
          <w:docGrid w:linePitch="360"/>
        </w:sectPr>
      </w:pPr>
    </w:p>
    <w:p w14:paraId="18A6BF68" w14:textId="7EA696F3" w:rsidR="004B1564" w:rsidRDefault="004B1564" w:rsidP="003A10CA">
      <w:pPr>
        <w:rPr>
          <w:color w:val="FF0000"/>
        </w:rPr>
      </w:pPr>
      <w:r w:rsidRPr="005211F1">
        <w:lastRenderedPageBreak/>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p>
    <w:p w14:paraId="4DAEF44D" w14:textId="233DDAF4" w:rsidR="004B1564" w:rsidRDefault="004B1564" w:rsidP="003A10CA"/>
    <w:p w14:paraId="1705949D" w14:textId="2DB3B4DA" w:rsidR="00391300" w:rsidRPr="00532235" w:rsidRDefault="00391300" w:rsidP="0057776C">
      <w:pPr>
        <w:ind w:firstLine="0"/>
        <w:jc w:val="center"/>
      </w:pPr>
      <w:r>
        <w:rPr>
          <w:noProof/>
        </w:rPr>
        <w:drawing>
          <wp:inline distT="0" distB="0" distL="0" distR="0" wp14:anchorId="622DE9DB" wp14:editId="4D060E85">
            <wp:extent cx="5168348" cy="30152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stretch>
                      <a:fillRect/>
                    </a:stretch>
                  </pic:blipFill>
                  <pic:spPr>
                    <a:xfrm>
                      <a:off x="0" y="0"/>
                      <a:ext cx="5175551" cy="3019469"/>
                    </a:xfrm>
                    <a:prstGeom prst="rect">
                      <a:avLst/>
                    </a:prstGeom>
                  </pic:spPr>
                </pic:pic>
              </a:graphicData>
            </a:graphic>
          </wp:inline>
        </w:drawing>
      </w:r>
    </w:p>
    <w:p w14:paraId="479B7646" w14:textId="776A9207" w:rsidR="00B056A5" w:rsidRPr="008D48B7" w:rsidRDefault="00B056A5" w:rsidP="008D48B7">
      <w:pPr>
        <w:pStyle w:val="figuretitles"/>
      </w:pPr>
      <w:r w:rsidRPr="008D48B7">
        <w:rPr>
          <w:i/>
        </w:rPr>
        <w:t>Figure 4.</w:t>
      </w:r>
      <w:r w:rsidRPr="008D48B7">
        <w:t xml:space="preserve"> Statistical comparisons whose substantive conclusions are invalidated by the existence of the generic pattern among IRAP effects.</w:t>
      </w:r>
    </w:p>
    <w:p w14:paraId="72D487CC" w14:textId="77777777" w:rsidR="00B056A5" w:rsidRDefault="00B056A5" w:rsidP="003A10CA"/>
    <w:p w14:paraId="674AAE2A" w14:textId="142A066C" w:rsidR="000D4308" w:rsidRPr="005211F1" w:rsidRDefault="000D4308" w:rsidP="003A10CA">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w:t>
      </w:r>
      <w:r w:rsidRPr="005211F1">
        <w:lastRenderedPageBreak/>
        <w:t>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r w:rsidR="009F6CC6">
        <w:t xml:space="preserve"> (i.e., it is confounded)</w:t>
      </w:r>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3A10CA">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3A10CA">
      <w:r w:rsidRPr="005211F1">
        <w:t xml:space="preserve">Finally, for the comparison labelled (c), a researcher might observe that mean effects on the ‘Black people – negative’ trial type were significantly different between control and </w:t>
      </w:r>
      <w:r w:rsidRPr="005211F1">
        <w:lastRenderedPageBreak/>
        <w:t>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77777777" w:rsidR="000D4308" w:rsidRPr="005211F1" w:rsidRDefault="000D4308" w:rsidP="003A10CA">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3A10CA">
      <w:pPr>
        <w:pStyle w:val="Heading2"/>
      </w:pPr>
      <w:r w:rsidRPr="005211F1">
        <w:t>Conclusions</w:t>
      </w:r>
    </w:p>
    <w:p w14:paraId="70961ED1" w14:textId="091C4879" w:rsidR="000D4308" w:rsidRPr="005211F1" w:rsidRDefault="000D4308" w:rsidP="003A10CA">
      <w:r w:rsidRPr="005211F1">
        <w:t>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large sample size</w:t>
      </w:r>
      <w:r w:rsidR="009F6CC6">
        <w:t xml:space="preserve"> relative to the existing IRAP literature</w:t>
      </w:r>
      <w:r w:rsidRPr="005211F1">
        <w:t>, this study is the first to quantify the generic pattern more precisely and to consider its implications for the valid</w:t>
      </w:r>
      <w:r w:rsidR="009F6CC6">
        <w:t xml:space="preserve"> interpretation</w:t>
      </w:r>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w:t>
      </w:r>
      <w:r w:rsidRPr="005211F1">
        <w:lastRenderedPageBreak/>
        <w:t xml:space="preserve">it is intended to assess. This </w:t>
      </w:r>
      <w:r w:rsidR="009F6CC6">
        <w:t xml:space="preserve">represents a serious confound and </w:t>
      </w:r>
      <w:r w:rsidRPr="005211F1">
        <w:t xml:space="preserve">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37AA4053" w14:textId="77777777" w:rsidR="008D48B7" w:rsidRDefault="008D48B7">
      <w:pPr>
        <w:jc w:val="left"/>
        <w:rPr>
          <w:rFonts w:eastAsiaTheme="majorEastAsia" w:cstheme="majorBidi"/>
          <w:b/>
          <w:bCs/>
        </w:rPr>
      </w:pPr>
      <w:r>
        <w:br w:type="page"/>
      </w:r>
    </w:p>
    <w:p w14:paraId="4A2932A8" w14:textId="19323F11" w:rsidR="000D4308" w:rsidRPr="005211F1" w:rsidRDefault="000D4308" w:rsidP="003A10CA">
      <w:pPr>
        <w:pStyle w:val="Heading1"/>
      </w:pPr>
      <w:r w:rsidRPr="005211F1">
        <w:lastRenderedPageBreak/>
        <w:t>References</w:t>
      </w:r>
    </w:p>
    <w:p w14:paraId="566DA6A4" w14:textId="77777777" w:rsidR="00502E78" w:rsidRPr="00502E78" w:rsidRDefault="000D4308" w:rsidP="00502E78">
      <w:pPr>
        <w:pStyle w:val="Bibliography"/>
        <w:rPr>
          <w:rFonts w:cs="Times New Roman"/>
        </w:rPr>
      </w:pPr>
      <w:r w:rsidRPr="005211F1">
        <w:t xml:space="preserve"> </w:t>
      </w:r>
      <w:r w:rsidRPr="005211F1">
        <w:fldChar w:fldCharType="begin"/>
      </w:r>
      <w:r w:rsidR="00502E78">
        <w:instrText xml:space="preserve"> ADDIN ZOTERO_BIBL {"uncited":[],"omitted":[],"custom":[]} CSL_BIBLIOGRAPHY </w:instrText>
      </w:r>
      <w:r w:rsidRPr="005211F1">
        <w:fldChar w:fldCharType="separate"/>
      </w:r>
      <w:r w:rsidR="00502E78" w:rsidRPr="00502E78">
        <w:rPr>
          <w:rFonts w:cs="Times New Roman"/>
        </w:rPr>
        <w:t xml:space="preserve">Barnes-Holmes, D., Barnes-Holmes, Y., Stewart, I., &amp; Boles, S. (2010). A sketch of the Implicit Relational Assessment Procedure (IRAP) and the Relational Elaboration and Coherence (REC) model. </w:t>
      </w:r>
      <w:r w:rsidR="00502E78" w:rsidRPr="00502E78">
        <w:rPr>
          <w:rFonts w:cs="Times New Roman"/>
          <w:i/>
          <w:iCs/>
        </w:rPr>
        <w:t>The Psychological Record</w:t>
      </w:r>
      <w:r w:rsidR="00502E78" w:rsidRPr="00502E78">
        <w:rPr>
          <w:rFonts w:cs="Times New Roman"/>
        </w:rPr>
        <w:t xml:space="preserve">, </w:t>
      </w:r>
      <w:r w:rsidR="00502E78" w:rsidRPr="00502E78">
        <w:rPr>
          <w:rFonts w:cs="Times New Roman"/>
          <w:i/>
          <w:iCs/>
        </w:rPr>
        <w:t>60</w:t>
      </w:r>
      <w:r w:rsidR="00502E78" w:rsidRPr="00502E78">
        <w:rPr>
          <w:rFonts w:cs="Times New Roman"/>
        </w:rPr>
        <w:t>, 527–542.</w:t>
      </w:r>
    </w:p>
    <w:p w14:paraId="479EB772" w14:textId="77777777" w:rsidR="00502E78" w:rsidRPr="00502E78" w:rsidRDefault="00502E78" w:rsidP="00502E78">
      <w:pPr>
        <w:pStyle w:val="Bibliography"/>
        <w:rPr>
          <w:rFonts w:cs="Times New Roman"/>
        </w:rPr>
      </w:pPr>
      <w:r w:rsidRPr="00502E78">
        <w:rPr>
          <w:rFonts w:cs="Times New Roman"/>
        </w:rPr>
        <w:t xml:space="preserve">Barnes-Holmes, D., &amp; Hussey, I. (2016). The functional-cognitive meta-theoretical framework: Reflections, possible clarifications and how to move forward. </w:t>
      </w:r>
      <w:r w:rsidRPr="00502E78">
        <w:rPr>
          <w:rFonts w:cs="Times New Roman"/>
          <w:i/>
          <w:iCs/>
        </w:rPr>
        <w:t>International Journal of Psychology</w:t>
      </w:r>
      <w:r w:rsidRPr="00502E78">
        <w:rPr>
          <w:rFonts w:cs="Times New Roman"/>
        </w:rPr>
        <w:t xml:space="preserve">, </w:t>
      </w:r>
      <w:r w:rsidRPr="00502E78">
        <w:rPr>
          <w:rFonts w:cs="Times New Roman"/>
          <w:i/>
          <w:iCs/>
        </w:rPr>
        <w:t>51</w:t>
      </w:r>
      <w:r w:rsidRPr="00502E78">
        <w:rPr>
          <w:rFonts w:cs="Times New Roman"/>
        </w:rPr>
        <w:t>(1), 50–57. https://doi.org/10.1002/ijop.12166</w:t>
      </w:r>
    </w:p>
    <w:p w14:paraId="2EF07066" w14:textId="77777777" w:rsidR="00502E78" w:rsidRPr="00502E78" w:rsidRDefault="00502E78" w:rsidP="00502E78">
      <w:pPr>
        <w:pStyle w:val="Bibliography"/>
        <w:rPr>
          <w:rFonts w:cs="Times New Roman"/>
        </w:rPr>
      </w:pPr>
      <w:r w:rsidRPr="00502E78">
        <w:rPr>
          <w:rFonts w:cs="Times New Roman"/>
        </w:rPr>
        <w:t xml:space="preserve">Bates, D., Mächler, M., Bolker, B., &amp; Walker, S. (2015). Fitting Linear Mixed-Effects Models Using lme4. </w:t>
      </w:r>
      <w:r w:rsidRPr="00502E78">
        <w:rPr>
          <w:rFonts w:cs="Times New Roman"/>
          <w:i/>
          <w:iCs/>
        </w:rPr>
        <w:t>Journal of Statistical Software</w:t>
      </w:r>
      <w:r w:rsidRPr="00502E78">
        <w:rPr>
          <w:rFonts w:cs="Times New Roman"/>
        </w:rPr>
        <w:t xml:space="preserve">, </w:t>
      </w:r>
      <w:r w:rsidRPr="00502E78">
        <w:rPr>
          <w:rFonts w:cs="Times New Roman"/>
          <w:i/>
          <w:iCs/>
        </w:rPr>
        <w:t>67</w:t>
      </w:r>
      <w:r w:rsidRPr="00502E78">
        <w:rPr>
          <w:rFonts w:cs="Times New Roman"/>
        </w:rPr>
        <w:t>(1), 1–48. https://doi.org/10.18637/jss.v067.i01</w:t>
      </w:r>
    </w:p>
    <w:p w14:paraId="5914C6AE" w14:textId="77777777" w:rsidR="00502E78" w:rsidRPr="00502E78" w:rsidRDefault="00502E78" w:rsidP="00502E78">
      <w:pPr>
        <w:pStyle w:val="Bibliography"/>
        <w:rPr>
          <w:rFonts w:cs="Times New Roman"/>
        </w:rPr>
      </w:pPr>
      <w:r w:rsidRPr="00502E78">
        <w:rPr>
          <w:rFonts w:cs="Times New Roman"/>
        </w:rPr>
        <w:t xml:space="preserve">Blanton, H., &amp; Jaccard, J. (2006). Arbitrary metrics in psychology. </w:t>
      </w:r>
      <w:r w:rsidRPr="00502E78">
        <w:rPr>
          <w:rFonts w:cs="Times New Roman"/>
          <w:i/>
          <w:iCs/>
        </w:rPr>
        <w:t>American Psychologist</w:t>
      </w:r>
      <w:r w:rsidRPr="00502E78">
        <w:rPr>
          <w:rFonts w:cs="Times New Roman"/>
        </w:rPr>
        <w:t xml:space="preserve">, </w:t>
      </w:r>
      <w:r w:rsidRPr="00502E78">
        <w:rPr>
          <w:rFonts w:cs="Times New Roman"/>
          <w:i/>
          <w:iCs/>
        </w:rPr>
        <w:t>61</w:t>
      </w:r>
      <w:r w:rsidRPr="00502E78">
        <w:rPr>
          <w:rFonts w:cs="Times New Roman"/>
        </w:rPr>
        <w:t>(1), 27–41. https://doi.org/10.1037/0003-066X.61.1.27</w:t>
      </w:r>
    </w:p>
    <w:p w14:paraId="0D16E1F2" w14:textId="77777777" w:rsidR="00502E78" w:rsidRPr="00502E78" w:rsidRDefault="00502E78" w:rsidP="00502E78">
      <w:pPr>
        <w:pStyle w:val="Bibliography"/>
        <w:rPr>
          <w:rFonts w:cs="Times New Roman"/>
        </w:rPr>
      </w:pPr>
      <w:r w:rsidRPr="00502E78">
        <w:rPr>
          <w:rFonts w:cs="Times New Roman"/>
        </w:rPr>
        <w:t xml:space="preserve">Finn, M., Barnes-Holmes, D., Hussey, I., &amp; Graddy, J. (2016). Exploring the behavioral dynamics of the implicit relational assessment procedure: The impact of three types of introductory rules. </w:t>
      </w:r>
      <w:r w:rsidRPr="00502E78">
        <w:rPr>
          <w:rFonts w:cs="Times New Roman"/>
          <w:i/>
          <w:iCs/>
        </w:rPr>
        <w:t>The Psychological Record</w:t>
      </w:r>
      <w:r w:rsidRPr="00502E78">
        <w:rPr>
          <w:rFonts w:cs="Times New Roman"/>
        </w:rPr>
        <w:t xml:space="preserve">, </w:t>
      </w:r>
      <w:r w:rsidRPr="00502E78">
        <w:rPr>
          <w:rFonts w:cs="Times New Roman"/>
          <w:i/>
          <w:iCs/>
        </w:rPr>
        <w:t>66</w:t>
      </w:r>
      <w:r w:rsidRPr="00502E78">
        <w:rPr>
          <w:rFonts w:cs="Times New Roman"/>
        </w:rPr>
        <w:t>(2), 309–321. https://doi.org/10.1007/s40732-016-0173-4</w:t>
      </w:r>
    </w:p>
    <w:p w14:paraId="41E6C77F" w14:textId="77777777" w:rsidR="00502E78" w:rsidRPr="00502E78" w:rsidRDefault="00502E78" w:rsidP="00502E78">
      <w:pPr>
        <w:pStyle w:val="Bibliography"/>
        <w:rPr>
          <w:rFonts w:cs="Times New Roman"/>
        </w:rPr>
      </w:pPr>
      <w:r w:rsidRPr="00502E78">
        <w:rPr>
          <w:rFonts w:cs="Times New Roman"/>
        </w:rPr>
        <w:t xml:space="preserve">Finn, M., Barnes-Holmes, D., &amp; McEnteggart, C. (2018). Exploring the single-trial-type-dominance-effect in the IRAP: Developing a differential arbitrarily applicable relational responding effects (DAARRE) model. </w:t>
      </w:r>
      <w:r w:rsidRPr="00502E78">
        <w:rPr>
          <w:rFonts w:cs="Times New Roman"/>
          <w:i/>
          <w:iCs/>
        </w:rPr>
        <w:t>The Psychological Record</w:t>
      </w:r>
      <w:r w:rsidRPr="00502E78">
        <w:rPr>
          <w:rFonts w:cs="Times New Roman"/>
        </w:rPr>
        <w:t xml:space="preserve">, </w:t>
      </w:r>
      <w:r w:rsidRPr="00502E78">
        <w:rPr>
          <w:rFonts w:cs="Times New Roman"/>
          <w:i/>
          <w:iCs/>
        </w:rPr>
        <w:t>68</w:t>
      </w:r>
      <w:r w:rsidRPr="00502E78">
        <w:rPr>
          <w:rFonts w:cs="Times New Roman"/>
        </w:rPr>
        <w:t>(1), 11–25. https://doi.org/10.1007/s40732-017-0262-z</w:t>
      </w:r>
    </w:p>
    <w:p w14:paraId="4D803105" w14:textId="77777777" w:rsidR="00502E78" w:rsidRPr="00502E78" w:rsidRDefault="00502E78" w:rsidP="00502E78">
      <w:pPr>
        <w:pStyle w:val="Bibliography"/>
        <w:rPr>
          <w:rFonts w:cs="Times New Roman"/>
        </w:rPr>
      </w:pPr>
      <w:r w:rsidRPr="00502E78">
        <w:rPr>
          <w:rFonts w:cs="Times New Roman"/>
        </w:rPr>
        <w:t xml:space="preserve">Gawronski, B., &amp; De Houwer, J. (2011). Implicit measures in social and personality psychology. In C. M. Judd (Ed.), </w:t>
      </w:r>
      <w:r w:rsidRPr="00502E78">
        <w:rPr>
          <w:rFonts w:cs="Times New Roman"/>
          <w:i/>
          <w:iCs/>
        </w:rPr>
        <w:t>Handbook of research methods in social and personality psychology</w:t>
      </w:r>
      <w:r w:rsidRPr="00502E78">
        <w:rPr>
          <w:rFonts w:cs="Times New Roman"/>
        </w:rPr>
        <w:t xml:space="preserve"> (Vol. 2). Cambridge University Press. 10.1017/CBO9780511996481.016</w:t>
      </w:r>
    </w:p>
    <w:p w14:paraId="49E57D82" w14:textId="77777777" w:rsidR="00502E78" w:rsidRPr="00502E78" w:rsidRDefault="00502E78" w:rsidP="00502E78">
      <w:pPr>
        <w:pStyle w:val="Bibliography"/>
        <w:rPr>
          <w:rFonts w:cs="Times New Roman"/>
        </w:rPr>
      </w:pPr>
      <w:r w:rsidRPr="00502E78">
        <w:rPr>
          <w:rFonts w:cs="Times New Roman"/>
        </w:rPr>
        <w:lastRenderedPageBreak/>
        <w:t xml:space="preserve">Greenwald, A. G., &amp; Lai, C. K. (2020). Implicit Social Cognition. </w:t>
      </w:r>
      <w:r w:rsidRPr="00502E78">
        <w:rPr>
          <w:rFonts w:cs="Times New Roman"/>
          <w:i/>
          <w:iCs/>
        </w:rPr>
        <w:t>Annual Review of Psychology</w:t>
      </w:r>
      <w:r w:rsidRPr="00502E78">
        <w:rPr>
          <w:rFonts w:cs="Times New Roman"/>
        </w:rPr>
        <w:t xml:space="preserve">, </w:t>
      </w:r>
      <w:r w:rsidRPr="00502E78">
        <w:rPr>
          <w:rFonts w:cs="Times New Roman"/>
          <w:i/>
          <w:iCs/>
        </w:rPr>
        <w:t>71</w:t>
      </w:r>
      <w:r w:rsidRPr="00502E78">
        <w:rPr>
          <w:rFonts w:cs="Times New Roman"/>
        </w:rPr>
        <w:t>(1), 419–445. https://doi.org/10.1146/annurev-psych-010419-050837</w:t>
      </w:r>
    </w:p>
    <w:p w14:paraId="040CC543" w14:textId="77777777" w:rsidR="00502E78" w:rsidRPr="00502E78" w:rsidRDefault="00502E78" w:rsidP="00502E78">
      <w:pPr>
        <w:pStyle w:val="Bibliography"/>
        <w:rPr>
          <w:rFonts w:cs="Times New Roman"/>
        </w:rPr>
      </w:pPr>
      <w:r w:rsidRPr="00502E78">
        <w:rPr>
          <w:rFonts w:cs="Times New Roman"/>
        </w:rPr>
        <w:t xml:space="preserve">Hughes, S., Barnes-Holmes, D., &amp; De Houwer, J. (2011). The dominance of associative theorizing in implicit attitude research: Propositional and behavioral alternatives. </w:t>
      </w:r>
      <w:r w:rsidRPr="00502E78">
        <w:rPr>
          <w:rFonts w:cs="Times New Roman"/>
          <w:i/>
          <w:iCs/>
        </w:rPr>
        <w:t>The Psychological Record</w:t>
      </w:r>
      <w:r w:rsidRPr="00502E78">
        <w:rPr>
          <w:rFonts w:cs="Times New Roman"/>
        </w:rPr>
        <w:t xml:space="preserve">, </w:t>
      </w:r>
      <w:r w:rsidRPr="00502E78">
        <w:rPr>
          <w:rFonts w:cs="Times New Roman"/>
          <w:i/>
          <w:iCs/>
        </w:rPr>
        <w:t>61</w:t>
      </w:r>
      <w:r w:rsidRPr="00502E78">
        <w:rPr>
          <w:rFonts w:cs="Times New Roman"/>
        </w:rPr>
        <w:t>(3), 465–498.</w:t>
      </w:r>
    </w:p>
    <w:p w14:paraId="78F8576E" w14:textId="77777777" w:rsidR="00502E78" w:rsidRPr="00502E78" w:rsidRDefault="00502E78" w:rsidP="00502E78">
      <w:pPr>
        <w:pStyle w:val="Bibliography"/>
        <w:rPr>
          <w:rFonts w:cs="Times New Roman"/>
        </w:rPr>
      </w:pPr>
      <w:r w:rsidRPr="00502E78">
        <w:rPr>
          <w:rFonts w:cs="Times New Roman"/>
        </w:rPr>
        <w:t xml:space="preserve">Hughes, S., Barnes-Holmes, D., &amp; Vahey, N. A. (2012). Holding on to our functional roots when exploring new intellectual islands: A voyage through implicit cognition research. </w:t>
      </w:r>
      <w:r w:rsidRPr="00502E78">
        <w:rPr>
          <w:rFonts w:cs="Times New Roman"/>
          <w:i/>
          <w:iCs/>
        </w:rPr>
        <w:t>Journal of Contextual Behavioral Science</w:t>
      </w:r>
      <w:r w:rsidRPr="00502E78">
        <w:rPr>
          <w:rFonts w:cs="Times New Roman"/>
        </w:rPr>
        <w:t xml:space="preserve">, </w:t>
      </w:r>
      <w:r w:rsidRPr="00502E78">
        <w:rPr>
          <w:rFonts w:cs="Times New Roman"/>
          <w:i/>
          <w:iCs/>
        </w:rPr>
        <w:t>1</w:t>
      </w:r>
      <w:r w:rsidRPr="00502E78">
        <w:rPr>
          <w:rFonts w:cs="Times New Roman"/>
        </w:rPr>
        <w:t>(1–2), 17–38. https://doi.org/10.1016/j.jcbs.2012.09.003</w:t>
      </w:r>
    </w:p>
    <w:p w14:paraId="6A3F0AB9" w14:textId="77777777" w:rsidR="00502E78" w:rsidRPr="00502E78" w:rsidRDefault="00502E78" w:rsidP="00502E78">
      <w:pPr>
        <w:pStyle w:val="Bibliography"/>
        <w:rPr>
          <w:rFonts w:cs="Times New Roman"/>
        </w:rPr>
      </w:pPr>
      <w:r w:rsidRPr="00502E78">
        <w:rPr>
          <w:rFonts w:cs="Times New Roman"/>
        </w:rPr>
        <w:t xml:space="preserve">Hussey, I. (2020). The IRAP is not suitable for individual use due to very wide confidence intervals around D scores. </w:t>
      </w:r>
      <w:r w:rsidRPr="00502E78">
        <w:rPr>
          <w:rFonts w:cs="Times New Roman"/>
          <w:i/>
          <w:iCs/>
        </w:rPr>
        <w:t>Preprint</w:t>
      </w:r>
      <w:r w:rsidRPr="00502E78">
        <w:rPr>
          <w:rFonts w:cs="Times New Roman"/>
        </w:rPr>
        <w:t>. https://doi.org/10.31234/osf.io/w2ygr</w:t>
      </w:r>
    </w:p>
    <w:p w14:paraId="0F8B4D7A" w14:textId="77777777" w:rsidR="00502E78" w:rsidRPr="00502E78" w:rsidRDefault="00502E78" w:rsidP="00502E78">
      <w:pPr>
        <w:pStyle w:val="Bibliography"/>
        <w:rPr>
          <w:rFonts w:cs="Times New Roman"/>
        </w:rPr>
      </w:pPr>
      <w:r w:rsidRPr="00502E78">
        <w:rPr>
          <w:rFonts w:cs="Times New Roman"/>
        </w:rPr>
        <w:t xml:space="preserve">Hussey, I., Daly, T., &amp; Barnes-Holmes, D. (2015). Life is Good, But Death Ain’t Bad Either: Counter-Intuitive Implicit Biases to Death in a Normative Population. </w:t>
      </w:r>
      <w:r w:rsidRPr="00502E78">
        <w:rPr>
          <w:rFonts w:cs="Times New Roman"/>
          <w:i/>
          <w:iCs/>
        </w:rPr>
        <w:t>The Psychological Record</w:t>
      </w:r>
      <w:r w:rsidRPr="00502E78">
        <w:rPr>
          <w:rFonts w:cs="Times New Roman"/>
        </w:rPr>
        <w:t xml:space="preserve">, </w:t>
      </w:r>
      <w:r w:rsidRPr="00502E78">
        <w:rPr>
          <w:rFonts w:cs="Times New Roman"/>
          <w:i/>
          <w:iCs/>
        </w:rPr>
        <w:t>65</w:t>
      </w:r>
      <w:r w:rsidRPr="00502E78">
        <w:rPr>
          <w:rFonts w:cs="Times New Roman"/>
        </w:rPr>
        <w:t>(4), 731–742. https://doi.org/10.1007/s40732-015-0142-3</w:t>
      </w:r>
    </w:p>
    <w:p w14:paraId="6E27F4DE" w14:textId="77777777" w:rsidR="00502E78" w:rsidRPr="00502E78" w:rsidRDefault="00502E78" w:rsidP="00502E78">
      <w:pPr>
        <w:pStyle w:val="Bibliography"/>
        <w:rPr>
          <w:rFonts w:cs="Times New Roman"/>
        </w:rPr>
      </w:pPr>
      <w:r w:rsidRPr="00502E78">
        <w:rPr>
          <w:rFonts w:cs="Times New Roman"/>
        </w:rPr>
        <w:t xml:space="preserve">Hussey, I., Thompson, M., McEnteggart, C., Barnes-Holmes, D., &amp; Barnes-Holmes, Y. (2015). Interpreting and inverting with less cursing: A guide to interpreting IRAP data. </w:t>
      </w:r>
      <w:r w:rsidRPr="00502E78">
        <w:rPr>
          <w:rFonts w:cs="Times New Roman"/>
          <w:i/>
          <w:iCs/>
        </w:rPr>
        <w:t>Journal of Contextual Behavioral Science</w:t>
      </w:r>
      <w:r w:rsidRPr="00502E78">
        <w:rPr>
          <w:rFonts w:cs="Times New Roman"/>
        </w:rPr>
        <w:t xml:space="preserve">, </w:t>
      </w:r>
      <w:r w:rsidRPr="00502E78">
        <w:rPr>
          <w:rFonts w:cs="Times New Roman"/>
          <w:i/>
          <w:iCs/>
        </w:rPr>
        <w:t>4</w:t>
      </w:r>
      <w:r w:rsidRPr="00502E78">
        <w:rPr>
          <w:rFonts w:cs="Times New Roman"/>
        </w:rPr>
        <w:t>(3), 157–162. https://doi.org/10.1016/j.jcbs.2015.05.001</w:t>
      </w:r>
    </w:p>
    <w:p w14:paraId="0DE9E7A8" w14:textId="77777777" w:rsidR="00502E78" w:rsidRPr="00502E78" w:rsidRDefault="00502E78" w:rsidP="00502E78">
      <w:pPr>
        <w:pStyle w:val="Bibliography"/>
        <w:rPr>
          <w:rFonts w:cs="Times New Roman"/>
        </w:rPr>
      </w:pPr>
      <w:r w:rsidRPr="00502E78">
        <w:rPr>
          <w:rFonts w:cs="Times New Roman"/>
        </w:rPr>
        <w:t xml:space="preserve">Lakens, D. (2013). Calculating and reporting effect sizes to facilitate cumulative science: A practical primer for t-tests and ANOVAs. </w:t>
      </w:r>
      <w:r w:rsidRPr="00502E78">
        <w:rPr>
          <w:rFonts w:cs="Times New Roman"/>
          <w:i/>
          <w:iCs/>
        </w:rPr>
        <w:t>Frontiers in Psychology</w:t>
      </w:r>
      <w:r w:rsidRPr="00502E78">
        <w:rPr>
          <w:rFonts w:cs="Times New Roman"/>
        </w:rPr>
        <w:t xml:space="preserve">, </w:t>
      </w:r>
      <w:r w:rsidRPr="00502E78">
        <w:rPr>
          <w:rFonts w:cs="Times New Roman"/>
          <w:i/>
          <w:iCs/>
        </w:rPr>
        <w:t>4</w:t>
      </w:r>
      <w:r w:rsidRPr="00502E78">
        <w:rPr>
          <w:rFonts w:cs="Times New Roman"/>
        </w:rPr>
        <w:t>. https://doi.org/10.3389/fpsyg.2013.00863</w:t>
      </w:r>
    </w:p>
    <w:p w14:paraId="6168C702" w14:textId="77777777" w:rsidR="00502E78" w:rsidRPr="00502E78" w:rsidRDefault="00502E78" w:rsidP="00502E78">
      <w:pPr>
        <w:pStyle w:val="Bibliography"/>
        <w:rPr>
          <w:rFonts w:cs="Times New Roman"/>
        </w:rPr>
      </w:pPr>
      <w:r w:rsidRPr="00502E78">
        <w:rPr>
          <w:rFonts w:cs="Times New Roman"/>
        </w:rPr>
        <w:t xml:space="preserve">Lawrence, M. A. (2016). </w:t>
      </w:r>
      <w:proofErr w:type="spellStart"/>
      <w:r w:rsidRPr="00502E78">
        <w:rPr>
          <w:rFonts w:cs="Times New Roman"/>
          <w:i/>
          <w:iCs/>
        </w:rPr>
        <w:t>ez</w:t>
      </w:r>
      <w:proofErr w:type="spellEnd"/>
      <w:r w:rsidRPr="00502E78">
        <w:rPr>
          <w:rFonts w:cs="Times New Roman"/>
          <w:i/>
          <w:iCs/>
        </w:rPr>
        <w:t>: Easy Analysis and Visualization of Factorial Experiments</w:t>
      </w:r>
      <w:r w:rsidRPr="00502E78">
        <w:rPr>
          <w:rFonts w:cs="Times New Roman"/>
        </w:rPr>
        <w:t>. https://CRAN.R-project.org/package=ez</w:t>
      </w:r>
    </w:p>
    <w:p w14:paraId="0BA793A9" w14:textId="77777777" w:rsidR="00502E78" w:rsidRPr="00502E78" w:rsidRDefault="00502E78" w:rsidP="00502E78">
      <w:pPr>
        <w:pStyle w:val="Bibliography"/>
        <w:rPr>
          <w:rFonts w:cs="Times New Roman"/>
        </w:rPr>
      </w:pPr>
      <w:r w:rsidRPr="00502E78">
        <w:rPr>
          <w:rFonts w:cs="Times New Roman"/>
        </w:rPr>
        <w:lastRenderedPageBreak/>
        <w:t xml:space="preserve">Nosek, B. A., Hawkins, C. B., &amp; Frazier, R. S. (2011). Implicit social cognition: From measures to mechanisms. </w:t>
      </w:r>
      <w:r w:rsidRPr="00502E78">
        <w:rPr>
          <w:rFonts w:cs="Times New Roman"/>
          <w:i/>
          <w:iCs/>
        </w:rPr>
        <w:t>Trends in Cognitive Sciences</w:t>
      </w:r>
      <w:r w:rsidRPr="00502E78">
        <w:rPr>
          <w:rFonts w:cs="Times New Roman"/>
        </w:rPr>
        <w:t xml:space="preserve">, </w:t>
      </w:r>
      <w:r w:rsidRPr="00502E78">
        <w:rPr>
          <w:rFonts w:cs="Times New Roman"/>
          <w:i/>
          <w:iCs/>
        </w:rPr>
        <w:t>15</w:t>
      </w:r>
      <w:r w:rsidRPr="00502E78">
        <w:rPr>
          <w:rFonts w:cs="Times New Roman"/>
        </w:rPr>
        <w:t>(4), 152–159. https://doi.org/10.1016/j.tics.2011.01.005</w:t>
      </w:r>
    </w:p>
    <w:p w14:paraId="36D87E81" w14:textId="77777777" w:rsidR="00502E78" w:rsidRPr="00502E78" w:rsidRDefault="00502E78" w:rsidP="00502E78">
      <w:pPr>
        <w:pStyle w:val="Bibliography"/>
        <w:rPr>
          <w:rFonts w:cs="Times New Roman"/>
        </w:rPr>
      </w:pPr>
      <w:r w:rsidRPr="00502E78">
        <w:rPr>
          <w:rFonts w:cs="Times New Roman"/>
        </w:rPr>
        <w:t xml:space="preserve">O’Shea, B., Watson, D. G., &amp; Brown, G. D. A. (2016). Measuring implicit attitudes: A positive framing bias flaw in the Implicit Relational Assessment Procedure (IRAP). </w:t>
      </w:r>
      <w:r w:rsidRPr="00502E78">
        <w:rPr>
          <w:rFonts w:cs="Times New Roman"/>
          <w:i/>
          <w:iCs/>
        </w:rPr>
        <w:t>Psychological Assessment</w:t>
      </w:r>
      <w:r w:rsidRPr="00502E78">
        <w:rPr>
          <w:rFonts w:cs="Times New Roman"/>
        </w:rPr>
        <w:t xml:space="preserve">, </w:t>
      </w:r>
      <w:r w:rsidRPr="00502E78">
        <w:rPr>
          <w:rFonts w:cs="Times New Roman"/>
          <w:i/>
          <w:iCs/>
        </w:rPr>
        <w:t>28</w:t>
      </w:r>
      <w:r w:rsidRPr="00502E78">
        <w:rPr>
          <w:rFonts w:cs="Times New Roman"/>
        </w:rPr>
        <w:t>(2), 158–170. https://doi.org/10.1037/pas0000172</w:t>
      </w:r>
    </w:p>
    <w:p w14:paraId="2A79F8FA" w14:textId="77777777" w:rsidR="00502E78" w:rsidRPr="00502E78" w:rsidRDefault="00502E78" w:rsidP="00502E78">
      <w:pPr>
        <w:pStyle w:val="Bibliography"/>
        <w:rPr>
          <w:rFonts w:cs="Times New Roman"/>
        </w:rPr>
      </w:pPr>
      <w:r w:rsidRPr="00502E78">
        <w:rPr>
          <w:rFonts w:cs="Times New Roman"/>
        </w:rPr>
        <w:t xml:space="preserve">Pfister, R., &amp; </w:t>
      </w:r>
      <w:proofErr w:type="spellStart"/>
      <w:r w:rsidRPr="00502E78">
        <w:rPr>
          <w:rFonts w:cs="Times New Roman"/>
        </w:rPr>
        <w:t>Janczyk</w:t>
      </w:r>
      <w:proofErr w:type="spellEnd"/>
      <w:r w:rsidRPr="00502E78">
        <w:rPr>
          <w:rFonts w:cs="Times New Roman"/>
        </w:rPr>
        <w:t xml:space="preserve">, M. (2019). </w:t>
      </w:r>
      <w:proofErr w:type="spellStart"/>
      <w:r w:rsidRPr="00502E78">
        <w:rPr>
          <w:rFonts w:cs="Times New Roman"/>
          <w:i/>
          <w:iCs/>
        </w:rPr>
        <w:t>schoRsch</w:t>
      </w:r>
      <w:proofErr w:type="spellEnd"/>
      <w:r w:rsidRPr="00502E78">
        <w:rPr>
          <w:rFonts w:cs="Times New Roman"/>
          <w:i/>
          <w:iCs/>
        </w:rPr>
        <w:t xml:space="preserve">: Tools for </w:t>
      </w:r>
      <w:proofErr w:type="spellStart"/>
      <w:r w:rsidRPr="00502E78">
        <w:rPr>
          <w:rFonts w:cs="Times New Roman"/>
          <w:i/>
          <w:iCs/>
        </w:rPr>
        <w:t>Analyzing</w:t>
      </w:r>
      <w:proofErr w:type="spellEnd"/>
      <w:r w:rsidRPr="00502E78">
        <w:rPr>
          <w:rFonts w:cs="Times New Roman"/>
          <w:i/>
          <w:iCs/>
        </w:rPr>
        <w:t xml:space="preserve"> Factorial Experiments</w:t>
      </w:r>
      <w:r w:rsidRPr="00502E78">
        <w:rPr>
          <w:rFonts w:cs="Times New Roman"/>
        </w:rPr>
        <w:t xml:space="preserve"> (1.7). https://CRAN.R-project.org/package=schoRsch</w:t>
      </w:r>
    </w:p>
    <w:p w14:paraId="245147B1" w14:textId="77777777" w:rsidR="00502E78" w:rsidRPr="00502E78" w:rsidRDefault="00502E78" w:rsidP="00502E78">
      <w:pPr>
        <w:pStyle w:val="Bibliography"/>
        <w:rPr>
          <w:rFonts w:cs="Times New Roman"/>
        </w:rPr>
      </w:pPr>
      <w:r w:rsidRPr="00502E78">
        <w:rPr>
          <w:rFonts w:cs="Times New Roman"/>
        </w:rPr>
        <w:t xml:space="preserve">R Core Team. (2022). </w:t>
      </w:r>
      <w:r w:rsidRPr="00502E78">
        <w:rPr>
          <w:rFonts w:cs="Times New Roman"/>
          <w:i/>
          <w:iCs/>
        </w:rPr>
        <w:t>R: A language and environment for statistical computing</w:t>
      </w:r>
      <w:r w:rsidRPr="00502E78">
        <w:rPr>
          <w:rFonts w:cs="Times New Roman"/>
        </w:rPr>
        <w:t xml:space="preserve"> (4.2). R Foundation for Statistical Computing. https://www.R-project.org/</w:t>
      </w:r>
    </w:p>
    <w:p w14:paraId="5D3825F8" w14:textId="77777777" w:rsidR="00502E78" w:rsidRPr="00502E78" w:rsidRDefault="00502E78" w:rsidP="00502E78">
      <w:pPr>
        <w:pStyle w:val="Bibliography"/>
        <w:rPr>
          <w:rFonts w:cs="Times New Roman"/>
        </w:rPr>
      </w:pPr>
      <w:r w:rsidRPr="00502E78">
        <w:rPr>
          <w:rFonts w:cs="Times New Roman"/>
        </w:rPr>
        <w:t xml:space="preserve">Ratcliff, R. (1993). Methods for dealing with reaction time outliers. </w:t>
      </w:r>
      <w:r w:rsidRPr="00502E78">
        <w:rPr>
          <w:rFonts w:cs="Times New Roman"/>
          <w:i/>
          <w:iCs/>
        </w:rPr>
        <w:t>Psychological Bulletin</w:t>
      </w:r>
      <w:r w:rsidRPr="00502E78">
        <w:rPr>
          <w:rFonts w:cs="Times New Roman"/>
        </w:rPr>
        <w:t xml:space="preserve">, </w:t>
      </w:r>
      <w:r w:rsidRPr="00502E78">
        <w:rPr>
          <w:rFonts w:cs="Times New Roman"/>
          <w:i/>
          <w:iCs/>
        </w:rPr>
        <w:t>114</w:t>
      </w:r>
      <w:r w:rsidRPr="00502E78">
        <w:rPr>
          <w:rFonts w:cs="Times New Roman"/>
        </w:rPr>
        <w:t>(4), 510–532. https://doi.org/10.1037/0033-2909.114.3.510</w:t>
      </w:r>
    </w:p>
    <w:p w14:paraId="4E157EAC" w14:textId="77777777" w:rsidR="00502E78" w:rsidRPr="00502E78" w:rsidRDefault="00502E78" w:rsidP="00502E78">
      <w:pPr>
        <w:pStyle w:val="Bibliography"/>
        <w:rPr>
          <w:rFonts w:cs="Times New Roman"/>
        </w:rPr>
      </w:pPr>
      <w:r w:rsidRPr="00502E78">
        <w:rPr>
          <w:rFonts w:cs="Times New Roman"/>
        </w:rPr>
        <w:t xml:space="preserve">Remue, J., De Houwer, J., Barnes-Holmes, D., Vanderhasselt, M. A., &amp; De Raedt, R. (2013). Self-esteem revisited: Performance on the implicit relational assessment procedure as a measure of self-versus ideal self-related cognitions in dysphoria. </w:t>
      </w:r>
      <w:r w:rsidRPr="00502E78">
        <w:rPr>
          <w:rFonts w:cs="Times New Roman"/>
          <w:i/>
          <w:iCs/>
        </w:rPr>
        <w:t>Cognition &amp; Emotion</w:t>
      </w:r>
      <w:r w:rsidRPr="00502E78">
        <w:rPr>
          <w:rFonts w:cs="Times New Roman"/>
        </w:rPr>
        <w:t xml:space="preserve">, </w:t>
      </w:r>
      <w:r w:rsidRPr="00502E78">
        <w:rPr>
          <w:rFonts w:cs="Times New Roman"/>
          <w:i/>
          <w:iCs/>
        </w:rPr>
        <w:t>27</w:t>
      </w:r>
      <w:r w:rsidRPr="00502E78">
        <w:rPr>
          <w:rFonts w:cs="Times New Roman"/>
        </w:rPr>
        <w:t>(8), 1441–1449. https://doi.org/10.1080/02699931.2013.786681</w:t>
      </w:r>
    </w:p>
    <w:p w14:paraId="29A975AF" w14:textId="77777777" w:rsidR="00502E78" w:rsidRPr="00502E78" w:rsidRDefault="00502E78" w:rsidP="00502E78">
      <w:pPr>
        <w:pStyle w:val="Bibliography"/>
        <w:rPr>
          <w:rFonts w:cs="Times New Roman"/>
        </w:rPr>
      </w:pPr>
      <w:r w:rsidRPr="00502E78">
        <w:rPr>
          <w:rFonts w:cs="Times New Roman"/>
        </w:rPr>
        <w:t xml:space="preserve">Remue, J., Hughes, S., De Houwer, J., &amp; De Raedt, R. (2014). To Be or Want to Be: Disentangling the Role of Actual versus Ideal Self in Implicit Self-Esteem. </w:t>
      </w:r>
      <w:r w:rsidRPr="00502E78">
        <w:rPr>
          <w:rFonts w:cs="Times New Roman"/>
          <w:i/>
          <w:iCs/>
        </w:rPr>
        <w:t>PLoS ONE</w:t>
      </w:r>
      <w:r w:rsidRPr="00502E78">
        <w:rPr>
          <w:rFonts w:cs="Times New Roman"/>
        </w:rPr>
        <w:t xml:space="preserve">, </w:t>
      </w:r>
      <w:r w:rsidRPr="00502E78">
        <w:rPr>
          <w:rFonts w:cs="Times New Roman"/>
          <w:i/>
          <w:iCs/>
        </w:rPr>
        <w:t>9</w:t>
      </w:r>
      <w:r w:rsidRPr="00502E78">
        <w:rPr>
          <w:rFonts w:cs="Times New Roman"/>
        </w:rPr>
        <w:t>(9), e108837. https://doi.org/10.1371/journal.pone.0108837</w:t>
      </w:r>
    </w:p>
    <w:p w14:paraId="6514954F" w14:textId="77777777" w:rsidR="00502E78" w:rsidRPr="00502E78" w:rsidRDefault="00502E78" w:rsidP="00502E78">
      <w:pPr>
        <w:pStyle w:val="Bibliography"/>
        <w:rPr>
          <w:rFonts w:cs="Times New Roman"/>
        </w:rPr>
      </w:pPr>
      <w:r w:rsidRPr="00502E78">
        <w:rPr>
          <w:rFonts w:cs="Times New Roman"/>
        </w:rPr>
        <w:t xml:space="preserve">Simmons, J. P., Nelson, L. D., &amp; Simonsohn, U. (2012). </w:t>
      </w:r>
      <w:r w:rsidRPr="00502E78">
        <w:rPr>
          <w:rFonts w:cs="Times New Roman"/>
          <w:i/>
          <w:iCs/>
        </w:rPr>
        <w:t>A 21 word solution</w:t>
      </w:r>
      <w:r w:rsidRPr="00502E78">
        <w:rPr>
          <w:rFonts w:cs="Times New Roman"/>
        </w:rPr>
        <w:t>. Social Science Research Network. http://papers.ssrn.com/abstract=2160588</w:t>
      </w:r>
    </w:p>
    <w:p w14:paraId="61B0F6A0" w14:textId="77777777" w:rsidR="00502E78" w:rsidRPr="00502E78" w:rsidRDefault="00502E78" w:rsidP="00502E78">
      <w:pPr>
        <w:pStyle w:val="Bibliography"/>
        <w:rPr>
          <w:rFonts w:cs="Times New Roman"/>
        </w:rPr>
      </w:pPr>
      <w:r w:rsidRPr="00502E78">
        <w:rPr>
          <w:rFonts w:cs="Times New Roman"/>
        </w:rPr>
        <w:t xml:space="preserve">Whelan, R. (2008). Effective analysis of reaction time data. </w:t>
      </w:r>
      <w:r w:rsidRPr="00502E78">
        <w:rPr>
          <w:rFonts w:cs="Times New Roman"/>
          <w:i/>
          <w:iCs/>
        </w:rPr>
        <w:t>The Psychological Record</w:t>
      </w:r>
      <w:r w:rsidRPr="00502E78">
        <w:rPr>
          <w:rFonts w:cs="Times New Roman"/>
        </w:rPr>
        <w:t xml:space="preserve">, </w:t>
      </w:r>
      <w:r w:rsidRPr="00502E78">
        <w:rPr>
          <w:rFonts w:cs="Times New Roman"/>
          <w:i/>
          <w:iCs/>
        </w:rPr>
        <w:t>58</w:t>
      </w:r>
      <w:r w:rsidRPr="00502E78">
        <w:rPr>
          <w:rFonts w:cs="Times New Roman"/>
        </w:rPr>
        <w:t>(3), 475–482.</w:t>
      </w:r>
    </w:p>
    <w:p w14:paraId="65151D28" w14:textId="322EEAEC" w:rsidR="000D4308" w:rsidRDefault="000D4308" w:rsidP="008569DC">
      <w:pPr>
        <w:ind w:firstLine="0"/>
      </w:pPr>
      <w:r w:rsidRPr="005211F1">
        <w:fldChar w:fldCharType="end"/>
      </w:r>
    </w:p>
    <w:p w14:paraId="61BE35A5" w14:textId="536F05B7" w:rsidR="004559D9" w:rsidRPr="005211F1" w:rsidRDefault="004559D9" w:rsidP="008569DC">
      <w:pPr>
        <w:pStyle w:val="Bibliography"/>
        <w:ind w:left="0" w:firstLine="0"/>
      </w:pPr>
    </w:p>
    <w:sectPr w:rsidR="004559D9" w:rsidRPr="005211F1" w:rsidSect="003A10CA">
      <w:pgSz w:w="11900" w:h="16840" w:code="9"/>
      <w:pgMar w:top="1440" w:right="1440" w:bottom="1440" w:left="1440" w:header="720" w:footer="720" w:gutter="0"/>
      <w:cols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E39A2" w14:textId="77777777" w:rsidR="00FE2ED2" w:rsidRDefault="00FE2ED2" w:rsidP="003A10CA">
      <w:r>
        <w:separator/>
      </w:r>
    </w:p>
  </w:endnote>
  <w:endnote w:type="continuationSeparator" w:id="0">
    <w:p w14:paraId="775FA007" w14:textId="77777777" w:rsidR="00FE2ED2" w:rsidRDefault="00FE2ED2" w:rsidP="003A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3A10C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rsidP="003A1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C254" w14:textId="2163122F" w:rsidR="00756773" w:rsidRDefault="00756773" w:rsidP="003A10CA">
    <w:pPr>
      <w:pStyle w:val="Footer"/>
      <w:rPr>
        <w:rStyle w:val="PageNumber"/>
      </w:rPr>
    </w:pPr>
  </w:p>
  <w:p w14:paraId="763AF29D" w14:textId="77777777" w:rsidR="00756773" w:rsidRDefault="00756773" w:rsidP="003A1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4D8E" w14:textId="6CF40912" w:rsidR="00EA2804" w:rsidRDefault="00EA2804" w:rsidP="003A10CA">
    <w:pPr>
      <w:pStyle w:val="Footer"/>
      <w:rPr>
        <w:rStyle w:val="PageNumber"/>
      </w:rPr>
    </w:pPr>
  </w:p>
  <w:p w14:paraId="2CF5120E" w14:textId="77777777" w:rsidR="00EA2804" w:rsidRDefault="00EA2804" w:rsidP="003A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D54B1" w14:textId="77777777" w:rsidR="00FE2ED2" w:rsidRDefault="00FE2ED2" w:rsidP="003A10CA">
      <w:r>
        <w:separator/>
      </w:r>
    </w:p>
  </w:footnote>
  <w:footnote w:type="continuationSeparator" w:id="0">
    <w:p w14:paraId="2D2F44CD" w14:textId="77777777" w:rsidR="00FE2ED2" w:rsidRDefault="00FE2ED2" w:rsidP="003A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746812"/>
      <w:docPartObj>
        <w:docPartGallery w:val="Page Numbers (Top of Page)"/>
        <w:docPartUnique/>
      </w:docPartObj>
    </w:sdtPr>
    <w:sdtContent>
      <w:p w14:paraId="3A9D5CE5" w14:textId="46DA6AAB"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307CEA" w14:textId="77777777" w:rsidR="008D48B7" w:rsidRDefault="008D48B7" w:rsidP="008D48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369664"/>
      <w:docPartObj>
        <w:docPartGallery w:val="Page Numbers (Top of Page)"/>
        <w:docPartUnique/>
      </w:docPartObj>
    </w:sdtPr>
    <w:sdtContent>
      <w:p w14:paraId="443AF3CB" w14:textId="4945B26F"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680C79" w14:textId="7546A3EA" w:rsidR="008D48B7" w:rsidRPr="008D48B7" w:rsidRDefault="008D48B7" w:rsidP="008D48B7">
    <w:pPr>
      <w:pStyle w:val="Header"/>
      <w:ind w:right="360"/>
      <w:rPr>
        <w:lang w:val="en-IE"/>
      </w:rPr>
    </w:pPr>
    <w:r>
      <w:rPr>
        <w:lang w:val="en-IE"/>
      </w:rPr>
      <w:t xml:space="preserve">IRAP COUNFOUND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7775316"/>
      <w:docPartObj>
        <w:docPartGallery w:val="Page Numbers (Top of Page)"/>
        <w:docPartUnique/>
      </w:docPartObj>
    </w:sdtPr>
    <w:sdtContent>
      <w:p w14:paraId="01D1E031" w14:textId="4356D56E"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0BBA2F" w14:textId="7D34E8D6" w:rsidR="008D48B7" w:rsidRPr="008D48B7" w:rsidRDefault="008D48B7" w:rsidP="008D48B7">
    <w:pPr>
      <w:pStyle w:val="Header"/>
      <w:ind w:right="360"/>
      <w:rPr>
        <w:lang w:val="en-IE"/>
      </w:rPr>
    </w:pPr>
    <w:r>
      <w:rPr>
        <w:lang w:val="en-IE"/>
      </w:rPr>
      <w:t xml:space="preserve">IRAP COUNFOUND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4A2E"/>
    <w:rsid w:val="000B548E"/>
    <w:rsid w:val="000B5863"/>
    <w:rsid w:val="000C3871"/>
    <w:rsid w:val="000C5460"/>
    <w:rsid w:val="000C5D1B"/>
    <w:rsid w:val="000C64D0"/>
    <w:rsid w:val="000D1098"/>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554A"/>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10CA"/>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2E78"/>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76C"/>
    <w:rsid w:val="00577A43"/>
    <w:rsid w:val="005810DA"/>
    <w:rsid w:val="005811A7"/>
    <w:rsid w:val="005816C9"/>
    <w:rsid w:val="00581EAA"/>
    <w:rsid w:val="005829A2"/>
    <w:rsid w:val="00582FEF"/>
    <w:rsid w:val="00587D81"/>
    <w:rsid w:val="00592974"/>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569DC"/>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3A25"/>
    <w:rsid w:val="008C3D16"/>
    <w:rsid w:val="008C6C62"/>
    <w:rsid w:val="008C7177"/>
    <w:rsid w:val="008D3C4D"/>
    <w:rsid w:val="008D48B7"/>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A0D"/>
    <w:rsid w:val="009E5EEB"/>
    <w:rsid w:val="009E61FC"/>
    <w:rsid w:val="009E6A7E"/>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45B"/>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5670"/>
    <w:rsid w:val="00A866C5"/>
    <w:rsid w:val="00A87A74"/>
    <w:rsid w:val="00A9029A"/>
    <w:rsid w:val="00A90882"/>
    <w:rsid w:val="00A932C6"/>
    <w:rsid w:val="00A93A37"/>
    <w:rsid w:val="00A94AEC"/>
    <w:rsid w:val="00A94FE6"/>
    <w:rsid w:val="00A96C00"/>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13CD"/>
    <w:rsid w:val="00AE6B22"/>
    <w:rsid w:val="00AF280B"/>
    <w:rsid w:val="00AF4D23"/>
    <w:rsid w:val="00AF7624"/>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226C"/>
    <w:rsid w:val="00B63349"/>
    <w:rsid w:val="00B66889"/>
    <w:rsid w:val="00B669E8"/>
    <w:rsid w:val="00B66E98"/>
    <w:rsid w:val="00B8133C"/>
    <w:rsid w:val="00B85024"/>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585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F0BA2"/>
    <w:rsid w:val="00DF3989"/>
    <w:rsid w:val="00DF3FD5"/>
    <w:rsid w:val="00DF4A87"/>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D7FDE"/>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3C78"/>
    <w:rsid w:val="00FD4485"/>
    <w:rsid w:val="00FD4A44"/>
    <w:rsid w:val="00FD796D"/>
    <w:rsid w:val="00FE041C"/>
    <w:rsid w:val="00FE046E"/>
    <w:rsid w:val="00FE0CFA"/>
    <w:rsid w:val="00FE1C4D"/>
    <w:rsid w:val="00FE2ED2"/>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CA"/>
    <w:pPr>
      <w:jc w:val="both"/>
    </w:pPr>
    <w:rPr>
      <w:rFonts w:ascii="Times New Roman" w:hAnsi="Times New Roman" w:cs="Times New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8D48B7"/>
    <w:pPr>
      <w:ind w:left="720" w:hanging="72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3A10CA"/>
    <w:pPr>
      <w:ind w:right="20" w:firstLine="0"/>
    </w:pPr>
  </w:style>
  <w:style w:type="paragraph" w:customStyle="1" w:styleId="authors">
    <w:name w:val="authors"/>
    <w:basedOn w:val="Normal"/>
    <w:qFormat/>
    <w:rsid w:val="009B786B"/>
    <w:pPr>
      <w:jc w:val="center"/>
    </w:pPr>
  </w:style>
  <w:style w:type="paragraph" w:customStyle="1" w:styleId="Title1">
    <w:name w:val="Title1"/>
    <w:basedOn w:val="Normal"/>
    <w:qFormat/>
    <w:rsid w:val="003A10CA"/>
    <w:pPr>
      <w:ind w:firstLine="0"/>
      <w:jc w:val="center"/>
    </w:p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8D48B7"/>
    <w:pPr>
      <w:ind w:firstLine="0"/>
    </w:p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osf.io/vhzsn/?view_only=60e9e24c080e410db9c929914cf7eec4" TargetMode="External"/><Relationship Id="rId2" Type="http://schemas.openxmlformats.org/officeDocument/2006/relationships/customXml" Target="../customXml/item2.xml"/><Relationship Id="rId16" Type="http://schemas.openxmlformats.org/officeDocument/2006/relationships/hyperlink" Target="https://osf.io/vhzsn/?view_only=60e9e24c080e410db9c929914cf7eec4"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9</TotalTime>
  <Pages>22</Pages>
  <Words>16667</Words>
  <Characters>95008</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cp:revision>
  <dcterms:created xsi:type="dcterms:W3CDTF">2022-07-29T13:52:00Z</dcterms:created>
  <dcterms:modified xsi:type="dcterms:W3CDTF">2022-08-06T11:33:00Z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id="zHc7A7us"/&gt;&lt;style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