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44FC" w14:textId="6642E61D" w:rsidR="00ED7FDE" w:rsidRDefault="00ED7FDE" w:rsidP="00ED7FDE">
      <w:pPr>
        <w:pStyle w:val="abstract"/>
        <w:jc w:val="center"/>
      </w:pPr>
      <w:r>
        <w:t>Abstract</w:t>
      </w:r>
    </w:p>
    <w:p w14:paraId="6A7DDF79" w14:textId="4F4F1256" w:rsidR="002F5E62" w:rsidRPr="003A10CA" w:rsidRDefault="002F5E62" w:rsidP="003A10CA">
      <w:pPr>
        <w:pStyle w:val="abstract"/>
      </w:pPr>
      <w:r w:rsidRPr="003A10CA">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w:t>
      </w:r>
      <w:r w:rsidR="0098347F" w:rsidRPr="003A10CA">
        <w:t>, and effects on the task are heavily confounded</w:t>
      </w:r>
      <w:r w:rsidRPr="003A10CA">
        <w:t xml:space="preserve">. The existence of the generic pattern may also undermine the validity of many conclusions made in the published IRAP literature. </w:t>
      </w:r>
    </w:p>
    <w:p w14:paraId="40F43577" w14:textId="77777777" w:rsidR="000D4308" w:rsidRDefault="000D4308" w:rsidP="003A10CA">
      <w:pPr>
        <w:pStyle w:val="abstract"/>
      </w:pPr>
    </w:p>
    <w:p w14:paraId="0D5E744E" w14:textId="77777777" w:rsidR="000D4308" w:rsidRDefault="000D4308" w:rsidP="003A10CA">
      <w:pPr>
        <w:sectPr w:rsidR="000D4308" w:rsidSect="003A10CA">
          <w:headerReference w:type="even" r:id="rId10"/>
          <w:headerReference w:type="default" r:id="rId11"/>
          <w:footerReference w:type="even" r:id="rId12"/>
          <w:footerReference w:type="default" r:id="rId13"/>
          <w:headerReference w:type="first" r:id="rId14"/>
          <w:footerReference w:type="first" r:id="rId15"/>
          <w:type w:val="continuous"/>
          <w:pgSz w:w="11900" w:h="16840" w:code="9"/>
          <w:pgMar w:top="1440" w:right="1440" w:bottom="1440" w:left="1440" w:header="720" w:footer="720" w:gutter="0"/>
          <w:cols w:space="340"/>
          <w:titlePg/>
          <w:docGrid w:linePitch="360"/>
        </w:sectPr>
      </w:pPr>
    </w:p>
    <w:p w14:paraId="42BD36A5" w14:textId="77777777" w:rsidR="003A10CA" w:rsidRDefault="003A10CA">
      <w:pPr>
        <w:jc w:val="left"/>
      </w:pPr>
      <w:r>
        <w:br w:type="page"/>
      </w:r>
    </w:p>
    <w:p w14:paraId="3FFA5DB5" w14:textId="77777777" w:rsidR="003A10CA" w:rsidRPr="003A10CA" w:rsidRDefault="003A10CA" w:rsidP="003A10CA">
      <w:pPr>
        <w:pStyle w:val="Title1"/>
      </w:pPr>
      <w:r w:rsidRPr="003A10CA">
        <w:lastRenderedPageBreak/>
        <w:t>The Implicit Relational Assessment Procedure is not very sensitive to the attitudes and learning histories it is used to assess</w:t>
      </w:r>
    </w:p>
    <w:p w14:paraId="7E7740B5" w14:textId="77777777" w:rsidR="003A10CA" w:rsidRDefault="003A10CA" w:rsidP="003A10CA"/>
    <w:p w14:paraId="1F72BA58" w14:textId="6D695F3B" w:rsidR="000D4308" w:rsidRPr="003A10CA" w:rsidRDefault="000D4308" w:rsidP="003A10CA">
      <w:r w:rsidRPr="003A10CA">
        <w:t xml:space="preserve">Implicit measures have seen widespread use across many clinical and social domains over the past two decades and are now a mainstay of psychological measurement </w:t>
      </w:r>
      <w:r w:rsidRPr="003A10CA">
        <w:fldChar w:fldCharType="begin"/>
      </w:r>
      <w:r w:rsidR="00D12214" w:rsidRPr="003A10CA">
        <w:instrText xml:space="preserve"> ADDIN ZOTERO_ITEM CSL_CITATION {"citationID":"SyTkUz4K","properties":{"formattedCitation":"(Greenwald &amp; Lai, 2020; Nosek et al., 2011)","plainCitation":"(Greenwald &amp; Lai, 2020; Nosek et al., 2011)","noteIndex":0},"citationItems":[{"id":12489,"uris":["http://zotero.org/users/1687755/items/UQYJYU63"],"itemData":{"id":12489,"type":"article-journal","abstract":"In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3A10CA">
        <w:fldChar w:fldCharType="separate"/>
      </w:r>
      <w:r w:rsidRPr="003A10CA">
        <w:t>(Greenwald &amp; Lai, 2020; Nosek et al., 2011)</w:t>
      </w:r>
      <w:r w:rsidRPr="003A10CA">
        <w:fldChar w:fldCharType="end"/>
      </w:r>
      <w:r w:rsidRPr="003A10CA">
        <w:t xml:space="preserve">. A wide variety of implicit measures have been created, with each procedure having unique features and benefits. In particular, the Implicit Relational Assessment Procedure </w:t>
      </w:r>
      <w:r w:rsidRPr="003A10CA">
        <w:fldChar w:fldCharType="begin"/>
      </w:r>
      <w:r w:rsidR="00D12214" w:rsidRPr="003A10CA">
        <w:instrText xml:space="preserve"> ADDIN ZOTERO_ITEM CSL_CITATION {"citationID":"clakQ8Lb","properties":{"formattedCitation":"(IRAP: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3A10CA">
        <w:fldChar w:fldCharType="separate"/>
      </w:r>
      <w:r w:rsidRPr="003A10CA">
        <w:t>(IRAP: Barnes-Holmes et al., 2010)</w:t>
      </w:r>
      <w:r w:rsidRPr="003A10CA">
        <w:fldChar w:fldCharType="end"/>
      </w:r>
      <w:r w:rsidRPr="003A10CA">
        <w:t xml:space="preserve"> is acknowledged to be one of few implicit measures that allows researchers to assess the relations between stimuli of interest </w:t>
      </w:r>
      <w:r w:rsidRPr="003A10CA">
        <w:fldChar w:fldCharType="begin"/>
      </w:r>
      <w:r w:rsidR="00D12214" w:rsidRPr="003A10CA">
        <w:instrText xml:space="preserve"> ADDIN ZOTERO_ITEM CSL_CITATION {"citationID":"zSl0LHEq","properties":{"formattedCitation":"(Gawronski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3A10CA">
        <w:fldChar w:fldCharType="separate"/>
      </w:r>
      <w:r w:rsidRPr="003A10CA">
        <w:t>(Gawronski &amp; De Houwer, 2011)</w:t>
      </w:r>
      <w:r w:rsidRPr="003A10CA">
        <w:fldChar w:fldCharType="end"/>
      </w:r>
      <w:r w:rsidRPr="003A10CA">
        <w:t xml:space="preserve">. That is, the IRAP can assess not only how automatically concepts and attributes are associated (e.g., self and negative) but also the manner in which they are related. For example, the distinction between “I am bad” versus “I want to be bad” </w:t>
      </w:r>
      <w:r w:rsidRPr="003A10CA">
        <w:fldChar w:fldCharType="begin"/>
      </w:r>
      <w:r w:rsidR="00D12214" w:rsidRPr="003A10CA">
        <w:instrText xml:space="preserve"> ADDIN ZOTERO_ITEM CSL_CITATION {"citationID":"5qCgsZII","properties":{"formattedCitation":"(Remue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3A10CA">
        <w:fldChar w:fldCharType="separate"/>
      </w:r>
      <w:r w:rsidRPr="003A10CA">
        <w:t>(Remue et al., 2013, 2014)</w:t>
      </w:r>
      <w:r w:rsidRPr="003A10CA">
        <w:fldChar w:fldCharType="end"/>
      </w:r>
      <w:r w:rsidRPr="003A10CA">
        <w:t xml:space="preserve">. IRAP researchers have offered this distinction as a potential benefit of the procedure compared to associative measures </w:t>
      </w:r>
      <w:r w:rsidRPr="003A10CA">
        <w:fldChar w:fldCharType="begin"/>
      </w:r>
      <w:r w:rsidR="00D12214" w:rsidRPr="003A10CA">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3A10CA">
        <w:fldChar w:fldCharType="separate"/>
      </w:r>
      <w:r w:rsidRPr="003A10CA">
        <w:t>(Gawronski &amp; De Houwer, 2011; Hughes et al., 2012)</w:t>
      </w:r>
      <w:r w:rsidRPr="003A10CA">
        <w:fldChar w:fldCharType="end"/>
      </w:r>
      <w:r w:rsidRPr="003A10CA">
        <w:t>.</w:t>
      </w:r>
    </w:p>
    <w:p w14:paraId="0F6396F1" w14:textId="77777777" w:rsidR="000D4308" w:rsidRPr="005211F1" w:rsidRDefault="000D4308" w:rsidP="003A10CA">
      <w:pPr>
        <w:pStyle w:val="Heading2"/>
      </w:pPr>
      <w:r w:rsidRPr="005211F1">
        <w:t>Generic patterns in IRAP data</w:t>
      </w:r>
    </w:p>
    <w:p w14:paraId="7AA24E46" w14:textId="78A9A191" w:rsidR="000D4308" w:rsidRPr="005211F1" w:rsidRDefault="000D4308" w:rsidP="003A10CA">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00D12214">
        <w:instrText xml:space="preserve"> ADDIN ZOTERO_ITEM CSL_CITATION {"citationID":"HoNqvc4n","properties":{"formattedCitation":"(O\\uc0\\u8217{}Shea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For example, normative participants apparently demonstrate positive evaluations of both death </w:t>
      </w:r>
      <w:r w:rsidRPr="005211F1">
        <w:fldChar w:fldCharType="begin"/>
      </w:r>
      <w:r w:rsidR="00D12214">
        <w:instrText xml:space="preserve"> ADDIN ZOTERO_ITEM CSL_CITATION {"citationID":"mUdzJZi3","properties":{"formattedCitation":"(Hussey,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4AF62D94" w:rsidR="000D4308" w:rsidRPr="005211F1" w:rsidRDefault="000D4308" w:rsidP="003A10CA">
      <w:r w:rsidRPr="005211F1">
        <w:t xml:space="preserve">O’Shea et al. </w:t>
      </w:r>
      <w:r w:rsidRPr="005211F1">
        <w:fldChar w:fldCharType="begin"/>
      </w:r>
      <w:r w:rsidR="00D12214">
        <w:instrText xml:space="preserve"> ADDIN ZOTERO_ITEM CSL_CITATION {"citationID":"2Vj4F1uP","properties":{"formattedCitation":"(2016)","plainCitation":"(2016)","noteIndex":0},"citationItems":[{"id":2640,"uris":["http://zotero.org/users/1687755/items/2J3QG8MQ"],"itemData":{"id":2640,"type":"article-journal","abstract":"How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w:t>
      </w:r>
      <w:r w:rsidRPr="005211F1">
        <w:lastRenderedPageBreak/>
        <w:t xml:space="preserve">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00D12214">
        <w:instrText xml:space="preserve"> ADDIN ZOTERO_ITEM CSL_CITATION {"citationID":"hPqW4o23","properties":{"formattedCitation":"(2016)","plainCitation":"(2016)","noteIndex":0},"citationItems":[{"id":2640,"uris":["http://zotero.org/users/1687755/items/2J3QG8MQ"],"itemData":{"id":2640,"type":"article-journal","abstract":"How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5BA2F0B" w:rsidR="000D4308" w:rsidRPr="005211F1" w:rsidRDefault="000D4308" w:rsidP="003A10CA">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00D12214">
        <w:instrText xml:space="preserve"> ADDIN ZOTERO_ITEM CSL_CITATION {"citationID":"9zH2tjnJ","properties":{"formattedCitation":"(2016)","plainCitation":"(2016)","noteIndex":0},"citationItems":[{"id":11146,"uris":["http://zotero.org/users/1687755/items/CMHMBLM9"],"itemData":{"id":11146,"type":"article-journal","abstract":"The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00D12214">
        <w:instrText xml:space="preserve"> ADDIN ZOTERO_ITEM CSL_CITATION {"citationID":"IpRfwTZV","properties":{"formattedCitation":"(2016)","plainCitation":"(2016)","noteIndex":0},"citationItems":[{"id":2640,"uris":["http://zotero.org/users/1687755/items/2J3QG8MQ"],"itemData":{"id":2640,"type":"article-journal","abstract":"How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00D12214">
        <w:instrText xml:space="preserve"> ADDIN ZOTERO_ITEM CSL_CITATION {"citationID":"VuYe44VX","properties":{"formattedCitation":"(2016)","plainCitation":"(2016)","noteIndex":0},"citationItems":[{"id":11146,"uris":["http://zotero.org/users/1687755/items/CMHMBLM9"],"itemData":{"id":11146,"type":"article-journal","abstract":"The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00D12214">
        <w:instrText xml:space="preserve"> ADDIN ZOTERO_ITEM CSL_CITATION {"citationID":"EPj4Llye","properties":{"formattedCitation":"(Finn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00D12214">
        <w:instrText xml:space="preserve"> ADDIN ZOTERO_ITEM CSL_CITATION {"citationID":"ueJ36eiV","properties":{"formattedCitation":"(2016)","plainCitation":"(2016)","noteIndex":0},"citationItems":[{"id":2640,"uris":["http://zotero.org/users/1687755/items/2J3QG8MQ"],"itemData":{"id":2640,"type":"article-journal","abstract":"How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00D12214">
        <w:instrText xml:space="preserve"> ADDIN ZOTERO_ITEM CSL_CITATION {"citationID":"qnrqUlYg","properties":{"formattedCitation":"(2016, 2018)","plainCitation":"(2016, 2018)","noteIndex":0},"citationItems":[{"id":11146,"uris":["http://zotero.org/users/1687755/items/CMHMBLM9"],"itemData":{"id":11146,"type":"article-journal","abstract":"The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3A10CA">
      <w:pPr>
        <w:pStyle w:val="Heading2"/>
      </w:pPr>
      <w:r w:rsidRPr="005211F1">
        <w:t>Goals of the current research</w:t>
      </w:r>
    </w:p>
    <w:p w14:paraId="56BA3AB9" w14:textId="77777777" w:rsidR="000D4308" w:rsidRPr="005211F1" w:rsidRDefault="000D4308" w:rsidP="003A10CA">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We will hereafter refer to these biases as the ‘generic pattern’ observed in IRAP effects. </w:t>
      </w:r>
    </w:p>
    <w:p w14:paraId="416BA56C" w14:textId="77777777" w:rsidR="000D4308" w:rsidRPr="005211F1" w:rsidRDefault="000D4308" w:rsidP="003A10CA">
      <w:r w:rsidRPr="005211F1">
        <w:lastRenderedPageBreak/>
        <w:t>Previous debate about the nature of any generic pattern may have been driven by the fact that this pattern has not yet been well estimated, due to a combination of small sample sizes (typically around 40) and a limited range of domains. In order to overcome this, this article used an unprecedently large sample (</w:t>
      </w:r>
      <w:r w:rsidRPr="005211F1">
        <w:rPr>
          <w:i/>
        </w:rPr>
        <w:t>N</w:t>
      </w:r>
      <w:r w:rsidRPr="005211F1">
        <w:t xml:space="preserve"> = 753)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3A10CA">
      <w:pPr>
        <w:pStyle w:val="Heading1"/>
      </w:pPr>
      <w:bookmarkStart w:id="0" w:name="_yzqcyehgy7mj" w:colFirst="0" w:colLast="0"/>
      <w:bookmarkEnd w:id="0"/>
      <w:r w:rsidRPr="005211F1">
        <w:t>Method</w:t>
      </w:r>
    </w:p>
    <w:p w14:paraId="338710C0" w14:textId="6727FCC8" w:rsidR="000D4308" w:rsidRPr="005211F1" w:rsidRDefault="000D4308" w:rsidP="003A10CA">
      <w:r w:rsidRPr="005211F1">
        <w:t>All data and code for data processing and analysis code is available on the Open Science Framework (</w:t>
      </w:r>
      <w:hyperlink r:id="rId16" w:history="1">
        <w:r w:rsidRPr="005211F1">
          <w:rPr>
            <w:rStyle w:val="Hyperlink"/>
          </w:rPr>
          <w:t>osf.io/</w:t>
        </w:r>
        <w:proofErr w:type="spellStart"/>
        <w:r w:rsidRPr="005211F1">
          <w:rPr>
            <w:rStyle w:val="Hyperlink"/>
          </w:rPr>
          <w:t>vhzsn</w:t>
        </w:r>
        <w:proofErr w:type="spellEnd"/>
      </w:hyperlink>
      <w:r w:rsidRPr="005211F1">
        <w:t xml:space="preserve">). We report how we determined our sample size, all data exclusions, all manipulations, and all measures in the study </w:t>
      </w:r>
      <w:r w:rsidRPr="005211F1">
        <w:fldChar w:fldCharType="begin"/>
      </w:r>
      <w:r w:rsidR="00D12214">
        <w:instrText xml:space="preserve"> ADDIN ZOTERO_ITEM CSL_CITATION {"citationID":"vXCBA9C6","properties":{"formattedCitation":"(Simmons et al., 2012)","plainCitation":"(Simmons et al., 2012)","noteIndex":0},"citationItems":[{"id":229,"uris":["http://zotero.org/users/1687755/items/E7GF9T8C"],"itemData":{"id":229,"type":"report","abstract":"One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00D12214">
        <w:instrText xml:space="preserve"> ADDIN ZOTERO_ITEM CSL_CITATION {"citationID":"KHWlia8j","properties":{"formattedCitation":"(R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5211F1">
        <w:fldChar w:fldCharType="separate"/>
      </w:r>
      <w:r w:rsidR="00D12214">
        <w:t>(R Core Team, 2022)</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00D12214">
        <w:instrText xml:space="preserve"> ADDIN ZOTERO_ITEM CSL_CITATION {"citationID":"ZejxZLEY","properties":{"formattedCitation":"(Lawrence, 2016)","plainCitation":"(Lawrence, 2016)","noteIndex":0},"citationItems":[{"id":11811,"uris":["http://zotero.org/users/1687755/items/EG8F7GVQ"],"itemData":{"id":11811,"type":"software","title":"ez: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00D12214">
        <w:instrText xml:space="preserve"> ADDIN ZOTERO_ITEM CSL_CITATION {"citationID":"emrU95Na","properties":{"formattedCitation":"(Pfister &amp; Janczyk, 2019)","plainCitation":"(Pfister &amp; Janczyk, 2019)","noteIndex":0},"citationItems":[{"id":12640,"uris":["http://zotero.org/users/1687755/items/QPXA9IRT"],"itemData":{"id":12640,"type":"software","abstract":"Offers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&lt;doi:10.20982/tqmp.12.2.p147&gt;.","license":"GPL-2 | GPL-3 [expanded from: GPL]","source":"R-Packages","title":"schoRsch: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00D12214">
        <w:instrText xml:space="preserve"> ADDIN ZOTERO_ITEM CSL_CITATION {"citationID":"Grf9UMU5","properties":{"formattedCitation":"(Bates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3A10CA">
      <w:pPr>
        <w:pStyle w:val="Heading2"/>
        <w:rPr>
          <w:rStyle w:val="Heading3Char"/>
          <w:b/>
          <w:bCs/>
        </w:rPr>
      </w:pPr>
      <w:bookmarkStart w:id="1" w:name="_6a1sgl1fgfyh" w:colFirst="0" w:colLast="0"/>
      <w:bookmarkEnd w:id="1"/>
      <w:r w:rsidRPr="005211F1">
        <w:rPr>
          <w:rStyle w:val="Heading3Char"/>
          <w:b/>
          <w:bCs/>
        </w:rPr>
        <w:t>Data</w:t>
      </w:r>
    </w:p>
    <w:p w14:paraId="41421657" w14:textId="5750C3DA" w:rsidR="000D4308" w:rsidRPr="005211F1" w:rsidRDefault="000D4308" w:rsidP="003A10CA">
      <w:r w:rsidRPr="005211F1">
        <w:t xml:space="preserve">Data was taken from an existing, publicly available dataset of IRAP data </w:t>
      </w:r>
      <w:r w:rsidRPr="005211F1">
        <w:fldChar w:fldCharType="begin"/>
      </w:r>
      <w:r w:rsidR="00D12214">
        <w:instrText xml:space="preserve"> ADDIN ZOTERO_ITEM CSL_CITATION {"citationID":"ned0rxUt","properties":{"formattedCitation":"(osf.io/v3twe; see Hussey &amp; Drake, 2020)","plainCitation":"(osf.io/v3twe;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Pr="005211F1">
        <w:fldChar w:fldCharType="separate"/>
      </w:r>
      <w:r w:rsidRPr="005211F1">
        <w:t>(osf.io/v3twe; see Hussey &amp; Drake, 2020)</w:t>
      </w:r>
      <w:r w:rsidRPr="005211F1">
        <w:fldChar w:fldCharType="end"/>
      </w:r>
      <w:r w:rsidRPr="005211F1">
        <w:t xml:space="preserve">. The current study therefore employs secondary analysis of existing data, with sample size being determined by data availability. Inclusion criteria were as follows: (1) The study must have included at least one standard IRAP (i.e., not variants such as the MT-IRAP or Training IRAP); (2) The IRAP must employ single-word valenced attribute category </w:t>
      </w:r>
      <w:r w:rsidRPr="005211F1">
        <w:lastRenderedPageBreak/>
        <w:t xml:space="preserve">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w:t>
      </w:r>
      <w:r w:rsidR="003952F7">
        <w:t xml:space="preserve">using 12 stimuli sets </w:t>
      </w:r>
      <w:r w:rsidRPr="005211F1">
        <w:t>and a total of 753 participants met inclusion criteria. See Figure 2 for a list of all domains.</w:t>
      </w:r>
    </w:p>
    <w:p w14:paraId="1F5FDFA6" w14:textId="77777777" w:rsidR="000D4308" w:rsidRPr="005211F1" w:rsidRDefault="000D4308" w:rsidP="003A10CA">
      <w:pPr>
        <w:pStyle w:val="Heading2"/>
      </w:pPr>
      <w:r w:rsidRPr="005211F1">
        <w:t>Performance exclusions</w:t>
      </w:r>
    </w:p>
    <w:p w14:paraId="3C13A731" w14:textId="3001C49D" w:rsidR="000D4308" w:rsidRPr="005211F1" w:rsidRDefault="000D4308" w:rsidP="003A10CA">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00D12214">
        <w:instrText xml:space="preserve"> ADDIN ZOTERO_ITEM CSL_CITATION {"citationID":"W2pDnd8F","properties":{"formattedCitation":"(Ratcliff,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bookmarkStart w:id="2" w:name="_5g8p8jzfdniw" w:colFirst="0" w:colLast="0"/>
      <w:bookmarkEnd w:id="2"/>
      <w:r w:rsidRPr="005211F1">
        <w:t xml:space="preserve"> </w:t>
      </w:r>
    </w:p>
    <w:p w14:paraId="5901CC01" w14:textId="77777777" w:rsidR="000D4308" w:rsidRPr="005211F1" w:rsidRDefault="000D4308" w:rsidP="003A10CA">
      <w:pPr>
        <w:pStyle w:val="Heading2"/>
      </w:pPr>
      <w:bookmarkStart w:id="3" w:name="_ewb4gz3cin37" w:colFirst="0" w:colLast="0"/>
      <w:bookmarkEnd w:id="3"/>
      <w:r w:rsidRPr="005211F1">
        <w:t>Participants</w:t>
      </w:r>
    </w:p>
    <w:p w14:paraId="34FC2DF6" w14:textId="77777777" w:rsidR="000D4308" w:rsidRPr="005211F1" w:rsidRDefault="000D4308" w:rsidP="003A10CA">
      <w:r w:rsidRPr="005211F1">
        <w:t>Ethical approval for each original study was granted by the local institutional review board, and informed consent was obtained from all individuals prior to participation. The final analytic sample after performance exclusions contained 709 participants. Where demographics data was 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4" w:name="_yzgpn55klhwa" w:colFirst="0" w:colLast="0"/>
      <w:bookmarkEnd w:id="4"/>
    </w:p>
    <w:p w14:paraId="497C09E9" w14:textId="77777777" w:rsidR="000D4308" w:rsidRPr="005211F1" w:rsidRDefault="000D4308" w:rsidP="003A10CA">
      <w:pPr>
        <w:pStyle w:val="Heading2"/>
      </w:pPr>
      <w:r w:rsidRPr="005211F1">
        <w:lastRenderedPageBreak/>
        <w:t>Measures</w:t>
      </w:r>
    </w:p>
    <w:p w14:paraId="36951DCA" w14:textId="68A7F845" w:rsidR="000D4308" w:rsidRPr="005211F1" w:rsidRDefault="000D4308" w:rsidP="003A10CA">
      <w:bookmarkStart w:id="5" w:name="_e4ajn071d6fh" w:colFirst="0" w:colLast="0"/>
      <w:bookmarkEnd w:id="5"/>
      <w:r w:rsidRPr="005211F1">
        <w:t xml:space="preserve">The IRAP is a computer-based reaction time task. Its procedural parameters have been discussed in great detail in many other papers </w:t>
      </w:r>
      <w:r w:rsidRPr="005211F1">
        <w:fldChar w:fldCharType="begin"/>
      </w:r>
      <w:r w:rsidR="00D12214">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00D12214">
        <w:instrText xml:space="preserve"> ADDIN ZOTERO_ITEM CSL_CITATION {"citationID":"lzNwtf5z","properties":{"formattedCitation":"(see Hussey, 2020)","plainCitation":"(see 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be given. Incorrect responses result in a red X being presented on screen. The correct responses alternated between blocks. For example, an IRAP study examining racial attitudes might include “White people” and “Black people” as category 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is used in the analyses </w:t>
      </w:r>
      <w:r w:rsidRPr="005211F1">
        <w:fldChar w:fldCharType="begin"/>
      </w:r>
      <w:r w:rsidR="00D12214">
        <w:instrText xml:space="preserve"> ADDIN ZOTERO_ITEM CSL_CITATION {"citationID":"YSgHdhmV","properties":{"formattedCitation":"(Hussey,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7" w:history="1">
        <w:r w:rsidRPr="005211F1">
          <w:rPr>
            <w:rStyle w:val="Hyperlink"/>
          </w:rPr>
          <w:t>osf.io/v3twe</w:t>
        </w:r>
      </w:hyperlink>
      <w:r w:rsidRPr="005211F1">
        <w:t>).</w:t>
      </w:r>
    </w:p>
    <w:p w14:paraId="11A4A8AD" w14:textId="77777777" w:rsidR="000D4308" w:rsidRPr="005211F1" w:rsidRDefault="000D4308" w:rsidP="003A10CA">
      <w:pPr>
        <w:pStyle w:val="Heading2"/>
      </w:pPr>
      <w:r w:rsidRPr="005211F1">
        <w:t>Data processing</w:t>
      </w:r>
    </w:p>
    <w:p w14:paraId="74E7A39A" w14:textId="6E6E524F" w:rsidR="000D4308" w:rsidRPr="005211F1" w:rsidRDefault="000D4308" w:rsidP="003A10CA">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00D12214">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points are that reaction times &gt; 10,000 ms are trimmed, a mean reaction time is calculated for </w:t>
      </w:r>
      <w:r w:rsidRPr="005211F1">
        <w:lastRenderedPageBreak/>
        <w:t xml:space="preserve">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7777777" w:rsidR="000D4308" w:rsidRPr="005211F1" w:rsidRDefault="000D4308" w:rsidP="003A10CA">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was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1 on the Christian-Muslim IRAP referred to faster responding to ‘Christians – Safe’ with ‘True’ relative to ‘False’. </w:t>
      </w:r>
    </w:p>
    <w:p w14:paraId="3895EE01" w14:textId="77777777" w:rsidR="000D4308" w:rsidRPr="005211F1" w:rsidRDefault="000D4308" w:rsidP="003A10CA">
      <w:pPr>
        <w:pStyle w:val="Heading1"/>
      </w:pPr>
      <w:r w:rsidRPr="005211F1">
        <w:t>Results</w:t>
      </w:r>
    </w:p>
    <w:p w14:paraId="6AD88064" w14:textId="77777777" w:rsidR="000D4308" w:rsidRPr="005211F1" w:rsidRDefault="000D4308" w:rsidP="003A10CA">
      <w:pPr>
        <w:pStyle w:val="Heading2"/>
      </w:pPr>
      <w:r w:rsidRPr="005211F1">
        <w:t>Evidence for the generic pattern</w:t>
      </w:r>
    </w:p>
    <w:p w14:paraId="0EC268FA" w14:textId="713BDFF2" w:rsidR="000D4308" w:rsidRPr="005211F1" w:rsidRDefault="000D4308" w:rsidP="003A10CA">
      <w:r w:rsidRPr="005211F1">
        <w:t>We hypothesized that if the IRAP is relatively sensitive to the domain being assessed</w:t>
      </w:r>
      <w:r w:rsidR="00581EAA">
        <w:t xml:space="preserve"> then </w:t>
      </w:r>
      <w:r w:rsidRPr="005211F1">
        <w:t xml:space="preserve">a greater proportion of variance </w:t>
      </w:r>
      <w:r w:rsidR="00581EAA">
        <w:t>will</w:t>
      </w:r>
      <w:r w:rsidR="00581EAA" w:rsidRPr="005211F1">
        <w:t xml:space="preserve"> </w:t>
      </w:r>
      <w:r w:rsidRPr="005211F1">
        <w:t>be attributable to the main effect for IRAP stimuli domain and/or the interaction between domain and trial type</w:t>
      </w:r>
      <w:r w:rsidR="00581EAA">
        <w:t xml:space="preserve"> than for the main effect for trial type</w:t>
      </w:r>
      <w:r w:rsidRPr="005211F1">
        <w:t>. However, if IRAP effects are mostly driven by the generic pattern then the main effect for trial type effect would be larger</w:t>
      </w:r>
      <w:r w:rsidR="00581EAA">
        <w:t xml:space="preserve"> than the main effect for domain or their interaction effect</w:t>
      </w:r>
      <w:r w:rsidRPr="005211F1">
        <w:t xml:space="preserve">. This </w:t>
      </w:r>
      <w:r w:rsidR="00581EAA">
        <w:t xml:space="preserve">latter scenario </w:t>
      </w:r>
      <w:r w:rsidRPr="005211F1">
        <w:t>would imply that the IRAP is relatively insensitive to the stimulus domain being assessed.</w:t>
      </w:r>
    </w:p>
    <w:p w14:paraId="534200FB" w14:textId="41A7CBCC" w:rsidR="000D4308" w:rsidRPr="005211F1" w:rsidRDefault="000D4308" w:rsidP="003A10CA">
      <w:r w:rsidRPr="005211F1">
        <w:t xml:space="preserve">A mixed within-between ANOVA was run using type III sum of squares method with IRAP </w:t>
      </w:r>
      <w:r w:rsidRPr="005211F1">
        <w:rPr>
          <w:i/>
        </w:rPr>
        <w:t>D</w:t>
      </w:r>
      <w:r w:rsidRPr="005211F1">
        <w:t xml:space="preserve"> scores as the dependent variable, IRAP trial-type as the within subjects independent variable (i.e., Category 1 – Positive, Category 1 – Negative, Category 2 – Positive, Category 2 – Negative), and domain as the between subjects independent variable. Only data from the domains featuring known-words was used (i.e., all domains other than the non-words IRAP). </w:t>
      </w:r>
      <w:r w:rsidRPr="005211F1">
        <w:lastRenderedPageBreak/>
        <w:t>Because our hypothes</w:t>
      </w:r>
      <w:r w:rsidR="009B12B3">
        <w:t>i</w:t>
      </w:r>
      <w:r w:rsidRPr="005211F1">
        <w:t xml:space="preserve">s </w:t>
      </w:r>
      <w:r w:rsidR="009B12B3">
        <w:t>involved</w:t>
      </w:r>
      <w:r w:rsidRPr="005211F1">
        <w:t xml:space="preserve"> comparing the proportion of variance attributable to </w:t>
      </w:r>
      <w:r w:rsidR="009B12B3">
        <w:t xml:space="preserve">the effects </w:t>
      </w:r>
      <w:r w:rsidRPr="005211F1">
        <w:t xml:space="preserve">effect rather than assessing differences in 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00D12214">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w:t>
      </w:r>
      <w:r w:rsidR="009B12B3">
        <w:t>Point estimates for effect sizes are computed as m</w:t>
      </w:r>
      <w:r w:rsidRPr="005211F1">
        <w:t xml:space="preserve">edian bootstrapped estimates for robustness. Following standard practice, 90% confidence intervals are reported </w:t>
      </w:r>
      <w:r w:rsidR="00DC7514">
        <w:t xml:space="preserve">rather than 95% confidence intervals </w:t>
      </w:r>
      <w:r w:rsidRPr="005211F1">
        <w:t xml:space="preserve">on the basis that squared effect sizes can only be positive numbers. </w:t>
      </w:r>
    </w:p>
    <w:p w14:paraId="262C85EF" w14:textId="6000AD12" w:rsidR="000D4308" w:rsidRDefault="000D4308" w:rsidP="003A10CA">
      <w:r w:rsidRPr="005211F1">
        <w:t xml:space="preserve">Hypothesis tests were conducted via the comparison of confidence intervals.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w:t>
      </w:r>
      <w:r w:rsidR="00AD7A86">
        <w:t>. I</w:t>
      </w:r>
      <w:r w:rsidR="002C6BD6">
        <w:t>ndeed the generalized form of this effect size was created for exactly such purposes.</w:t>
      </w:r>
      <w:r w:rsidR="00AD7A86">
        <w:t xml:space="preserve"> </w:t>
      </w:r>
      <w:r w:rsidRPr="005211F1">
        <w:t>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70</w:t>
      </w:r>
      <w:r w:rsidRPr="005211F1">
        <w:t>, 90% CI [0.6</w:t>
      </w:r>
      <w:r w:rsidR="002E00E1">
        <w:t>6</w:t>
      </w:r>
      <w:r w:rsidRPr="005211F1">
        <w:t>, 0.7</w:t>
      </w:r>
      <w:r w:rsidR="002E00E1">
        <w:t>5</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w:t>
      </w:r>
      <w:r w:rsidR="002E00E1">
        <w:t>4</w:t>
      </w:r>
      <w:r w:rsidRPr="005211F1">
        <w:t>, 90% CI [0.</w:t>
      </w:r>
      <w:r w:rsidR="002E00E1">
        <w:t>22</w:t>
      </w:r>
      <w:r w:rsidRPr="005211F1">
        <w:t>, 0.2</w:t>
      </w:r>
      <w:r w:rsidR="002E00E1">
        <w:t>7</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w:t>
      </w:r>
      <w:r w:rsidR="002E00E1">
        <w:t>7</w:t>
      </w:r>
      <w:r w:rsidRPr="005211F1">
        <w:t>, 90% CI [0.1</w:t>
      </w:r>
      <w:r w:rsidR="002E00E1">
        <w:t>5</w:t>
      </w:r>
      <w:r w:rsidRPr="005211F1">
        <w:t>, 0.</w:t>
      </w:r>
      <w:r w:rsidR="002E00E1">
        <w:t>19</w:t>
      </w:r>
      <w:r w:rsidRPr="005211F1">
        <w:t>])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 90% CI [0.07, 0.1</w:t>
      </w:r>
      <w:r w:rsidR="002E00E1">
        <w:t>4</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w:t>
      </w:r>
      <w:r w:rsidR="002E00E1">
        <w:t>8</w:t>
      </w:r>
      <w:r w:rsidRPr="005211F1">
        <w:t>, 90% CI [0.0</w:t>
      </w:r>
      <w:r w:rsidR="002E00E1">
        <w:t>6</w:t>
      </w:r>
      <w:r w:rsidRPr="005211F1">
        <w:t>, 0.</w:t>
      </w:r>
      <w:r w:rsidR="002E00E1">
        <w:t>10</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[0.0</w:t>
      </w:r>
      <w:r w:rsidR="002E00E1">
        <w:t>2</w:t>
      </w:r>
      <w:r w:rsidRPr="005211F1">
        <w:t>, 0.0</w:t>
      </w:r>
      <w:r w:rsidR="002E00E1">
        <w:t>4</w:t>
      </w:r>
      <w:r w:rsidRPr="005211F1">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09</w:t>
      </w:r>
      <w:r w:rsidRPr="005211F1">
        <w:t>, 90% CI [0.0</w:t>
      </w:r>
      <w:r w:rsidR="002E00E1">
        <w:t>7</w:t>
      </w:r>
      <w:r w:rsidRPr="005211F1">
        <w:t>, 0.1</w:t>
      </w:r>
      <w:r w:rsidR="002E00E1">
        <w:t>2</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 90% CI [0.03, 0.05],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90% CI [0.02, 0.0</w:t>
      </w:r>
      <w:r w:rsidR="002E00E1">
        <w:t>4</w:t>
      </w:r>
      <w:r w:rsidRPr="005211F1">
        <w:t xml:space="preserve">]). Results are illustrated in Figure 1. Results therefore supported the conclusion that variation in the IRAP </w:t>
      </w:r>
      <w:r w:rsidRPr="005211F1">
        <w:lastRenderedPageBreak/>
        <w:t xml:space="preserve">effects are mostly attributable to a generic pattern among the IRAP trial types. IRAP effects are therefore relatively insensitive to the attitude domain being assessed. </w:t>
      </w:r>
    </w:p>
    <w:p w14:paraId="6AFC84B3" w14:textId="747BC8A7" w:rsidR="00FF65C2" w:rsidRDefault="00FF65C2" w:rsidP="003A10CA"/>
    <w:p w14:paraId="0639B92D" w14:textId="64A4681C" w:rsidR="00FF65C2" w:rsidRPr="009B786B" w:rsidRDefault="00030308" w:rsidP="0057776C">
      <w:pPr>
        <w:ind w:firstLine="0"/>
        <w:jc w:val="center"/>
      </w:pPr>
      <w:r>
        <w:rPr>
          <w:noProof/>
        </w:rPr>
        <w:drawing>
          <wp:inline distT="0" distB="0" distL="0" distR="0" wp14:anchorId="6B1E2DC8" wp14:editId="0A3CA98B">
            <wp:extent cx="3707296" cy="41711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3713875" cy="4178537"/>
                    </a:xfrm>
                    <a:prstGeom prst="rect">
                      <a:avLst/>
                    </a:prstGeom>
                  </pic:spPr>
                </pic:pic>
              </a:graphicData>
            </a:graphic>
          </wp:inline>
        </w:drawing>
      </w:r>
    </w:p>
    <w:p w14:paraId="6F81B0C9" w14:textId="65E2618D" w:rsidR="00FF65C2" w:rsidRPr="009B786B" w:rsidRDefault="00FF65C2" w:rsidP="008D48B7">
      <w:pPr>
        <w:pStyle w:val="figuretitles"/>
      </w:pPr>
      <w:r w:rsidRPr="009B786B">
        <w:rPr>
          <w:i/>
        </w:rPr>
        <w:t>Figure 1.</w:t>
      </w:r>
      <w:r w:rsidRPr="009B786B">
        <w:t xml:space="preserve"> Effect size estimates for the ANOVAs.</w:t>
      </w:r>
    </w:p>
    <w:p w14:paraId="6518DF41" w14:textId="77777777" w:rsidR="00FF65C2" w:rsidRPr="005211F1" w:rsidRDefault="00FF65C2" w:rsidP="003A10CA"/>
    <w:p w14:paraId="151AF91E" w14:textId="77777777" w:rsidR="000D4308" w:rsidRPr="005211F1" w:rsidRDefault="000D4308" w:rsidP="003A10CA">
      <w:pPr>
        <w:pStyle w:val="Heading2"/>
      </w:pPr>
      <w:r w:rsidRPr="005211F1">
        <w:t xml:space="preserve">Estimating the generic pattern </w:t>
      </w:r>
    </w:p>
    <w:p w14:paraId="46D3BED4" w14:textId="77777777" w:rsidR="000D4308" w:rsidRPr="005211F1" w:rsidRDefault="000D4308" w:rsidP="003A10CA">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7776C" w:rsidRDefault="000D4308" w:rsidP="003A10CA">
      <w:pPr>
        <w:rPr>
          <w:rFonts w:ascii="Monaco" w:hAnsi="Monaco"/>
          <w:sz w:val="20"/>
          <w:szCs w:val="20"/>
        </w:rPr>
      </w:pPr>
      <w:r w:rsidRPr="0057776C">
        <w:rPr>
          <w:rFonts w:ascii="Monaco" w:hAnsi="Monaco"/>
          <w:sz w:val="20"/>
          <w:szCs w:val="20"/>
        </w:rPr>
        <w:t xml:space="preserve">D ~ 1 + </w:t>
      </w:r>
      <w:proofErr w:type="spellStart"/>
      <w:r w:rsidRPr="0057776C">
        <w:rPr>
          <w:rFonts w:ascii="Monaco" w:hAnsi="Monaco"/>
          <w:sz w:val="20"/>
          <w:szCs w:val="20"/>
        </w:rPr>
        <w:t>trialtype</w:t>
      </w:r>
      <w:proofErr w:type="spellEnd"/>
      <w:r w:rsidRPr="0057776C">
        <w:rPr>
          <w:rFonts w:ascii="Monaco" w:hAnsi="Monaco"/>
          <w:sz w:val="20"/>
          <w:szCs w:val="20"/>
        </w:rPr>
        <w:t xml:space="preserve"> + (1 | domain) + (1 | participant)</w:t>
      </w:r>
    </w:p>
    <w:p w14:paraId="494C4F07" w14:textId="792BAE14" w:rsidR="000D4308" w:rsidRPr="005211F1" w:rsidRDefault="000D4308" w:rsidP="003A10CA">
      <w:r w:rsidRPr="005211F1">
        <w:lastRenderedPageBreak/>
        <w:t xml:space="preserve">The generic pattern was therefore estimated via the estimated means for each trial type. Estimated means were Category 1 – Positive: </w:t>
      </w:r>
      <w:r w:rsidRPr="005211F1">
        <w:rPr>
          <w:i/>
        </w:rPr>
        <w:t>M</w:t>
      </w:r>
      <w:r w:rsidRPr="005211F1">
        <w:t xml:space="preserve"> = 0.</w:t>
      </w:r>
      <w:r w:rsidR="00C21CEC">
        <w:t>34</w:t>
      </w:r>
      <w:r w:rsidRPr="005211F1">
        <w:t>, 95% CI = [0.</w:t>
      </w:r>
      <w:r w:rsidR="00C21CEC">
        <w:t>3</w:t>
      </w:r>
      <w:r w:rsidRPr="005211F1">
        <w:t>0, 0.</w:t>
      </w:r>
      <w:r w:rsidR="00C21CEC">
        <w:t>38</w:t>
      </w:r>
      <w:r w:rsidRPr="005211F1">
        <w:t xml:space="preserve">], </w:t>
      </w:r>
      <w:r w:rsidRPr="005211F1">
        <w:rPr>
          <w:i/>
        </w:rPr>
        <w:t>p</w:t>
      </w:r>
      <w:r w:rsidRPr="005211F1">
        <w:t xml:space="preserve"> &lt; .001; Category 1 – Negative: </w:t>
      </w:r>
      <w:r w:rsidRPr="005211F1">
        <w:rPr>
          <w:i/>
        </w:rPr>
        <w:t>M</w:t>
      </w:r>
      <w:r w:rsidRPr="005211F1">
        <w:t xml:space="preserve"> = 0.</w:t>
      </w:r>
      <w:r w:rsidR="00C21CEC">
        <w:t>14</w:t>
      </w:r>
      <w:r w:rsidRPr="005211F1">
        <w:t>, 95% CI = [0.0</w:t>
      </w:r>
      <w:r w:rsidR="00C21CEC">
        <w:t>6</w:t>
      </w:r>
      <w:r w:rsidRPr="005211F1">
        <w:t>, 0.</w:t>
      </w:r>
      <w:r w:rsidR="00C21CEC">
        <w:t>21</w:t>
      </w:r>
      <w:r w:rsidRPr="005211F1">
        <w:t xml:space="preserve">], </w:t>
      </w:r>
      <w:r w:rsidRPr="005211F1">
        <w:rPr>
          <w:i/>
        </w:rPr>
        <w:t>p</w:t>
      </w:r>
      <w:r w:rsidRPr="005211F1">
        <w:t xml:space="preserve"> &lt; .001; Category 2 – Positive: </w:t>
      </w:r>
      <w:r w:rsidRPr="005211F1">
        <w:rPr>
          <w:i/>
        </w:rPr>
        <w:t>M</w:t>
      </w:r>
      <w:r w:rsidRPr="005211F1">
        <w:t xml:space="preserve"> = -0.</w:t>
      </w:r>
      <w:r w:rsidR="00C21CEC">
        <w:t>20</w:t>
      </w:r>
      <w:r w:rsidRPr="005211F1">
        <w:t>, 95% CI = [-0.</w:t>
      </w:r>
      <w:r w:rsidR="00C21CEC">
        <w:t>28</w:t>
      </w:r>
      <w:r w:rsidRPr="005211F1">
        <w:t>, -0.</w:t>
      </w:r>
      <w:r w:rsidR="00C21CEC">
        <w:t>12</w:t>
      </w:r>
      <w:r w:rsidRPr="005211F1">
        <w:t xml:space="preserve">], </w:t>
      </w:r>
      <w:r w:rsidRPr="005211F1">
        <w:rPr>
          <w:i/>
        </w:rPr>
        <w:t>p</w:t>
      </w:r>
      <w:r w:rsidRPr="005211F1">
        <w:t xml:space="preserve"> &lt; .001; Category 2 – Negative: </w:t>
      </w:r>
      <w:r w:rsidRPr="005211F1">
        <w:rPr>
          <w:i/>
        </w:rPr>
        <w:t>M</w:t>
      </w:r>
      <w:r w:rsidRPr="005211F1">
        <w:t xml:space="preserve"> = 0.0</w:t>
      </w:r>
      <w:r w:rsidR="00C21CEC">
        <w:t>2</w:t>
      </w:r>
      <w:r w:rsidRPr="005211F1">
        <w:t>, 95% CI = [</w:t>
      </w:r>
      <w:r w:rsidR="00C21CEC">
        <w:t>-</w:t>
      </w:r>
      <w:r w:rsidRPr="005211F1">
        <w:t>0.0</w:t>
      </w:r>
      <w:r w:rsidR="00C21CEC">
        <w:t>6</w:t>
      </w:r>
      <w:r w:rsidRPr="005211F1">
        <w:t>, 0.0</w:t>
      </w:r>
      <w:r w:rsidR="00C21CEC">
        <w:t>9</w:t>
      </w:r>
      <w:r w:rsidRPr="005211F1">
        <w:t xml:space="preserve">], </w:t>
      </w:r>
      <w:r w:rsidRPr="005211F1">
        <w:rPr>
          <w:i/>
        </w:rPr>
        <w:t>p</w:t>
      </w:r>
      <w:r w:rsidRPr="005211F1">
        <w:t xml:space="preserve"> &lt; .001. This pattern is illustrated in Figure 2 (upper panel), along with the data from each attitude domain. </w:t>
      </w:r>
    </w:p>
    <w:p w14:paraId="0F808FF2" w14:textId="2E3E90F5" w:rsidR="000D4308" w:rsidRDefault="000D4308" w:rsidP="003A10CA">
      <w:r w:rsidRPr="005211F1">
        <w:t>Figure 2 (lower panel) also suggests that the generic pattern is present not only in IRAPs assessing known attitude domains, but possibly also in an IRAP assessing evaluations of the non-words CUG and VEC (which should intuitively be neutral). Due to the very small sample size for this IRAP (</w:t>
      </w:r>
      <w:r w:rsidRPr="005211F1">
        <w:rPr>
          <w:i/>
        </w:rPr>
        <w:t>N</w:t>
      </w:r>
      <w:r w:rsidRPr="005211F1">
        <w:t xml:space="preserve"> = 19), no meaningful quantitative analyses could be conducted to compare known words (i.e., all data from the attitude domains analyzed previously) and non-word stimuli. </w:t>
      </w:r>
      <w:r w:rsidR="009E5A0D">
        <w:t xml:space="preserve">Nonetheless, visual </w:t>
      </w:r>
      <w:r w:rsidR="00030308">
        <w:t>inspection</w:t>
      </w:r>
      <w:r w:rsidR="009E5A0D">
        <w:t xml:space="preserve"> of the plot reveals a strikingly similar pattern between the trial types, despite one set of IRAPs supposedly measuring attitudes to a set of domains, and the other employing nonsense words. </w:t>
      </w:r>
    </w:p>
    <w:p w14:paraId="00A60681" w14:textId="7C5FA125" w:rsidR="008E5DAD" w:rsidRDefault="008E5DAD" w:rsidP="003A10CA">
      <w:r w:rsidRPr="005211F1">
        <w:t xml:space="preserve">In order to facilitate the understanding of this generic pattern, the Category 2 trial types were inverted following standard guidelines for the interpretation of IRAP effects </w:t>
      </w:r>
      <w:r w:rsidRPr="005211F1">
        <w:fldChar w:fldCharType="begin"/>
      </w:r>
      <w:r w:rsidR="00D12214">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0537D5FA" w14:textId="4A18932A" w:rsidR="002D4B59" w:rsidRDefault="002D4B59" w:rsidP="003A10CA"/>
    <w:p w14:paraId="65E1F17D" w14:textId="46B52243" w:rsidR="002D4B59" w:rsidRPr="009B786B" w:rsidRDefault="00030308" w:rsidP="0057776C">
      <w:pPr>
        <w:ind w:firstLine="0"/>
        <w:jc w:val="center"/>
      </w:pPr>
      <w:r>
        <w:rPr>
          <w:noProof/>
        </w:rPr>
        <w:drawing>
          <wp:inline distT="0" distB="0" distL="0" distR="0" wp14:anchorId="112C9B48" wp14:editId="34ED94CB">
            <wp:extent cx="4452730" cy="51945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stretch>
                      <a:fillRect/>
                    </a:stretch>
                  </pic:blipFill>
                  <pic:spPr>
                    <a:xfrm>
                      <a:off x="0" y="0"/>
                      <a:ext cx="4457878" cy="5200515"/>
                    </a:xfrm>
                    <a:prstGeom prst="rect">
                      <a:avLst/>
                    </a:prstGeom>
                  </pic:spPr>
                </pic:pic>
              </a:graphicData>
            </a:graphic>
          </wp:inline>
        </w:drawing>
      </w:r>
    </w:p>
    <w:p w14:paraId="2BD286B4" w14:textId="77E92F7B" w:rsidR="002D4B59" w:rsidRDefault="002D4B59" w:rsidP="008D48B7">
      <w:pPr>
        <w:pStyle w:val="figuretitles"/>
      </w:pPr>
      <w:r w:rsidRPr="009B786B">
        <w:rPr>
          <w:i/>
        </w:rPr>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p>
    <w:p w14:paraId="47CF7AC4" w14:textId="77777777" w:rsidR="00D5461D" w:rsidRDefault="00D5461D" w:rsidP="008D48B7">
      <w:pPr>
        <w:pStyle w:val="figuretitles"/>
      </w:pPr>
    </w:p>
    <w:p w14:paraId="4E5CBC0C" w14:textId="77777777" w:rsidR="002D4B59" w:rsidRDefault="002D4B59" w:rsidP="003A10CA"/>
    <w:p w14:paraId="103C8F40" w14:textId="19F005C7" w:rsidR="002D4B59" w:rsidRPr="009B786B" w:rsidRDefault="00030308" w:rsidP="0057776C">
      <w:pPr>
        <w:ind w:firstLine="0"/>
        <w:jc w:val="center"/>
      </w:pPr>
      <w:r>
        <w:rPr>
          <w:noProof/>
        </w:rPr>
        <w:lastRenderedPageBreak/>
        <w:drawing>
          <wp:inline distT="0" distB="0" distL="0" distR="0" wp14:anchorId="34BB1E94" wp14:editId="4E833429">
            <wp:extent cx="4501006" cy="3150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stretch>
                      <a:fillRect/>
                    </a:stretch>
                  </pic:blipFill>
                  <pic:spPr>
                    <a:xfrm>
                      <a:off x="0" y="0"/>
                      <a:ext cx="4515044" cy="3160530"/>
                    </a:xfrm>
                    <a:prstGeom prst="rect">
                      <a:avLst/>
                    </a:prstGeom>
                  </pic:spPr>
                </pic:pic>
              </a:graphicData>
            </a:graphic>
          </wp:inline>
        </w:drawing>
      </w:r>
    </w:p>
    <w:p w14:paraId="2177E944" w14:textId="2E392EF0" w:rsidR="002D4B59" w:rsidRDefault="002D4B59" w:rsidP="008D48B7">
      <w:pPr>
        <w:pStyle w:val="figuretitles"/>
      </w:pPr>
      <w:r w:rsidRPr="00F3068A">
        <w:rPr>
          <w:i/>
        </w:rPr>
        <w:t>Figure 3.</w:t>
      </w:r>
      <w:r w:rsidRPr="00F3068A">
        <w:t xml:space="preserve"> Meta-analyzed estimates of the generic pattern in IRAP effects. Scores for Category 2 have been inverted for interpretability. Error bars represent 95% CIs.</w:t>
      </w:r>
    </w:p>
    <w:p w14:paraId="62CA84A1" w14:textId="77777777" w:rsidR="00DD754F" w:rsidRPr="005211F1" w:rsidRDefault="00DD754F" w:rsidP="008D48B7">
      <w:pPr>
        <w:pStyle w:val="figuretitles"/>
      </w:pPr>
    </w:p>
    <w:p w14:paraId="06803699" w14:textId="77777777" w:rsidR="000D4308" w:rsidRPr="005211F1" w:rsidRDefault="000D4308" w:rsidP="003A10CA">
      <w:pPr>
        <w:pStyle w:val="Heading1"/>
      </w:pPr>
      <w:r w:rsidRPr="005211F1">
        <w:t>Discussion</w:t>
      </w:r>
    </w:p>
    <w:p w14:paraId="7FBB50F6" w14:textId="5E6F239D" w:rsidR="000D4308" w:rsidRPr="005211F1" w:rsidRDefault="000D4308" w:rsidP="003A10CA">
      <w:r w:rsidRPr="005211F1">
        <w:t>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w:t>
      </w:r>
      <w:r w:rsidR="0098347F">
        <w:t xml:space="preserve"> </w:t>
      </w:r>
      <w:r w:rsidRPr="005211F1">
        <w:t xml:space="preserve">This suggests that the IRAP is relatively insensitive to the attitudes and learning histories that it was designed to measure. </w:t>
      </w:r>
    </w:p>
    <w:p w14:paraId="501DF536" w14:textId="226DF7D1" w:rsidR="000D4308" w:rsidRPr="005211F1" w:rsidRDefault="000D4308" w:rsidP="003A10CA">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00D12214">
        <w:instrText xml:space="preserve"> ADDIN ZOTERO_ITEM CSL_CITATION {"citationID":"MkQNTZAx","properties":{"formattedCitation":"(O\\uc0\\u8217{}Shea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00D12214">
        <w:instrText xml:space="preserve"> ADDIN ZOTERO_ITEM CSL_CITATION {"citationID":"vqBiAiGl","properties":{"formattedCitation":"(Finn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but instead represents both differences between positive and negative </w:t>
      </w:r>
      <w:r w:rsidRPr="005211F1">
        <w:lastRenderedPageBreak/>
        <w:t>attributes and also differences between the two categories. This pattern is difficult to attribute to genuine properties of the attitude domains themselves, and is more easily attributed to as-yet-known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w:t>
      </w:r>
      <w:r w:rsidR="006A2563" w:rsidRPr="006A2563">
        <w:t xml:space="preserve"> </w:t>
      </w:r>
      <w:r w:rsidR="006A2563">
        <w:t>Put another way, the analysis of mean scores on the IRAP trial types is therefore severely confounded by the generic pattern.</w:t>
      </w:r>
    </w:p>
    <w:p w14:paraId="2854FE99" w14:textId="34116865" w:rsidR="000D4308" w:rsidRPr="005211F1" w:rsidRDefault="000D4308" w:rsidP="003A10CA">
      <w:r w:rsidRPr="005211F1">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to measures implicit attitudes or associations in memory, etc.) or functional analytic-abstractive </w:t>
      </w:r>
      <w:r w:rsidRPr="005211F1">
        <w:fldChar w:fldCharType="begin"/>
      </w:r>
      <w:r w:rsidR="00D12214">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5FB7EF39" w14:textId="77777777" w:rsidR="000D4308" w:rsidRPr="005211F1" w:rsidRDefault="000D4308" w:rsidP="003A10CA">
      <w:pPr>
        <w:pStyle w:val="Heading2"/>
      </w:pPr>
      <w:r w:rsidRPr="005211F1">
        <w:t>Implications for the validity of conclusions in the published literature</w:t>
      </w:r>
    </w:p>
    <w:p w14:paraId="7E839672" w14:textId="1935A94B" w:rsidR="002D4B59" w:rsidRPr="005211F1" w:rsidRDefault="000D4308" w:rsidP="003A10CA">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00D12214">
        <w:instrText xml:space="preserve"> ADDIN ZOTERO_ITEM CSL_CITATION {"citationID":"KlPNkBUt","properties":{"formattedCitation":"(Finn et al., 2016, 2018; O\\uc0\\u8217{}Shea et al., 2016)","plainCitation":"(Finn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generic pattern is likely to represent a strong barrier to the task being useful to their goals. And, more worryingly, the generic pattern may cause researchers to make invalid inferences, by misattributing the presence of IRAP effects to attitudes or learning histories (i.e., driven by the category stimuli) when they are instead merely </w:t>
      </w:r>
      <w:r w:rsidRPr="005211F1">
        <w:lastRenderedPageBreak/>
        <w:t xml:space="preserve">instances of the generic pattern. For example, Hussey, Daly, et al. </w:t>
      </w:r>
      <w:r w:rsidRPr="005211F1">
        <w:fldChar w:fldCharType="begin"/>
      </w:r>
      <w:r w:rsidR="00D12214">
        <w:instrText xml:space="preserve"> ADDIN ZOTERO_ITEM CSL_CITATION {"citationID":"IUAS0MnE","properties":{"formattedCitation":"(2015)","plainCitation":"(2015)","noteIndex":0},"citationItems":[{"id":2405,"uris":["http://zotero.org/users/1687755/items/I2S2TANG"],"itemData":{"id":2405,"type":"article-journal","abstract":"The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3A2F5A45" w14:textId="77777777" w:rsidR="0057776C" w:rsidRPr="007666DF" w:rsidRDefault="000D4308" w:rsidP="0057776C">
      <w:pPr>
        <w:rPr>
          <w:color w:val="FF0000"/>
        </w:rPr>
      </w:pPr>
      <w:r w:rsidRPr="005211F1">
        <w:t>The existence of a generic pattern has significant implications for how the results of past and future IRAP studies should be interpreted. Indeed, many of the conclusions made in the published literature may be undermined or invalidated</w:t>
      </w:r>
      <w:r w:rsidR="009F6CC6">
        <w:t xml:space="preserve"> due to the confound that the generic pattern represents</w:t>
      </w:r>
      <w:r w:rsidRPr="005211F1">
        <w:t xml:space="preserve">.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w:t>
      </w:r>
      <w:r w:rsidR="0057776C" w:rsidRPr="005211F1">
        <w:t xml:space="preserve">conclusions when a </w:t>
      </w:r>
      <w:r w:rsidR="0057776C" w:rsidRPr="005211F1">
        <w:rPr>
          <w:i/>
        </w:rPr>
        <w:t>D</w:t>
      </w:r>
      <w:r w:rsidR="0057776C" w:rsidRPr="005211F1">
        <w:t xml:space="preserve"> score at or near zero is treated as meaningful have been around as long as the IRAP itself </w:t>
      </w:r>
      <w:r w:rsidR="0057776C" w:rsidRPr="005211F1">
        <w:fldChar w:fldCharType="begin"/>
      </w:r>
      <w:r w:rsidR="0057776C">
        <w:instrText xml:space="preserve"> ADDIN ZOTERO_ITEM CSL_CITATION {"citationID":"wRCyzb2a","properties":{"formattedCitation":"(Blanton &amp; Jaccard, 2006)","plainCitation":"(Blanton &amp; Jaccard, 2006)","noteIndex":0},"citationItems":[{"id":2487,"uris":["http://zotero.org/users/1687755/items/93I2KEZQ"],"itemData":{"id":2487,"type":"article-journal","container-title":"American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57776C" w:rsidRPr="005211F1">
        <w:fldChar w:fldCharType="separate"/>
      </w:r>
      <w:r w:rsidR="0057776C" w:rsidRPr="005211F1">
        <w:t>(Blanton &amp; Jaccard, 2006)</w:t>
      </w:r>
      <w:r w:rsidR="0057776C" w:rsidRPr="005211F1">
        <w:fldChar w:fldCharType="end"/>
      </w:r>
      <w:r w:rsidR="0057776C" w:rsidRPr="005211F1">
        <w:t>. However, these have previously been conceptual arguments, where the current work is empirical.</w:t>
      </w:r>
    </w:p>
    <w:p w14:paraId="6FCE9C0E" w14:textId="45A6DAD0" w:rsidR="005963FA" w:rsidRDefault="005963FA" w:rsidP="003A10CA">
      <w:pPr>
        <w:sectPr w:rsidR="005963FA" w:rsidSect="003A10CA">
          <w:type w:val="continuous"/>
          <w:pgSz w:w="11900" w:h="16840" w:code="9"/>
          <w:pgMar w:top="1440" w:right="1440" w:bottom="1440" w:left="1440" w:header="720" w:footer="720" w:gutter="0"/>
          <w:cols w:space="340"/>
          <w:titlePg/>
          <w:docGrid w:linePitch="360"/>
        </w:sectPr>
      </w:pPr>
    </w:p>
    <w:p w14:paraId="600B2388" w14:textId="7E0314B9" w:rsidR="00703F4F" w:rsidRPr="00532235" w:rsidRDefault="00703F4F" w:rsidP="008D48B7">
      <w:pPr>
        <w:ind w:firstLine="0"/>
      </w:pPr>
      <w:r w:rsidRPr="00703F4F">
        <w:rPr>
          <w:i/>
        </w:rPr>
        <w:lastRenderedPageBreak/>
        <w:t>Table 1.</w:t>
      </w:r>
      <w:r w:rsidRPr="00703F4F">
        <w:t xml:space="preserve"> A description of commonly-used methods of analysis for IRAP data, as well as the validity of the inferences which are typically made from them. </w:t>
      </w: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8D48B7"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8D48B7" w:rsidRDefault="00703F4F" w:rsidP="008D48B7">
            <w:pPr>
              <w:spacing w:line="240" w:lineRule="auto"/>
              <w:ind w:firstLine="0"/>
              <w:rPr>
                <w:sz w:val="20"/>
                <w:szCs w:val="20"/>
              </w:rPr>
            </w:pPr>
            <w:r w:rsidRPr="008D48B7">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8D48B7" w:rsidRDefault="00703F4F" w:rsidP="008D48B7">
            <w:pPr>
              <w:spacing w:line="240" w:lineRule="auto"/>
              <w:ind w:firstLine="0"/>
              <w:rPr>
                <w:sz w:val="20"/>
                <w:szCs w:val="20"/>
              </w:rPr>
            </w:pPr>
            <w:r w:rsidRPr="008D48B7">
              <w:rPr>
                <w:sz w:val="20"/>
                <w:szCs w:val="20"/>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8D48B7" w:rsidRDefault="00703F4F" w:rsidP="008D48B7">
            <w:pPr>
              <w:spacing w:line="240" w:lineRule="auto"/>
              <w:ind w:firstLine="0"/>
              <w:rPr>
                <w:sz w:val="20"/>
                <w:szCs w:val="20"/>
              </w:rPr>
            </w:pPr>
            <w:r w:rsidRPr="008D48B7">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8D48B7" w:rsidRDefault="00703F4F" w:rsidP="008D48B7">
            <w:pPr>
              <w:spacing w:line="240" w:lineRule="auto"/>
              <w:ind w:firstLine="0"/>
              <w:rPr>
                <w:sz w:val="20"/>
                <w:szCs w:val="20"/>
              </w:rPr>
            </w:pPr>
            <w:r w:rsidRPr="008D48B7">
              <w:rPr>
                <w:sz w:val="20"/>
                <w:szCs w:val="20"/>
              </w:rPr>
              <w:t>Common inference</w:t>
            </w:r>
          </w:p>
        </w:tc>
        <w:tc>
          <w:tcPr>
            <w:tcW w:w="1340" w:type="dxa"/>
            <w:tcBorders>
              <w:top w:val="single" w:sz="4" w:space="0" w:color="auto"/>
              <w:bottom w:val="single" w:sz="4" w:space="0" w:color="auto"/>
            </w:tcBorders>
          </w:tcPr>
          <w:p w14:paraId="20847D69" w14:textId="77777777" w:rsidR="00703F4F" w:rsidRPr="008D48B7" w:rsidRDefault="00703F4F" w:rsidP="008D48B7">
            <w:pPr>
              <w:spacing w:line="240" w:lineRule="auto"/>
              <w:ind w:firstLine="0"/>
              <w:rPr>
                <w:sz w:val="20"/>
                <w:szCs w:val="20"/>
              </w:rPr>
            </w:pPr>
            <w:r w:rsidRPr="008D48B7">
              <w:rPr>
                <w:sz w:val="20"/>
                <w:szCs w:val="20"/>
              </w:rPr>
              <w:t xml:space="preserve">Conclusions </w:t>
            </w:r>
          </w:p>
        </w:tc>
      </w:tr>
      <w:tr w:rsidR="00703F4F" w:rsidRPr="008D48B7"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8D48B7" w:rsidRDefault="00703F4F" w:rsidP="008D48B7">
            <w:pPr>
              <w:spacing w:line="240" w:lineRule="auto"/>
              <w:ind w:firstLine="0"/>
              <w:rPr>
                <w:sz w:val="20"/>
                <w:szCs w:val="20"/>
              </w:rPr>
            </w:pPr>
            <w:r w:rsidRPr="008D48B7">
              <w:rPr>
                <w:sz w:val="20"/>
                <w:szCs w:val="20"/>
              </w:rPr>
              <w:t xml:space="preserve">Is the “White people – positive” </w:t>
            </w:r>
            <w:r w:rsidRPr="008D48B7">
              <w:rPr>
                <w:i/>
                <w:sz w:val="20"/>
                <w:szCs w:val="20"/>
              </w:rPr>
              <w:t>D</w:t>
            </w:r>
            <w:r w:rsidRPr="008D48B7">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8D48B7" w:rsidRDefault="00703F4F" w:rsidP="008D48B7">
            <w:pPr>
              <w:spacing w:line="240" w:lineRule="auto"/>
              <w:ind w:firstLine="0"/>
              <w:rPr>
                <w:sz w:val="20"/>
                <w:szCs w:val="20"/>
              </w:rPr>
            </w:pPr>
            <w:r w:rsidRPr="008D48B7">
              <w:rPr>
                <w:sz w:val="20"/>
                <w:szCs w:val="20"/>
              </w:rPr>
              <w:t xml:space="preserve">One-sample </w:t>
            </w:r>
            <w:r w:rsidRPr="008D48B7">
              <w:rPr>
                <w:i/>
                <w:sz w:val="20"/>
                <w:szCs w:val="20"/>
              </w:rPr>
              <w:t>t</w:t>
            </w:r>
            <w:r w:rsidRPr="008D48B7">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8D48B7" w:rsidRDefault="00703F4F" w:rsidP="008D48B7">
            <w:pPr>
              <w:spacing w:line="240" w:lineRule="auto"/>
              <w:ind w:firstLine="0"/>
              <w:rPr>
                <w:sz w:val="20"/>
                <w:szCs w:val="20"/>
              </w:rPr>
            </w:pPr>
            <w:r w:rsidRPr="008D48B7">
              <w:rPr>
                <w:sz w:val="20"/>
                <w:szCs w:val="20"/>
              </w:rPr>
              <w:t>A “White people – positive” bias was observed.</w:t>
            </w:r>
          </w:p>
        </w:tc>
        <w:tc>
          <w:tcPr>
            <w:tcW w:w="1340" w:type="dxa"/>
            <w:tcBorders>
              <w:top w:val="single" w:sz="4" w:space="0" w:color="auto"/>
            </w:tcBorders>
          </w:tcPr>
          <w:p w14:paraId="1567AEC1" w14:textId="5DFC5CAD"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8D48B7" w:rsidRDefault="00703F4F" w:rsidP="008D48B7">
            <w:pPr>
              <w:spacing w:line="240" w:lineRule="auto"/>
              <w:ind w:firstLine="0"/>
              <w:rPr>
                <w:sz w:val="20"/>
                <w:szCs w:val="20"/>
              </w:rPr>
            </w:pPr>
            <w:r w:rsidRPr="008D48B7">
              <w:rPr>
                <w:sz w:val="20"/>
                <w:szCs w:val="20"/>
              </w:rPr>
              <w:t xml:space="preserve">Does participant 1’s “White people – positive” </w:t>
            </w:r>
            <w:r w:rsidRPr="008D48B7">
              <w:rPr>
                <w:i/>
                <w:sz w:val="20"/>
                <w:szCs w:val="20"/>
              </w:rPr>
              <w:t>D</w:t>
            </w:r>
            <w:r w:rsidRPr="008D48B7">
              <w:rPr>
                <w:sz w:val="20"/>
                <w:szCs w:val="20"/>
              </w:rPr>
              <w:t xml:space="preserve"> score differ from their “White people – negative” </w:t>
            </w:r>
            <w:r w:rsidRPr="008D48B7">
              <w:rPr>
                <w:i/>
                <w:sz w:val="20"/>
                <w:szCs w:val="20"/>
              </w:rPr>
              <w:t>D</w:t>
            </w:r>
            <w:r w:rsidRPr="008D48B7">
              <w:rPr>
                <w:sz w:val="20"/>
                <w:szCs w:val="20"/>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02B5F694" w14:textId="77777777" w:rsidR="00703F4F" w:rsidRPr="008D48B7" w:rsidRDefault="00703F4F" w:rsidP="008D48B7">
            <w:pPr>
              <w:spacing w:line="240" w:lineRule="auto"/>
              <w:ind w:firstLine="0"/>
              <w:rPr>
                <w:sz w:val="20"/>
                <w:szCs w:val="20"/>
              </w:rPr>
            </w:pPr>
            <w:r w:rsidRPr="008D48B7">
              <w:rPr>
                <w:sz w:val="20"/>
                <w:szCs w:val="20"/>
              </w:rPr>
              <w:t>“White people – positive” biases were larger than “White people – negative” biases.</w:t>
            </w:r>
          </w:p>
        </w:tc>
        <w:tc>
          <w:tcPr>
            <w:tcW w:w="1340" w:type="dxa"/>
          </w:tcPr>
          <w:p w14:paraId="19C14CBB" w14:textId="101DCAD1"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 </w:t>
            </w:r>
            <w:r w:rsidRPr="008D48B7">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8D48B7" w:rsidRDefault="00703F4F" w:rsidP="008D48B7">
            <w:pPr>
              <w:spacing w:line="240" w:lineRule="auto"/>
              <w:ind w:firstLine="0"/>
              <w:rPr>
                <w:sz w:val="20"/>
                <w:szCs w:val="20"/>
              </w:rPr>
            </w:pPr>
            <w:r w:rsidRPr="008D48B7">
              <w:rPr>
                <w:sz w:val="20"/>
                <w:szCs w:val="20"/>
              </w:rPr>
              <w:t xml:space="preserve">Do </w:t>
            </w:r>
            <w:r w:rsidRPr="008D48B7">
              <w:rPr>
                <w:i/>
                <w:sz w:val="20"/>
                <w:szCs w:val="20"/>
              </w:rPr>
              <w:t>D</w:t>
            </w:r>
            <w:r w:rsidRPr="008D48B7">
              <w:rPr>
                <w:sz w:val="20"/>
                <w:szCs w:val="20"/>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364442D0" w14:textId="77777777" w:rsidR="00703F4F" w:rsidRPr="008D48B7" w:rsidRDefault="00703F4F" w:rsidP="008D48B7">
            <w:pPr>
              <w:spacing w:line="240" w:lineRule="auto"/>
              <w:ind w:firstLine="0"/>
              <w:rPr>
                <w:sz w:val="20"/>
                <w:szCs w:val="20"/>
              </w:rPr>
            </w:pPr>
            <w:r w:rsidRPr="008D48B7">
              <w:rPr>
                <w:sz w:val="20"/>
                <w:szCs w:val="20"/>
              </w:rPr>
              <w:t>“White people – positive” bias changed between timepoints/after the intervention.</w:t>
            </w:r>
          </w:p>
        </w:tc>
        <w:tc>
          <w:tcPr>
            <w:tcW w:w="1340" w:type="dxa"/>
          </w:tcPr>
          <w:p w14:paraId="73C3F762"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8D48B7" w:rsidRDefault="00703F4F" w:rsidP="008D48B7">
            <w:pPr>
              <w:spacing w:line="240" w:lineRule="auto"/>
              <w:ind w:firstLine="0"/>
              <w:rPr>
                <w:sz w:val="20"/>
                <w:szCs w:val="20"/>
              </w:rPr>
            </w:pPr>
            <w:r w:rsidRPr="008D48B7">
              <w:rPr>
                <w:sz w:val="20"/>
                <w:szCs w:val="20"/>
              </w:rPr>
              <w:t xml:space="preserve">Do effects on the “White people – positive” </w:t>
            </w:r>
            <w:r w:rsidRPr="008D48B7">
              <w:rPr>
                <w:i/>
                <w:sz w:val="20"/>
                <w:szCs w:val="20"/>
              </w:rPr>
              <w:t>D</w:t>
            </w:r>
            <w:r w:rsidRPr="008D48B7">
              <w:rPr>
                <w:sz w:val="20"/>
                <w:szCs w:val="20"/>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8D48B7" w:rsidRDefault="00703F4F" w:rsidP="008D48B7">
            <w:pPr>
              <w:spacing w:line="240" w:lineRule="auto"/>
              <w:ind w:firstLine="0"/>
              <w:rPr>
                <w:sz w:val="20"/>
                <w:szCs w:val="20"/>
              </w:rPr>
            </w:pPr>
            <w:r w:rsidRPr="008D48B7">
              <w:rPr>
                <w:sz w:val="20"/>
                <w:szCs w:val="20"/>
              </w:rPr>
              <w:t xml:space="preserve">Between-subjects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78EF6492" w14:textId="77777777" w:rsidR="00703F4F" w:rsidRPr="008D48B7" w:rsidRDefault="00703F4F" w:rsidP="008D48B7">
            <w:pPr>
              <w:spacing w:line="240" w:lineRule="auto"/>
              <w:ind w:firstLine="0"/>
              <w:rPr>
                <w:sz w:val="20"/>
                <w:szCs w:val="20"/>
              </w:rPr>
            </w:pPr>
            <w:r w:rsidRPr="008D48B7">
              <w:rPr>
                <w:sz w:val="20"/>
                <w:szCs w:val="20"/>
              </w:rPr>
              <w:t>White people demonstrated a larger “White people – positive” bias than Black people.</w:t>
            </w:r>
          </w:p>
        </w:tc>
        <w:tc>
          <w:tcPr>
            <w:tcW w:w="1340" w:type="dxa"/>
          </w:tcPr>
          <w:p w14:paraId="12F23026"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8D48B7" w:rsidRDefault="00703F4F" w:rsidP="008D48B7">
            <w:pPr>
              <w:spacing w:line="240" w:lineRule="auto"/>
              <w:ind w:firstLine="0"/>
              <w:rPr>
                <w:sz w:val="20"/>
                <w:szCs w:val="20"/>
              </w:rPr>
            </w:pPr>
            <w:r w:rsidRPr="008D48B7">
              <w:rPr>
                <w:sz w:val="20"/>
                <w:szCs w:val="20"/>
              </w:rPr>
              <w:t xml:space="preserve">Are “White people – positive” </w:t>
            </w:r>
            <w:r w:rsidRPr="008D48B7">
              <w:rPr>
                <w:i/>
                <w:sz w:val="20"/>
                <w:szCs w:val="20"/>
              </w:rPr>
              <w:t>D</w:t>
            </w:r>
            <w:r w:rsidRPr="008D48B7">
              <w:rPr>
                <w:sz w:val="20"/>
                <w:szCs w:val="20"/>
              </w:rPr>
              <w:t xml:space="preserve"> scores negatively associated with “White people – negative” </w:t>
            </w:r>
            <w:r w:rsidRPr="008D48B7">
              <w:rPr>
                <w:i/>
                <w:sz w:val="20"/>
                <w:szCs w:val="20"/>
              </w:rPr>
              <w:t>D</w:t>
            </w:r>
            <w:r w:rsidRPr="008D48B7">
              <w:rPr>
                <w:sz w:val="20"/>
                <w:szCs w:val="20"/>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shd w:val="clear" w:color="auto" w:fill="auto"/>
            <w:tcMar>
              <w:top w:w="100" w:type="dxa"/>
              <w:left w:w="100" w:type="dxa"/>
              <w:bottom w:w="100" w:type="dxa"/>
              <w:right w:w="100" w:type="dxa"/>
            </w:tcMar>
          </w:tcPr>
          <w:p w14:paraId="5CD8ACEA" w14:textId="77777777" w:rsidR="00703F4F" w:rsidRPr="008D48B7" w:rsidRDefault="00703F4F" w:rsidP="008D48B7">
            <w:pPr>
              <w:spacing w:line="240" w:lineRule="auto"/>
              <w:ind w:firstLine="0"/>
              <w:rPr>
                <w:sz w:val="20"/>
                <w:szCs w:val="20"/>
              </w:rPr>
            </w:pPr>
            <w:r w:rsidRPr="008D48B7">
              <w:rPr>
                <w:sz w:val="20"/>
                <w:szCs w:val="20"/>
              </w:rPr>
              <w:t>Positive evaluations of White people are negatively associated with negative evaluations of White people.</w:t>
            </w:r>
          </w:p>
        </w:tc>
        <w:tc>
          <w:tcPr>
            <w:tcW w:w="1340" w:type="dxa"/>
          </w:tcPr>
          <w:p w14:paraId="7F6E741B"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8D48B7" w:rsidRDefault="00703F4F" w:rsidP="008D48B7">
            <w:pPr>
              <w:spacing w:line="240" w:lineRule="auto"/>
              <w:ind w:firstLine="0"/>
              <w:rPr>
                <w:sz w:val="20"/>
                <w:szCs w:val="20"/>
              </w:rPr>
            </w:pPr>
            <w:r w:rsidRPr="008D48B7">
              <w:rPr>
                <w:sz w:val="20"/>
                <w:szCs w:val="20"/>
              </w:rPr>
              <w:t xml:space="preserve">Are “Black people – negative” </w:t>
            </w:r>
            <w:r w:rsidRPr="008D48B7">
              <w:rPr>
                <w:i/>
                <w:sz w:val="20"/>
                <w:szCs w:val="20"/>
              </w:rPr>
              <w:t>D</w:t>
            </w:r>
            <w:r w:rsidRPr="008D48B7">
              <w:rPr>
                <w:sz w:val="20"/>
                <w:szCs w:val="20"/>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8D48B7" w:rsidRDefault="00703F4F" w:rsidP="008D48B7">
            <w:pPr>
              <w:spacing w:line="240" w:lineRule="auto"/>
              <w:ind w:firstLine="0"/>
              <w:rPr>
                <w:sz w:val="20"/>
                <w:szCs w:val="20"/>
              </w:rPr>
            </w:pPr>
            <w:r w:rsidRPr="008D48B7">
              <w:rPr>
                <w:sz w:val="20"/>
                <w:szCs w:val="20"/>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8D48B7" w:rsidRDefault="00703F4F" w:rsidP="008D48B7">
            <w:pPr>
              <w:spacing w:line="240" w:lineRule="auto"/>
              <w:ind w:firstLine="0"/>
              <w:rPr>
                <w:sz w:val="20"/>
                <w:szCs w:val="20"/>
              </w:rPr>
            </w:pPr>
            <w:r w:rsidRPr="008D48B7">
              <w:rPr>
                <w:i/>
                <w:sz w:val="20"/>
                <w:szCs w:val="20"/>
              </w:rPr>
              <w:t>Notes:</w:t>
            </w:r>
            <w:r w:rsidRPr="008D48B7">
              <w:rPr>
                <w:sz w:val="20"/>
                <w:szCs w:val="20"/>
              </w:rPr>
              <w:t xml:space="preserve"> Conclusions refers to the validity of substantive domain-level conclusions in light of the existence of the generic pattern among IRAP effects.</w:t>
            </w:r>
          </w:p>
        </w:tc>
      </w:tr>
    </w:tbl>
    <w:p w14:paraId="4032F66A" w14:textId="0FAA6A3F" w:rsidR="00222377" w:rsidRDefault="00222377" w:rsidP="003A10CA">
      <w:pPr>
        <w:sectPr w:rsidR="00222377" w:rsidSect="003A10CA">
          <w:pgSz w:w="16840" w:h="11900" w:orient="landscape" w:code="9"/>
          <w:pgMar w:top="1440" w:right="1440" w:bottom="1440" w:left="1440" w:header="720" w:footer="720" w:gutter="0"/>
          <w:cols w:space="340"/>
          <w:titlePg/>
          <w:docGrid w:linePitch="360"/>
        </w:sectPr>
      </w:pPr>
    </w:p>
    <w:p w14:paraId="473E1E29" w14:textId="56918F1D" w:rsidR="00703F4F" w:rsidRDefault="00703F4F" w:rsidP="003A10CA">
      <w:pPr>
        <w:sectPr w:rsidR="00703F4F" w:rsidSect="003A10CA">
          <w:type w:val="continuous"/>
          <w:pgSz w:w="16840" w:h="11900" w:orient="landscape" w:code="9"/>
          <w:pgMar w:top="1440" w:right="1440" w:bottom="1440" w:left="1440" w:header="720" w:footer="720" w:gutter="0"/>
          <w:cols w:space="340"/>
          <w:titlePg/>
          <w:docGrid w:linePitch="360"/>
        </w:sectPr>
      </w:pPr>
    </w:p>
    <w:p w14:paraId="18A6BF68" w14:textId="7EA696F3" w:rsidR="004B1564" w:rsidRDefault="004B1564" w:rsidP="003A10CA">
      <w:pPr>
        <w:rPr>
          <w:color w:val="FF0000"/>
        </w:rPr>
      </w:pPr>
      <w:r w:rsidRPr="005211F1">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 xml:space="preserve">data in turn. Table 1 provides a summary of the most common comparisons, research questions, analytic methods, and inferences from IRAP data, and the validity of such conclusions in light of the generic pattern. Figure </w:t>
      </w:r>
      <w:r>
        <w:rPr>
          <w:color w:val="000000" w:themeColor="text1"/>
        </w:rPr>
        <w:t>4</w:t>
      </w:r>
      <w:r w:rsidRPr="005211F1">
        <w:rPr>
          <w:color w:val="000000" w:themeColor="text1"/>
        </w:rPr>
        <w:t xml:space="preserve"> uses results from a hypothetical between-groups IRAP study to illustrates some of these common comparisons and the validity of their domain level conclusions</w:t>
      </w:r>
      <w:r>
        <w:t>.</w:t>
      </w:r>
    </w:p>
    <w:p w14:paraId="4DAEF44D" w14:textId="233DDAF4" w:rsidR="004B1564" w:rsidRDefault="004B1564" w:rsidP="003A10CA"/>
    <w:p w14:paraId="1705949D" w14:textId="2DB3B4DA" w:rsidR="00391300" w:rsidRPr="00532235" w:rsidRDefault="00391300" w:rsidP="0057776C">
      <w:pPr>
        <w:ind w:firstLine="0"/>
        <w:jc w:val="center"/>
      </w:pPr>
      <w:r>
        <w:rPr>
          <w:noProof/>
        </w:rPr>
        <w:drawing>
          <wp:inline distT="0" distB="0" distL="0" distR="0" wp14:anchorId="622DE9DB" wp14:editId="4D060E85">
            <wp:extent cx="5168348" cy="30152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stretch>
                      <a:fillRect/>
                    </a:stretch>
                  </pic:blipFill>
                  <pic:spPr>
                    <a:xfrm>
                      <a:off x="0" y="0"/>
                      <a:ext cx="5175551" cy="3019469"/>
                    </a:xfrm>
                    <a:prstGeom prst="rect">
                      <a:avLst/>
                    </a:prstGeom>
                  </pic:spPr>
                </pic:pic>
              </a:graphicData>
            </a:graphic>
          </wp:inline>
        </w:drawing>
      </w:r>
    </w:p>
    <w:p w14:paraId="479B7646" w14:textId="776A9207" w:rsidR="00B056A5" w:rsidRPr="008D48B7" w:rsidRDefault="00B056A5" w:rsidP="008D48B7">
      <w:pPr>
        <w:pStyle w:val="figuretitles"/>
      </w:pPr>
      <w:r w:rsidRPr="008D48B7">
        <w:rPr>
          <w:i/>
        </w:rPr>
        <w:t>Figure 4.</w:t>
      </w:r>
      <w:r w:rsidRPr="008D48B7">
        <w:t xml:space="preserve"> Statistical comparisons whose substantive conclusions are invalidated by the existence of the generic pattern among IRAP effects.</w:t>
      </w:r>
    </w:p>
    <w:p w14:paraId="72D487CC" w14:textId="77777777" w:rsidR="00B056A5" w:rsidRDefault="00B056A5" w:rsidP="003A10CA"/>
    <w:p w14:paraId="674AAE2A" w14:textId="142A066C" w:rsidR="000D4308" w:rsidRPr="005211F1" w:rsidRDefault="000D4308" w:rsidP="003A10CA">
      <w:r w:rsidRPr="005211F1">
        <w:t xml:space="preserve">It is useful to unpack the example comparisons made in Figure </w:t>
      </w:r>
      <w:r w:rsidR="00270B95">
        <w:t>4</w:t>
      </w:r>
      <w:r w:rsidRPr="005211F1">
        <w:t xml:space="preserve">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w:t>
      </w:r>
      <w:r w:rsidR="009F6CC6">
        <w:t xml:space="preserve"> (i.e., it is confounded)</w:t>
      </w:r>
      <w:r w:rsidRPr="005211F1">
        <w:t xml:space="preserve">.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tests) should be avoided when attempting to make substantive conclusions about the domain being assessed in an IRAP.</w:t>
      </w:r>
    </w:p>
    <w:p w14:paraId="37085EB2" w14:textId="77777777" w:rsidR="000D4308" w:rsidRPr="005211F1" w:rsidRDefault="000D4308" w:rsidP="003A10CA">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272619AF" w:rsidR="000D4308" w:rsidRPr="005211F1" w:rsidRDefault="000D4308" w:rsidP="003A10CA">
      <w:r w:rsidRPr="005211F1">
        <w:t>Finally, for the comparison labelled (c), a researcher might observe that mean effects on the ‘Black people – negative’ trial type were significantly different between control and 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w:t>
      </w:r>
      <w:r w:rsidR="00270B95">
        <w:t xml:space="preserve"> and</w:t>
      </w:r>
      <w:r w:rsidR="003C2CD4">
        <w:t xml:space="preserve"> Figure 4</w:t>
      </w:r>
      <w:r w:rsidRPr="005211F1">
        <w:t xml:space="preserve">). </w:t>
      </w:r>
    </w:p>
    <w:p w14:paraId="58806341" w14:textId="77777777" w:rsidR="000D4308" w:rsidRPr="005211F1" w:rsidRDefault="000D4308" w:rsidP="003A10CA">
      <w:r w:rsidRPr="005211F1">
        <w:t xml:space="preserve">Given that we have argued that many common analyses of IRAP data give rise to invalid results, it would seem important to assess the prevalence of such invalid inferences and conclusions in the published literature. While this is beyond the scope of the current article, a systematic review of the IRAP literature is being conducted to address this question. We readily admit that many articles we ourselves have written are likely to contain inferences and conclusions that we are now recognizing as invalid. </w:t>
      </w:r>
    </w:p>
    <w:p w14:paraId="506C94D2" w14:textId="77777777" w:rsidR="000D4308" w:rsidRPr="005211F1" w:rsidRDefault="000D4308" w:rsidP="003A10CA">
      <w:pPr>
        <w:pStyle w:val="Heading2"/>
      </w:pPr>
      <w:r w:rsidRPr="005211F1">
        <w:t>Conclusions</w:t>
      </w:r>
    </w:p>
    <w:p w14:paraId="70961ED1" w14:textId="091C4879" w:rsidR="000D4308" w:rsidRPr="005211F1" w:rsidRDefault="000D4308" w:rsidP="003A10CA">
      <w:r w:rsidRPr="005211F1">
        <w:t>Evidence from a large dataset of published and unpublished IRAP studies show that IRAPs examining very different domains – even those using non-words – demonstrate startlingly similar patterns of effects. This finding is in agreement with general conclusions of several recent articles that there is a generic pattern among IRAP effects. However, due to its large sample size</w:t>
      </w:r>
      <w:r w:rsidR="009F6CC6">
        <w:t xml:space="preserve"> relative to the existing IRAP literature</w:t>
      </w:r>
      <w:r w:rsidRPr="005211F1">
        <w:t>, this study is the first to quantify the generic pattern more precisely and to consider its implications for the valid</w:t>
      </w:r>
      <w:r w:rsidR="009F6CC6">
        <w:t xml:space="preserve"> interpretation</w:t>
      </w:r>
      <w:r w:rsidRPr="005211F1">
        <w:t xml:space="preserve">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it is intended to assess. This </w:t>
      </w:r>
      <w:r w:rsidR="009F6CC6">
        <w:t xml:space="preserve">represents a serious confound and </w:t>
      </w:r>
      <w:r w:rsidRPr="005211F1">
        <w:t xml:space="preserve">has negative implications for the published literature: multiple common analyses of IRAP data are likely to produce invalid domain level conclusions. There is therefore a strong need to systematically evaluate the prevalence of these types of analyses and invalid inferences in the published IRAP literature. </w:t>
      </w:r>
    </w:p>
    <w:p w14:paraId="37AA4053" w14:textId="77777777" w:rsidR="008D48B7" w:rsidRDefault="008D48B7">
      <w:pPr>
        <w:jc w:val="left"/>
        <w:rPr>
          <w:rFonts w:eastAsiaTheme="majorEastAsia" w:cstheme="majorBidi"/>
          <w:b/>
          <w:bCs/>
        </w:rPr>
      </w:pPr>
      <w:r>
        <w:br w:type="page"/>
      </w:r>
    </w:p>
    <w:p w14:paraId="4A2932A8" w14:textId="19323F11" w:rsidR="000D4308" w:rsidRPr="005211F1" w:rsidRDefault="000D4308" w:rsidP="003A10CA">
      <w:pPr>
        <w:pStyle w:val="Heading1"/>
      </w:pPr>
      <w:r w:rsidRPr="005211F1">
        <w:t>References</w:t>
      </w:r>
    </w:p>
    <w:p w14:paraId="3DF7386C" w14:textId="77777777" w:rsidR="00D12214" w:rsidRPr="00D12214" w:rsidRDefault="000D4308" w:rsidP="008D48B7">
      <w:pPr>
        <w:pStyle w:val="Bibliography"/>
      </w:pPr>
      <w:r w:rsidRPr="005211F1">
        <w:t xml:space="preserve"> </w:t>
      </w:r>
      <w:r w:rsidRPr="005211F1">
        <w:fldChar w:fldCharType="begin"/>
      </w:r>
      <w:r w:rsidR="00D12214">
        <w:instrText xml:space="preserve"> ADDIN ZOTERO_BIBL {"uncited":[],"omitted":[],"custom":[]} CSL_BIBLIOGRAPHY </w:instrText>
      </w:r>
      <w:r w:rsidRPr="005211F1">
        <w:fldChar w:fldCharType="separate"/>
      </w:r>
      <w:r w:rsidR="00D12214" w:rsidRPr="00D12214">
        <w:t xml:space="preserve">Barnes-Holmes, D., Barnes-Holmes, Y., Stewart, I., &amp; Boles, S. (2010). A sketch of the Implicit Relational Assessment Procedure (IRAP) and the Relational Elaboration and Coherence (REC) model. </w:t>
      </w:r>
      <w:r w:rsidR="00D12214" w:rsidRPr="00D12214">
        <w:rPr>
          <w:i/>
          <w:iCs/>
        </w:rPr>
        <w:t>The Psychological Record</w:t>
      </w:r>
      <w:r w:rsidR="00D12214" w:rsidRPr="00D12214">
        <w:t xml:space="preserve">, </w:t>
      </w:r>
      <w:r w:rsidR="00D12214" w:rsidRPr="00D12214">
        <w:rPr>
          <w:i/>
          <w:iCs/>
        </w:rPr>
        <w:t>60</w:t>
      </w:r>
      <w:r w:rsidR="00D12214" w:rsidRPr="00D12214">
        <w:t>, 527–542.</w:t>
      </w:r>
    </w:p>
    <w:p w14:paraId="503C5875" w14:textId="77777777" w:rsidR="00D12214" w:rsidRPr="00D12214" w:rsidRDefault="00D12214" w:rsidP="008D48B7">
      <w:pPr>
        <w:pStyle w:val="Bibliography"/>
      </w:pPr>
      <w:r w:rsidRPr="00D12214">
        <w:t xml:space="preserve">Barnes-Holmes, D., &amp; Hussey, I. (2016). The functional-cognitive meta-theoretical framework: Reflections, possible clarifications and how to move forward. </w:t>
      </w:r>
      <w:r w:rsidRPr="00D12214">
        <w:rPr>
          <w:i/>
          <w:iCs/>
        </w:rPr>
        <w:t>International Journal of Psychology</w:t>
      </w:r>
      <w:r w:rsidRPr="00D12214">
        <w:t xml:space="preserve">, </w:t>
      </w:r>
      <w:r w:rsidRPr="00D12214">
        <w:rPr>
          <w:i/>
          <w:iCs/>
        </w:rPr>
        <w:t>51</w:t>
      </w:r>
      <w:r w:rsidRPr="00D12214">
        <w:t>(1), 50–57. https://doi.org/10.1002/ijop.12166</w:t>
      </w:r>
    </w:p>
    <w:p w14:paraId="361A5673" w14:textId="77777777" w:rsidR="00D12214" w:rsidRPr="00D12214" w:rsidRDefault="00D12214" w:rsidP="008D48B7">
      <w:pPr>
        <w:pStyle w:val="Bibliography"/>
      </w:pPr>
      <w:r w:rsidRPr="00D12214">
        <w:t xml:space="preserve">Bates, D., Mächler, M., Bolker, B., &amp; Walker, S. (2015). Fitting Linear Mixed-Effects Models Using lme4. </w:t>
      </w:r>
      <w:r w:rsidRPr="00D12214">
        <w:rPr>
          <w:i/>
          <w:iCs/>
        </w:rPr>
        <w:t>Journal of Statistical Software</w:t>
      </w:r>
      <w:r w:rsidRPr="00D12214">
        <w:t xml:space="preserve">, </w:t>
      </w:r>
      <w:r w:rsidRPr="00D12214">
        <w:rPr>
          <w:i/>
          <w:iCs/>
        </w:rPr>
        <w:t>67</w:t>
      </w:r>
      <w:r w:rsidRPr="00D12214">
        <w:t>(1), 1–48. https://doi.org/10.18637/jss.v067.i01</w:t>
      </w:r>
    </w:p>
    <w:p w14:paraId="2B733A5E" w14:textId="77777777" w:rsidR="00D12214" w:rsidRPr="00D12214" w:rsidRDefault="00D12214" w:rsidP="008D48B7">
      <w:pPr>
        <w:pStyle w:val="Bibliography"/>
      </w:pPr>
      <w:r w:rsidRPr="00D12214">
        <w:t xml:space="preserve">Blanton, H., &amp; Jaccard, J. (2006). Arbitrary metrics in psychology. </w:t>
      </w:r>
      <w:r w:rsidRPr="00D12214">
        <w:rPr>
          <w:i/>
          <w:iCs/>
        </w:rPr>
        <w:t>American Psychologist</w:t>
      </w:r>
      <w:r w:rsidRPr="00D12214">
        <w:t xml:space="preserve">, </w:t>
      </w:r>
      <w:r w:rsidRPr="00D12214">
        <w:rPr>
          <w:i/>
          <w:iCs/>
        </w:rPr>
        <w:t>61</w:t>
      </w:r>
      <w:r w:rsidRPr="00D12214">
        <w:t>(1), 27–41. https://doi.org/10.1037/0003-066X.61.1.27</w:t>
      </w:r>
    </w:p>
    <w:p w14:paraId="7E92F1A6" w14:textId="77777777" w:rsidR="00D12214" w:rsidRPr="00D12214" w:rsidRDefault="00D12214" w:rsidP="008D48B7">
      <w:pPr>
        <w:pStyle w:val="Bibliography"/>
      </w:pPr>
      <w:r w:rsidRPr="00D12214">
        <w:t xml:space="preserve">Finn, M., Barnes-Holmes, D., Hussey, I., &amp; Graddy, J. (2016). Exploring the behavioral dynamics of the implicit relational assessment procedure: The impact of three types of introductory rules. </w:t>
      </w:r>
      <w:r w:rsidRPr="00D12214">
        <w:rPr>
          <w:i/>
          <w:iCs/>
        </w:rPr>
        <w:t>The Psychological Record</w:t>
      </w:r>
      <w:r w:rsidRPr="00D12214">
        <w:t xml:space="preserve">, </w:t>
      </w:r>
      <w:r w:rsidRPr="00D12214">
        <w:rPr>
          <w:i/>
          <w:iCs/>
        </w:rPr>
        <w:t>66</w:t>
      </w:r>
      <w:r w:rsidRPr="00D12214">
        <w:t>(2), 309–321. https://doi.org/10.1007/s40732-016-0173-4</w:t>
      </w:r>
    </w:p>
    <w:p w14:paraId="664D74C6" w14:textId="77777777" w:rsidR="00D12214" w:rsidRPr="00D12214" w:rsidRDefault="00D12214" w:rsidP="008D48B7">
      <w:pPr>
        <w:pStyle w:val="Bibliography"/>
      </w:pPr>
      <w:r w:rsidRPr="00D12214">
        <w:t xml:space="preserve">Finn, M., Barnes-Holmes, D., &amp; McEnteggart, C. (2018). Exploring the single-trial-type-dominance-effect in the IRAP: Developing a differential arbitrarily applicable relational responding effects (DAARRE) model. </w:t>
      </w:r>
      <w:r w:rsidRPr="00D12214">
        <w:rPr>
          <w:i/>
          <w:iCs/>
        </w:rPr>
        <w:t>The Psychological Record</w:t>
      </w:r>
      <w:r w:rsidRPr="00D12214">
        <w:t xml:space="preserve">, </w:t>
      </w:r>
      <w:r w:rsidRPr="00D12214">
        <w:rPr>
          <w:i/>
          <w:iCs/>
        </w:rPr>
        <w:t>68</w:t>
      </w:r>
      <w:r w:rsidRPr="00D12214">
        <w:t>(1), 11–25. https://doi.org/10.1007/s40732-017-0262-z</w:t>
      </w:r>
    </w:p>
    <w:p w14:paraId="4485B95B" w14:textId="77777777" w:rsidR="00D12214" w:rsidRPr="00D12214" w:rsidRDefault="00D12214" w:rsidP="008D48B7">
      <w:pPr>
        <w:pStyle w:val="Bibliography"/>
      </w:pPr>
      <w:r w:rsidRPr="00D12214">
        <w:t xml:space="preserve">Gawronski, B., &amp; De Houwer, J. (2011). Implicit measures in social and personality psychology. In C. M. Judd (Ed.), </w:t>
      </w:r>
      <w:r w:rsidRPr="00D12214">
        <w:rPr>
          <w:i/>
          <w:iCs/>
        </w:rPr>
        <w:t>Handbook of research methods in social and personality psychology</w:t>
      </w:r>
      <w:r w:rsidRPr="00D12214">
        <w:t xml:space="preserve"> (Vol. 2). Cambridge University Press. 10.1017/CBO9780511996481.016</w:t>
      </w:r>
    </w:p>
    <w:p w14:paraId="5924A156" w14:textId="77777777" w:rsidR="00D12214" w:rsidRPr="00D12214" w:rsidRDefault="00D12214" w:rsidP="008D48B7">
      <w:pPr>
        <w:pStyle w:val="Bibliography"/>
      </w:pPr>
      <w:r w:rsidRPr="00D12214">
        <w:t xml:space="preserve">Greenwald, A. G., &amp; Lai, C. K. (2020). Implicit Social Cognition. </w:t>
      </w:r>
      <w:r w:rsidRPr="00D12214">
        <w:rPr>
          <w:i/>
          <w:iCs/>
        </w:rPr>
        <w:t>Annual Review of Psychology</w:t>
      </w:r>
      <w:r w:rsidRPr="00D12214">
        <w:t xml:space="preserve">, </w:t>
      </w:r>
      <w:r w:rsidRPr="00D12214">
        <w:rPr>
          <w:i/>
          <w:iCs/>
        </w:rPr>
        <w:t>71</w:t>
      </w:r>
      <w:r w:rsidRPr="00D12214">
        <w:t>(1), 419–445. https://doi.org/10.1146/annurev-psych-010419-050837</w:t>
      </w:r>
    </w:p>
    <w:p w14:paraId="6D4E52CE" w14:textId="77777777" w:rsidR="00D12214" w:rsidRPr="00D12214" w:rsidRDefault="00D12214" w:rsidP="008D48B7">
      <w:pPr>
        <w:pStyle w:val="Bibliography"/>
      </w:pPr>
      <w:r w:rsidRPr="00D12214">
        <w:t xml:space="preserve">Hughes, S., Barnes-Holmes, D., &amp; De Houwer, J. (2011). The dominance of associative theorizing in implicit attitude research: Propositional and behavioral alternatives. </w:t>
      </w:r>
      <w:r w:rsidRPr="00D12214">
        <w:rPr>
          <w:i/>
          <w:iCs/>
        </w:rPr>
        <w:t>The Psychological Record</w:t>
      </w:r>
      <w:r w:rsidRPr="00D12214">
        <w:t xml:space="preserve">, </w:t>
      </w:r>
      <w:r w:rsidRPr="00D12214">
        <w:rPr>
          <w:i/>
          <w:iCs/>
        </w:rPr>
        <w:t>61</w:t>
      </w:r>
      <w:r w:rsidRPr="00D12214">
        <w:t>(3), 465–498.</w:t>
      </w:r>
    </w:p>
    <w:p w14:paraId="70CB9E9F" w14:textId="77777777" w:rsidR="00D12214" w:rsidRPr="00D12214" w:rsidRDefault="00D12214" w:rsidP="008D48B7">
      <w:pPr>
        <w:pStyle w:val="Bibliography"/>
      </w:pPr>
      <w:r w:rsidRPr="00D12214">
        <w:t xml:space="preserve">Hughes, S., Barnes-Holmes, D., &amp; Vahey, N. A. (2012). Holding on to our functional roots when exploring new intellectual islands: A voyage through implicit cognition </w:t>
      </w:r>
      <w:r w:rsidRPr="003952F7">
        <w:t>research</w:t>
      </w:r>
      <w:r w:rsidRPr="00D12214">
        <w:t xml:space="preserve">. </w:t>
      </w:r>
      <w:r w:rsidRPr="00D12214">
        <w:rPr>
          <w:i/>
          <w:iCs/>
        </w:rPr>
        <w:t>Journal of Contextual Behavioral Science</w:t>
      </w:r>
      <w:r w:rsidRPr="00D12214">
        <w:t xml:space="preserve">, </w:t>
      </w:r>
      <w:r w:rsidRPr="00D12214">
        <w:rPr>
          <w:i/>
          <w:iCs/>
        </w:rPr>
        <w:t>1</w:t>
      </w:r>
      <w:r w:rsidRPr="00D12214">
        <w:t>(1–2), 17–38. https://doi.org/10.1016/j.jcbs.2012.09.003</w:t>
      </w:r>
    </w:p>
    <w:p w14:paraId="4E912848" w14:textId="77777777" w:rsidR="00D12214" w:rsidRPr="00D12214" w:rsidRDefault="00D12214" w:rsidP="008D48B7">
      <w:pPr>
        <w:pStyle w:val="Bibliography"/>
      </w:pPr>
      <w:r w:rsidRPr="00D12214">
        <w:t xml:space="preserve">Hussey, I. (2020). The IRAP is not suitable for individual use due to very wide confidence intervals around D scores. </w:t>
      </w:r>
      <w:r w:rsidRPr="00D12214">
        <w:rPr>
          <w:i/>
          <w:iCs/>
        </w:rPr>
        <w:t>Preprint</w:t>
      </w:r>
      <w:r w:rsidRPr="00D12214">
        <w:t>. https://doi.org/10.31234/osf.io/w2ygr</w:t>
      </w:r>
    </w:p>
    <w:p w14:paraId="31C32900" w14:textId="77777777" w:rsidR="00D12214" w:rsidRPr="00D12214" w:rsidRDefault="00D12214" w:rsidP="008D48B7">
      <w:pPr>
        <w:pStyle w:val="Bibliography"/>
      </w:pPr>
      <w:r w:rsidRPr="00D12214">
        <w:t xml:space="preserve">Hussey, I., Daly, T., &amp; Barnes-Holmes, D. (2015). Life is Good, But Death Ain’t Bad Either: Counter-Intuitive Implicit Biases to Death in a Normative Population. </w:t>
      </w:r>
      <w:r w:rsidRPr="00D12214">
        <w:rPr>
          <w:i/>
          <w:iCs/>
        </w:rPr>
        <w:t>The Psychological Record</w:t>
      </w:r>
      <w:r w:rsidRPr="00D12214">
        <w:t xml:space="preserve">, </w:t>
      </w:r>
      <w:r w:rsidRPr="00D12214">
        <w:rPr>
          <w:i/>
          <w:iCs/>
        </w:rPr>
        <w:t>65</w:t>
      </w:r>
      <w:r w:rsidRPr="00D12214">
        <w:t>(4), 731–742. https://doi.org/10.1007/s40732-015-0142-3</w:t>
      </w:r>
    </w:p>
    <w:p w14:paraId="2708AC7C" w14:textId="77777777" w:rsidR="00D12214" w:rsidRPr="00D12214" w:rsidRDefault="00D12214" w:rsidP="008D48B7">
      <w:pPr>
        <w:pStyle w:val="Bibliography"/>
      </w:pPr>
      <w:r w:rsidRPr="00D12214">
        <w:t xml:space="preserve">Hussey, I., &amp; Drake, C. E. (2020). The Implicit Relational Assessment Procedure demonstrates poor internal consistency and test-retest reliability: A meta-analysis. </w:t>
      </w:r>
      <w:r w:rsidRPr="00D12214">
        <w:rPr>
          <w:i/>
          <w:iCs/>
        </w:rPr>
        <w:t>Preprint</w:t>
      </w:r>
      <w:r w:rsidRPr="00D12214">
        <w:t>. https://doi.org/10.31234/osf.io/ge3k7</w:t>
      </w:r>
    </w:p>
    <w:p w14:paraId="12CDCF77" w14:textId="77777777" w:rsidR="00D12214" w:rsidRPr="00D12214" w:rsidRDefault="00D12214" w:rsidP="008D48B7">
      <w:pPr>
        <w:pStyle w:val="Bibliography"/>
      </w:pPr>
      <w:r w:rsidRPr="00D12214">
        <w:t xml:space="preserve">Hussey, I., Thompson, M., McEnteggart, C., Barnes-Holmes, D., &amp; Barnes-Holmes, Y. (2015). Interpreting and inverting with less cursing: A guide to interpreting IRAP data. </w:t>
      </w:r>
      <w:r w:rsidRPr="00D12214">
        <w:rPr>
          <w:i/>
          <w:iCs/>
        </w:rPr>
        <w:t>Journal of Contextual Behavioral Science</w:t>
      </w:r>
      <w:r w:rsidRPr="00D12214">
        <w:t xml:space="preserve">, </w:t>
      </w:r>
      <w:r w:rsidRPr="00D12214">
        <w:rPr>
          <w:i/>
          <w:iCs/>
        </w:rPr>
        <w:t>4</w:t>
      </w:r>
      <w:r w:rsidRPr="00D12214">
        <w:t>(3), 157–162. https://doi.org/10.1016/j.jcbs.2015.05.001</w:t>
      </w:r>
    </w:p>
    <w:p w14:paraId="7C9CC777" w14:textId="77777777" w:rsidR="00D12214" w:rsidRPr="00D12214" w:rsidRDefault="00D12214" w:rsidP="008D48B7">
      <w:pPr>
        <w:pStyle w:val="Bibliography"/>
      </w:pPr>
      <w:r w:rsidRPr="00D12214">
        <w:t xml:space="preserve">Lakens, D. (2013). Calculating and reporting effect sizes to facilitate cumulative science: A practical primer for t-tests and ANOVAs. </w:t>
      </w:r>
      <w:r w:rsidRPr="00D12214">
        <w:rPr>
          <w:i/>
          <w:iCs/>
        </w:rPr>
        <w:t>Frontiers in Psychology</w:t>
      </w:r>
      <w:r w:rsidRPr="00D12214">
        <w:t xml:space="preserve">, </w:t>
      </w:r>
      <w:r w:rsidRPr="00D12214">
        <w:rPr>
          <w:i/>
          <w:iCs/>
        </w:rPr>
        <w:t>4</w:t>
      </w:r>
      <w:r w:rsidRPr="00D12214">
        <w:t>. https://doi.org/10.3389/fpsyg.2013.00863</w:t>
      </w:r>
    </w:p>
    <w:p w14:paraId="259D2C20" w14:textId="77777777" w:rsidR="00D12214" w:rsidRPr="00D12214" w:rsidRDefault="00D12214" w:rsidP="008D48B7">
      <w:pPr>
        <w:pStyle w:val="Bibliography"/>
      </w:pPr>
      <w:r w:rsidRPr="00D12214">
        <w:t xml:space="preserve">Lawrence, M. A. (2016). </w:t>
      </w:r>
      <w:r w:rsidRPr="00D12214">
        <w:rPr>
          <w:i/>
          <w:iCs/>
        </w:rPr>
        <w:t>ez: Easy Analysis and Visualization of Factorial Experiments</w:t>
      </w:r>
      <w:r w:rsidRPr="00D12214">
        <w:t>. https://CRAN.R-project.org/package=ez</w:t>
      </w:r>
    </w:p>
    <w:p w14:paraId="19B27FE6" w14:textId="77777777" w:rsidR="00D12214" w:rsidRPr="00D12214" w:rsidRDefault="00D12214" w:rsidP="008D48B7">
      <w:pPr>
        <w:pStyle w:val="Bibliography"/>
      </w:pPr>
      <w:r w:rsidRPr="00D12214">
        <w:t xml:space="preserve">Nosek, B. A., Hawkins, C. B., &amp; Frazier, R. S. (2011). Implicit social cognition: From measures to mechanisms. </w:t>
      </w:r>
      <w:r w:rsidRPr="00D12214">
        <w:rPr>
          <w:i/>
          <w:iCs/>
        </w:rPr>
        <w:t>Trends in Cognitive Sciences</w:t>
      </w:r>
      <w:r w:rsidRPr="00D12214">
        <w:t xml:space="preserve">, </w:t>
      </w:r>
      <w:r w:rsidRPr="00D12214">
        <w:rPr>
          <w:i/>
          <w:iCs/>
        </w:rPr>
        <w:t>15</w:t>
      </w:r>
      <w:r w:rsidRPr="00D12214">
        <w:t>(4), 152–159. https://doi.org/10.1016/j.tics.2011.01.005</w:t>
      </w:r>
    </w:p>
    <w:p w14:paraId="6FE15DD6" w14:textId="77777777" w:rsidR="00D12214" w:rsidRPr="00D12214" w:rsidRDefault="00D12214" w:rsidP="008D48B7">
      <w:pPr>
        <w:pStyle w:val="Bibliography"/>
      </w:pPr>
      <w:r w:rsidRPr="00D12214">
        <w:t xml:space="preserve">O’Shea, B., Watson, D. G., &amp; Brown, G. D. A. (2016). Measuring implicit attitudes: A positive framing bias flaw in the Implicit Relational Assessment Procedure (IRAP). </w:t>
      </w:r>
      <w:r w:rsidRPr="00D12214">
        <w:rPr>
          <w:i/>
          <w:iCs/>
        </w:rPr>
        <w:t>Psychological Assessment</w:t>
      </w:r>
      <w:r w:rsidRPr="00D12214">
        <w:t xml:space="preserve">, </w:t>
      </w:r>
      <w:r w:rsidRPr="00D12214">
        <w:rPr>
          <w:i/>
          <w:iCs/>
        </w:rPr>
        <w:t>28</w:t>
      </w:r>
      <w:r w:rsidRPr="00D12214">
        <w:t>(2), 158–170. https://doi.org/10.1037/pas0000172</w:t>
      </w:r>
    </w:p>
    <w:p w14:paraId="33D9DF4B" w14:textId="77777777" w:rsidR="00D12214" w:rsidRPr="00D12214" w:rsidRDefault="00D12214" w:rsidP="008D48B7">
      <w:pPr>
        <w:pStyle w:val="Bibliography"/>
      </w:pPr>
      <w:r w:rsidRPr="00D12214">
        <w:t xml:space="preserve">Pfister, R., &amp; Janczyk, M. (2019). </w:t>
      </w:r>
      <w:r w:rsidRPr="00D12214">
        <w:rPr>
          <w:i/>
          <w:iCs/>
        </w:rPr>
        <w:t>schoRsch: Tools for Analyzing Factorial Experiments</w:t>
      </w:r>
      <w:r w:rsidRPr="00D12214">
        <w:t xml:space="preserve"> (1.7). https://CRAN.R-project.org/package=schoRsch</w:t>
      </w:r>
    </w:p>
    <w:p w14:paraId="48580029" w14:textId="77777777" w:rsidR="00D12214" w:rsidRPr="00D12214" w:rsidRDefault="00D12214" w:rsidP="008D48B7">
      <w:pPr>
        <w:pStyle w:val="Bibliography"/>
      </w:pPr>
      <w:r w:rsidRPr="00D12214">
        <w:t xml:space="preserve">R Core Team. (2022). </w:t>
      </w:r>
      <w:r w:rsidRPr="00D12214">
        <w:rPr>
          <w:i/>
          <w:iCs/>
        </w:rPr>
        <w:t>R: A language and environment for statistical computing</w:t>
      </w:r>
      <w:r w:rsidRPr="00D12214">
        <w:t xml:space="preserve"> (4.2). R Foundation for Statistical Computing. https://www.R-project.org/</w:t>
      </w:r>
    </w:p>
    <w:p w14:paraId="730AFC68" w14:textId="77777777" w:rsidR="00D12214" w:rsidRPr="00D12214" w:rsidRDefault="00D12214" w:rsidP="008D48B7">
      <w:pPr>
        <w:pStyle w:val="Bibliography"/>
      </w:pPr>
      <w:r w:rsidRPr="00D12214">
        <w:t xml:space="preserve">Ratcliff, R. (1993). Methods for dealing with reaction time outliers. </w:t>
      </w:r>
      <w:r w:rsidRPr="00D12214">
        <w:rPr>
          <w:i/>
          <w:iCs/>
        </w:rPr>
        <w:t>Psychological Bulletin</w:t>
      </w:r>
      <w:r w:rsidRPr="00D12214">
        <w:t xml:space="preserve">, </w:t>
      </w:r>
      <w:r w:rsidRPr="00D12214">
        <w:rPr>
          <w:i/>
          <w:iCs/>
        </w:rPr>
        <w:t>114</w:t>
      </w:r>
      <w:r w:rsidRPr="00D12214">
        <w:t>(4), 510–532. https://doi.org/10.1037/0033-2909.114.3.510</w:t>
      </w:r>
    </w:p>
    <w:p w14:paraId="078227FB" w14:textId="77777777" w:rsidR="00D12214" w:rsidRPr="00D12214" w:rsidRDefault="00D12214" w:rsidP="008D48B7">
      <w:pPr>
        <w:pStyle w:val="Bibliography"/>
      </w:pPr>
      <w:r w:rsidRPr="00D12214">
        <w:t xml:space="preserve">Remue, J., De Houwer, J., Barnes-Holmes, D., Vanderhasselt, M. A., &amp; De Raedt, R. (2013). Self-esteem revisited: Performance on the implicit relational assessment procedure as a measure of self-versus ideal self-related cognitions in dysphoria. </w:t>
      </w:r>
      <w:r w:rsidRPr="00D12214">
        <w:rPr>
          <w:i/>
          <w:iCs/>
        </w:rPr>
        <w:t>Cognition &amp; Emotion</w:t>
      </w:r>
      <w:r w:rsidRPr="00D12214">
        <w:t xml:space="preserve">, </w:t>
      </w:r>
      <w:r w:rsidRPr="00D12214">
        <w:rPr>
          <w:i/>
          <w:iCs/>
        </w:rPr>
        <w:t>27</w:t>
      </w:r>
      <w:r w:rsidRPr="00D12214">
        <w:t>(8), 1441–1449. https://doi.org/10.1080/02699931.2013.786681</w:t>
      </w:r>
    </w:p>
    <w:p w14:paraId="274487F3" w14:textId="77777777" w:rsidR="00D12214" w:rsidRPr="00D12214" w:rsidRDefault="00D12214" w:rsidP="008D48B7">
      <w:pPr>
        <w:pStyle w:val="Bibliography"/>
      </w:pPr>
      <w:r w:rsidRPr="00D12214">
        <w:t xml:space="preserve">Remue, J., Hughes, S., De Houwer, J., &amp; De Raedt, R. (2014). To Be or Want to Be: Disentangling the Role of Actual versus Ideal Self in Implicit Self-Esteem. </w:t>
      </w:r>
      <w:r w:rsidRPr="00D12214">
        <w:rPr>
          <w:i/>
          <w:iCs/>
        </w:rPr>
        <w:t>PLoS ONE</w:t>
      </w:r>
      <w:r w:rsidRPr="00D12214">
        <w:t xml:space="preserve">, </w:t>
      </w:r>
      <w:r w:rsidRPr="00D12214">
        <w:rPr>
          <w:i/>
          <w:iCs/>
        </w:rPr>
        <w:t>9</w:t>
      </w:r>
      <w:r w:rsidRPr="00D12214">
        <w:t>(9), e108837. https://doi.org/10.1371/journal.pone.0108837</w:t>
      </w:r>
    </w:p>
    <w:p w14:paraId="0B203EDC" w14:textId="77777777" w:rsidR="00D12214" w:rsidRPr="00D12214" w:rsidRDefault="00D12214" w:rsidP="008D48B7">
      <w:pPr>
        <w:pStyle w:val="Bibliography"/>
      </w:pPr>
      <w:r w:rsidRPr="00D12214">
        <w:t xml:space="preserve">Simmons, J. P., Nelson, L. D., &amp; Simonsohn, U. (2012). </w:t>
      </w:r>
      <w:r w:rsidRPr="00D12214">
        <w:rPr>
          <w:i/>
          <w:iCs/>
        </w:rPr>
        <w:t>A 21 word solution</w:t>
      </w:r>
      <w:r w:rsidRPr="00D12214">
        <w:t>. Social Science Research Network. http://papers.ssrn.com/abstract=2160588</w:t>
      </w:r>
    </w:p>
    <w:p w14:paraId="6F183FA2" w14:textId="77777777" w:rsidR="00D12214" w:rsidRPr="008D48B7" w:rsidRDefault="00D12214" w:rsidP="008D48B7">
      <w:pPr>
        <w:pStyle w:val="Bibliography"/>
      </w:pPr>
      <w:r w:rsidRPr="008D48B7">
        <w:t>Whelan, R. (2008). Effective analysis of reaction time data. The Psychological Record, 58(3), 475–482.</w:t>
      </w:r>
    </w:p>
    <w:p w14:paraId="65151D28" w14:textId="77777777" w:rsidR="000D4308" w:rsidRDefault="000D4308" w:rsidP="008569DC">
      <w:pPr>
        <w:ind w:firstLine="0"/>
      </w:pPr>
      <w:r w:rsidRPr="005211F1">
        <w:fldChar w:fldCharType="end"/>
      </w:r>
    </w:p>
    <w:p w14:paraId="61BE35A5" w14:textId="536F05B7" w:rsidR="004559D9" w:rsidRPr="005211F1" w:rsidRDefault="004559D9" w:rsidP="008569DC">
      <w:pPr>
        <w:pStyle w:val="Bibliography"/>
        <w:ind w:left="0" w:firstLine="0"/>
      </w:pPr>
    </w:p>
    <w:sectPr w:rsidR="004559D9" w:rsidRPr="005211F1" w:rsidSect="003A10CA">
      <w:pgSz w:w="11900" w:h="16840" w:code="9"/>
      <w:pgMar w:top="1440" w:right="1440" w:bottom="1440" w:left="1440" w:header="720" w:footer="720" w:gutter="0"/>
      <w:cols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FB350" w14:textId="77777777" w:rsidR="000D1098" w:rsidRDefault="000D1098" w:rsidP="003A10CA">
      <w:r>
        <w:separator/>
      </w:r>
    </w:p>
  </w:endnote>
  <w:endnote w:type="continuationSeparator" w:id="0">
    <w:p w14:paraId="05805818" w14:textId="77777777" w:rsidR="000D1098" w:rsidRDefault="000D1098" w:rsidP="003A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3A10C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rsidP="003A1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C254" w14:textId="2163122F" w:rsidR="00756773" w:rsidRDefault="00756773" w:rsidP="003A10CA">
    <w:pPr>
      <w:pStyle w:val="Footer"/>
      <w:rPr>
        <w:rStyle w:val="PageNumber"/>
      </w:rPr>
    </w:pPr>
  </w:p>
  <w:p w14:paraId="763AF29D" w14:textId="77777777" w:rsidR="00756773" w:rsidRDefault="00756773" w:rsidP="003A10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4D8E" w14:textId="6CF40912" w:rsidR="00EA2804" w:rsidRDefault="00EA2804" w:rsidP="003A10CA">
    <w:pPr>
      <w:pStyle w:val="Footer"/>
      <w:rPr>
        <w:rStyle w:val="PageNumber"/>
      </w:rPr>
    </w:pPr>
  </w:p>
  <w:p w14:paraId="2CF5120E" w14:textId="77777777" w:rsidR="00EA2804" w:rsidRDefault="00EA2804" w:rsidP="003A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F386" w14:textId="77777777" w:rsidR="000D1098" w:rsidRDefault="000D1098" w:rsidP="003A10CA">
      <w:r>
        <w:separator/>
      </w:r>
    </w:p>
  </w:footnote>
  <w:footnote w:type="continuationSeparator" w:id="0">
    <w:p w14:paraId="24AABFC1" w14:textId="77777777" w:rsidR="000D1098" w:rsidRDefault="000D1098" w:rsidP="003A1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746812"/>
      <w:docPartObj>
        <w:docPartGallery w:val="Page Numbers (Top of Page)"/>
        <w:docPartUnique/>
      </w:docPartObj>
    </w:sdtPr>
    <w:sdtContent>
      <w:p w14:paraId="3A9D5CE5" w14:textId="46DA6AAB"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307CEA" w14:textId="77777777" w:rsidR="008D48B7" w:rsidRDefault="008D48B7" w:rsidP="008D48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369664"/>
      <w:docPartObj>
        <w:docPartGallery w:val="Page Numbers (Top of Page)"/>
        <w:docPartUnique/>
      </w:docPartObj>
    </w:sdtPr>
    <w:sdtContent>
      <w:p w14:paraId="443AF3CB" w14:textId="4945B26F"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680C79" w14:textId="7546A3EA" w:rsidR="008D48B7" w:rsidRPr="008D48B7" w:rsidRDefault="008D48B7" w:rsidP="008D48B7">
    <w:pPr>
      <w:pStyle w:val="Header"/>
      <w:ind w:right="360"/>
      <w:rPr>
        <w:lang w:val="en-IE"/>
      </w:rPr>
    </w:pPr>
    <w:r>
      <w:rPr>
        <w:lang w:val="en-IE"/>
      </w:rPr>
      <w:t xml:space="preserve">IRAP COUNFOUND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7775316"/>
      <w:docPartObj>
        <w:docPartGallery w:val="Page Numbers (Top of Page)"/>
        <w:docPartUnique/>
      </w:docPartObj>
    </w:sdtPr>
    <w:sdtContent>
      <w:p w14:paraId="01D1E031" w14:textId="4356D56E"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0BBA2F" w14:textId="7D34E8D6" w:rsidR="008D48B7" w:rsidRPr="008D48B7" w:rsidRDefault="008D48B7" w:rsidP="008D48B7">
    <w:pPr>
      <w:pStyle w:val="Header"/>
      <w:ind w:right="360"/>
      <w:rPr>
        <w:lang w:val="en-IE"/>
      </w:rPr>
    </w:pPr>
    <w:r>
      <w:rPr>
        <w:lang w:val="en-IE"/>
      </w:rPr>
      <w:t xml:space="preserve">IRAP COUNFOUND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0308"/>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4A2E"/>
    <w:rsid w:val="000B548E"/>
    <w:rsid w:val="000B5863"/>
    <w:rsid w:val="000C3871"/>
    <w:rsid w:val="000C5460"/>
    <w:rsid w:val="000C5D1B"/>
    <w:rsid w:val="000C64D0"/>
    <w:rsid w:val="000D1098"/>
    <w:rsid w:val="000D1C63"/>
    <w:rsid w:val="000D4308"/>
    <w:rsid w:val="000D4764"/>
    <w:rsid w:val="000D4879"/>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C6BD6"/>
    <w:rsid w:val="002D0E07"/>
    <w:rsid w:val="002D0F80"/>
    <w:rsid w:val="002D4B59"/>
    <w:rsid w:val="002D5108"/>
    <w:rsid w:val="002D6E71"/>
    <w:rsid w:val="002E00E1"/>
    <w:rsid w:val="002E017C"/>
    <w:rsid w:val="002E07C7"/>
    <w:rsid w:val="002E2DC2"/>
    <w:rsid w:val="002E4139"/>
    <w:rsid w:val="002E47AB"/>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10CA"/>
    <w:rsid w:val="003A20D5"/>
    <w:rsid w:val="003A4701"/>
    <w:rsid w:val="003A4D6A"/>
    <w:rsid w:val="003A53EB"/>
    <w:rsid w:val="003A6054"/>
    <w:rsid w:val="003A7F3F"/>
    <w:rsid w:val="003B0CAE"/>
    <w:rsid w:val="003B10DC"/>
    <w:rsid w:val="003B3D03"/>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7F75"/>
    <w:rsid w:val="004316D7"/>
    <w:rsid w:val="00436989"/>
    <w:rsid w:val="00436F85"/>
    <w:rsid w:val="00437303"/>
    <w:rsid w:val="004408F8"/>
    <w:rsid w:val="00441AE6"/>
    <w:rsid w:val="00442F61"/>
    <w:rsid w:val="004453DF"/>
    <w:rsid w:val="00447681"/>
    <w:rsid w:val="004502B1"/>
    <w:rsid w:val="00452B12"/>
    <w:rsid w:val="00453E23"/>
    <w:rsid w:val="004559D9"/>
    <w:rsid w:val="0045637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76C"/>
    <w:rsid w:val="00577A43"/>
    <w:rsid w:val="005810DA"/>
    <w:rsid w:val="005811A7"/>
    <w:rsid w:val="005816C9"/>
    <w:rsid w:val="00581EAA"/>
    <w:rsid w:val="005829A2"/>
    <w:rsid w:val="00582FEF"/>
    <w:rsid w:val="00587D81"/>
    <w:rsid w:val="00592974"/>
    <w:rsid w:val="00593D98"/>
    <w:rsid w:val="005946F6"/>
    <w:rsid w:val="005963FA"/>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773"/>
    <w:rsid w:val="00756CD3"/>
    <w:rsid w:val="007614E6"/>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569DC"/>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34A3"/>
    <w:rsid w:val="008A4056"/>
    <w:rsid w:val="008A4664"/>
    <w:rsid w:val="008A6059"/>
    <w:rsid w:val="008B4CC6"/>
    <w:rsid w:val="008B66AB"/>
    <w:rsid w:val="008C08BA"/>
    <w:rsid w:val="008C3A25"/>
    <w:rsid w:val="008C3D16"/>
    <w:rsid w:val="008C6C62"/>
    <w:rsid w:val="008C7177"/>
    <w:rsid w:val="008D3C4D"/>
    <w:rsid w:val="008D48B7"/>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347F"/>
    <w:rsid w:val="009862FB"/>
    <w:rsid w:val="00987022"/>
    <w:rsid w:val="009876CA"/>
    <w:rsid w:val="00987CA0"/>
    <w:rsid w:val="009A1268"/>
    <w:rsid w:val="009A7EAA"/>
    <w:rsid w:val="009B12B3"/>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9E8"/>
    <w:rsid w:val="009D6828"/>
    <w:rsid w:val="009E2CEC"/>
    <w:rsid w:val="009E4D48"/>
    <w:rsid w:val="009E5A0D"/>
    <w:rsid w:val="009E5EEB"/>
    <w:rsid w:val="009E61FC"/>
    <w:rsid w:val="009E6A7E"/>
    <w:rsid w:val="009F032D"/>
    <w:rsid w:val="009F2194"/>
    <w:rsid w:val="009F22F5"/>
    <w:rsid w:val="009F2E1A"/>
    <w:rsid w:val="009F33E3"/>
    <w:rsid w:val="009F5421"/>
    <w:rsid w:val="009F66FF"/>
    <w:rsid w:val="009F680D"/>
    <w:rsid w:val="009F6CC6"/>
    <w:rsid w:val="009F6F7C"/>
    <w:rsid w:val="00A023C5"/>
    <w:rsid w:val="00A04316"/>
    <w:rsid w:val="00A057FB"/>
    <w:rsid w:val="00A06F13"/>
    <w:rsid w:val="00A06F3B"/>
    <w:rsid w:val="00A10BA4"/>
    <w:rsid w:val="00A1279A"/>
    <w:rsid w:val="00A15C6B"/>
    <w:rsid w:val="00A170DF"/>
    <w:rsid w:val="00A22C85"/>
    <w:rsid w:val="00A3045B"/>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5670"/>
    <w:rsid w:val="00A866C5"/>
    <w:rsid w:val="00A87A74"/>
    <w:rsid w:val="00A9029A"/>
    <w:rsid w:val="00A90882"/>
    <w:rsid w:val="00A932C6"/>
    <w:rsid w:val="00A93A37"/>
    <w:rsid w:val="00A94AEC"/>
    <w:rsid w:val="00A94FE6"/>
    <w:rsid w:val="00AA4386"/>
    <w:rsid w:val="00AA525B"/>
    <w:rsid w:val="00AB04AF"/>
    <w:rsid w:val="00AB3E8F"/>
    <w:rsid w:val="00AB5881"/>
    <w:rsid w:val="00AB5A48"/>
    <w:rsid w:val="00AB71FD"/>
    <w:rsid w:val="00AC2825"/>
    <w:rsid w:val="00AC3248"/>
    <w:rsid w:val="00AC4231"/>
    <w:rsid w:val="00AC510A"/>
    <w:rsid w:val="00AC633A"/>
    <w:rsid w:val="00AC7456"/>
    <w:rsid w:val="00AD1169"/>
    <w:rsid w:val="00AD4F3F"/>
    <w:rsid w:val="00AD7A86"/>
    <w:rsid w:val="00AD7FC6"/>
    <w:rsid w:val="00AE13CD"/>
    <w:rsid w:val="00AE6B22"/>
    <w:rsid w:val="00AF280B"/>
    <w:rsid w:val="00AF4D23"/>
    <w:rsid w:val="00AF7624"/>
    <w:rsid w:val="00B019B2"/>
    <w:rsid w:val="00B056A5"/>
    <w:rsid w:val="00B067C1"/>
    <w:rsid w:val="00B07E67"/>
    <w:rsid w:val="00B12140"/>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2D50"/>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2214"/>
    <w:rsid w:val="00D13A57"/>
    <w:rsid w:val="00D14A75"/>
    <w:rsid w:val="00D16BF8"/>
    <w:rsid w:val="00D17E3A"/>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953"/>
    <w:rsid w:val="00D731BC"/>
    <w:rsid w:val="00D73D58"/>
    <w:rsid w:val="00D7458E"/>
    <w:rsid w:val="00D77514"/>
    <w:rsid w:val="00D82C55"/>
    <w:rsid w:val="00D84301"/>
    <w:rsid w:val="00D85426"/>
    <w:rsid w:val="00D8585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C7514"/>
    <w:rsid w:val="00DD0916"/>
    <w:rsid w:val="00DD091F"/>
    <w:rsid w:val="00DD146A"/>
    <w:rsid w:val="00DD1DD3"/>
    <w:rsid w:val="00DD2193"/>
    <w:rsid w:val="00DD42DC"/>
    <w:rsid w:val="00DD754F"/>
    <w:rsid w:val="00DE16DC"/>
    <w:rsid w:val="00DE1D41"/>
    <w:rsid w:val="00DE30F5"/>
    <w:rsid w:val="00DF0BA2"/>
    <w:rsid w:val="00DF3989"/>
    <w:rsid w:val="00DF3FD5"/>
    <w:rsid w:val="00DF4A87"/>
    <w:rsid w:val="00E01C7A"/>
    <w:rsid w:val="00E04F72"/>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C0F33"/>
    <w:rsid w:val="00EC475E"/>
    <w:rsid w:val="00EC4CD7"/>
    <w:rsid w:val="00ED007A"/>
    <w:rsid w:val="00ED2023"/>
    <w:rsid w:val="00ED2BF9"/>
    <w:rsid w:val="00ED4D42"/>
    <w:rsid w:val="00ED7FDE"/>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3C78"/>
    <w:rsid w:val="00FD4485"/>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CA"/>
    <w:pPr>
      <w:jc w:val="both"/>
    </w:pPr>
    <w:rPr>
      <w:rFonts w:ascii="Times New Roman" w:hAnsi="Times New Roman" w:cs="Times New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8D48B7"/>
    <w:pPr>
      <w:ind w:left="720" w:hanging="72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3A10CA"/>
    <w:pPr>
      <w:ind w:right="20" w:firstLine="0"/>
    </w:pPr>
  </w:style>
  <w:style w:type="paragraph" w:customStyle="1" w:styleId="authors">
    <w:name w:val="authors"/>
    <w:basedOn w:val="Normal"/>
    <w:qFormat/>
    <w:rsid w:val="009B786B"/>
    <w:pPr>
      <w:jc w:val="center"/>
    </w:pPr>
  </w:style>
  <w:style w:type="paragraph" w:customStyle="1" w:styleId="Title1">
    <w:name w:val="Title1"/>
    <w:basedOn w:val="Normal"/>
    <w:qFormat/>
    <w:rsid w:val="003A10CA"/>
    <w:pPr>
      <w:ind w:firstLine="0"/>
      <w:jc w:val="center"/>
    </w:p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8D48B7"/>
    <w:pPr>
      <w:ind w:firstLine="0"/>
    </w:p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osf.io/v3twe/" TargetMode="External"/><Relationship Id="rId2" Type="http://schemas.openxmlformats.org/officeDocument/2006/relationships/customXml" Target="../customXml/item2.xml"/><Relationship Id="rId16" Type="http://schemas.openxmlformats.org/officeDocument/2006/relationships/hyperlink" Target="https://osf.io/vhzsn/"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7</TotalTime>
  <Pages>15</Pages>
  <Words>16924</Words>
  <Characters>96470</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10</cp:revision>
  <dcterms:created xsi:type="dcterms:W3CDTF">2022-07-29T13:52:00Z</dcterms:created>
  <dcterms:modified xsi:type="dcterms:W3CDTF">2022-07-29T14:01:00Z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id="jlgMniWJ"/&gt;&lt;style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