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FFC9AC" w14:textId="288E4DA0" w:rsidR="001E2A96" w:rsidRDefault="001E2A96" w:rsidP="00D7071B">
      <w:pPr>
        <w:pStyle w:val="Heading1"/>
      </w:pPr>
      <w:r>
        <w:t>Supplementary materials 2</w:t>
      </w:r>
      <w:r w:rsidR="00D7071B">
        <w:t xml:space="preserve">: </w:t>
      </w:r>
      <w:r>
        <w:t xml:space="preserve">Changes </w:t>
      </w:r>
      <w:r w:rsidR="00902E82">
        <w:t xml:space="preserve">made to scales </w:t>
      </w:r>
      <w:r w:rsidR="00AA0883">
        <w:t xml:space="preserve">from </w:t>
      </w:r>
      <w:bookmarkStart w:id="0" w:name="_GoBack"/>
      <w:bookmarkEnd w:id="0"/>
      <w:r w:rsidR="00902E82">
        <w:t>their original published version</w:t>
      </w:r>
    </w:p>
    <w:tbl>
      <w:tblPr>
        <w:tblStyle w:val="APAReport"/>
        <w:tblW w:w="13008" w:type="dxa"/>
        <w:tblLayout w:type="fixed"/>
        <w:tblLook w:val="04A0" w:firstRow="1" w:lastRow="0" w:firstColumn="1" w:lastColumn="0" w:noHBand="0" w:noVBand="1"/>
      </w:tblPr>
      <w:tblGrid>
        <w:gridCol w:w="378"/>
        <w:gridCol w:w="3690"/>
        <w:gridCol w:w="8940"/>
      </w:tblGrid>
      <w:tr w:rsidR="001E2A96" w:rsidRPr="001E2A96" w14:paraId="4D164AD4" w14:textId="77777777" w:rsidTr="005B6F0B">
        <w:trPr>
          <w:cnfStyle w:val="100000000000" w:firstRow="1" w:lastRow="0" w:firstColumn="0" w:lastColumn="0" w:oddVBand="0" w:evenVBand="0" w:oddHBand="0" w:evenHBand="0" w:firstRowFirstColumn="0" w:firstRowLastColumn="0" w:lastRowFirstColumn="0" w:lastRowLastColumn="0"/>
          <w:trHeight w:val="186"/>
        </w:trPr>
        <w:tc>
          <w:tcPr>
            <w:tcW w:w="4068" w:type="dxa"/>
            <w:gridSpan w:val="2"/>
            <w:noWrap/>
            <w:hideMark/>
          </w:tcPr>
          <w:p w14:paraId="10E892F8" w14:textId="77777777" w:rsidR="001E2A96" w:rsidRPr="00BD5474" w:rsidRDefault="001E2A96">
            <w:pPr>
              <w:rPr>
                <w:sz w:val="16"/>
                <w:szCs w:val="16"/>
              </w:rPr>
            </w:pPr>
            <w:r w:rsidRPr="00BD5474">
              <w:rPr>
                <w:sz w:val="16"/>
                <w:szCs w:val="16"/>
              </w:rPr>
              <w:t>Scale</w:t>
            </w:r>
          </w:p>
        </w:tc>
        <w:tc>
          <w:tcPr>
            <w:tcW w:w="8940" w:type="dxa"/>
            <w:noWrap/>
            <w:hideMark/>
          </w:tcPr>
          <w:p w14:paraId="455AF282" w14:textId="77777777" w:rsidR="001E2A96" w:rsidRPr="00BD5474" w:rsidRDefault="001E2A96">
            <w:pPr>
              <w:rPr>
                <w:sz w:val="16"/>
                <w:szCs w:val="16"/>
              </w:rPr>
            </w:pPr>
            <w:r w:rsidRPr="00BD5474">
              <w:rPr>
                <w:sz w:val="16"/>
                <w:szCs w:val="16"/>
              </w:rPr>
              <w:t>Changes from original scale</w:t>
            </w:r>
          </w:p>
        </w:tc>
      </w:tr>
      <w:tr w:rsidR="001E2A96" w:rsidRPr="001E2A96" w14:paraId="05B1EEEC" w14:textId="77777777" w:rsidTr="005B6F0B">
        <w:trPr>
          <w:trHeight w:val="186"/>
        </w:trPr>
        <w:tc>
          <w:tcPr>
            <w:tcW w:w="4068" w:type="dxa"/>
            <w:gridSpan w:val="2"/>
            <w:noWrap/>
            <w:hideMark/>
          </w:tcPr>
          <w:p w14:paraId="6B418C8B" w14:textId="77777777" w:rsidR="001E2A96" w:rsidRPr="00BD5474" w:rsidRDefault="001E2A96">
            <w:pPr>
              <w:rPr>
                <w:sz w:val="16"/>
                <w:szCs w:val="16"/>
              </w:rPr>
            </w:pPr>
            <w:r w:rsidRPr="00BD5474">
              <w:rPr>
                <w:sz w:val="16"/>
                <w:szCs w:val="16"/>
              </w:rPr>
              <w:t>Balanced Inventory of Desirable Responding</w:t>
            </w:r>
          </w:p>
        </w:tc>
        <w:tc>
          <w:tcPr>
            <w:tcW w:w="8940" w:type="dxa"/>
            <w:noWrap/>
            <w:hideMark/>
          </w:tcPr>
          <w:p w14:paraId="4CB98F0E" w14:textId="77777777" w:rsidR="001E2A96" w:rsidRPr="00BD5474" w:rsidRDefault="004F1616">
            <w:pPr>
              <w:rPr>
                <w:sz w:val="16"/>
                <w:szCs w:val="16"/>
              </w:rPr>
            </w:pPr>
            <w:r w:rsidRPr="00BD5474">
              <w:rPr>
                <w:sz w:val="16"/>
                <w:szCs w:val="16"/>
              </w:rPr>
              <w:t>See split scales below.</w:t>
            </w:r>
          </w:p>
        </w:tc>
      </w:tr>
      <w:tr w:rsidR="004F1616" w:rsidRPr="001E2A96" w14:paraId="61985477" w14:textId="77777777" w:rsidTr="005B6F0B">
        <w:trPr>
          <w:trHeight w:val="186"/>
        </w:trPr>
        <w:tc>
          <w:tcPr>
            <w:tcW w:w="378" w:type="dxa"/>
            <w:noWrap/>
            <w:hideMark/>
          </w:tcPr>
          <w:p w14:paraId="16277741" w14:textId="77777777" w:rsidR="001E2A96" w:rsidRPr="00BD5474" w:rsidRDefault="001E2A96">
            <w:pPr>
              <w:rPr>
                <w:sz w:val="16"/>
                <w:szCs w:val="16"/>
              </w:rPr>
            </w:pPr>
          </w:p>
        </w:tc>
        <w:tc>
          <w:tcPr>
            <w:tcW w:w="3690" w:type="dxa"/>
            <w:noWrap/>
            <w:hideMark/>
          </w:tcPr>
          <w:p w14:paraId="0316AFD7" w14:textId="77777777" w:rsidR="001E2A96" w:rsidRPr="00BD5474" w:rsidRDefault="001E2A96">
            <w:pPr>
              <w:rPr>
                <w:sz w:val="16"/>
                <w:szCs w:val="16"/>
              </w:rPr>
            </w:pPr>
            <w:r w:rsidRPr="00BD5474">
              <w:rPr>
                <w:sz w:val="16"/>
                <w:szCs w:val="16"/>
              </w:rPr>
              <w:t>Impression Management</w:t>
            </w:r>
          </w:p>
        </w:tc>
        <w:tc>
          <w:tcPr>
            <w:tcW w:w="8940" w:type="dxa"/>
            <w:noWrap/>
            <w:hideMark/>
          </w:tcPr>
          <w:p w14:paraId="18647990" w14:textId="77777777" w:rsidR="001E2A96" w:rsidRPr="00BD5474" w:rsidRDefault="001E2A96" w:rsidP="00981BFA">
            <w:pPr>
              <w:rPr>
                <w:sz w:val="16"/>
                <w:szCs w:val="16"/>
              </w:rPr>
            </w:pPr>
            <w:r w:rsidRPr="00BD5474">
              <w:rPr>
                <w:sz w:val="16"/>
                <w:szCs w:val="16"/>
              </w:rPr>
              <w:t xml:space="preserve">Response format changed to 1-6 </w:t>
            </w:r>
            <w:r w:rsidR="004F1616" w:rsidRPr="00BD5474">
              <w:rPr>
                <w:sz w:val="16"/>
                <w:szCs w:val="16"/>
              </w:rPr>
              <w:fldChar w:fldCharType="begin"/>
            </w:r>
            <w:r w:rsidR="00981BFA" w:rsidRPr="00BD5474">
              <w:rPr>
                <w:sz w:val="16"/>
                <w:szCs w:val="16"/>
              </w:rPr>
              <w:instrText xml:space="preserve"> ADDIN ZOTERO_ITEM CSL_CITATION {"citationID":"4b5R76us","properties":{"formattedCitation":"(strongly disagree-strongly agree; Evidence suggests this polytomous response format is preferable over original dichotomous: St\\uc0\\u246{}ber, Dette, &amp; Musch, 2002)","plainCitation":"(strongly disagree-strongly agree; Evidence suggests this polytomous response format is preferable over original dichotomous: Stöber, Dette, &amp; Musch, 2002)","noteIndex":0},"citationItems":[{"id":8308,"uris":["http://zotero.org/users/1687755/items/3LLVL2H8"],"uri":["http://zotero.org/users/1687755/items/3LLVL2H8"],"itemData":{"id":8308,"type":"article-journal","title":"Comparing continuous and dichotomous scoring of the balanced inventory of desirable responding","container-title":"Journal of Personality Assessment","page":"370-389","volume":"78","issue":"2","source":"PubMed","abstract":"The Balanced Inventory of Desirable Responding (BIDR; Paulhus, 1994) is a widely used instrument to measure the 2 components of social desirability: self-deceptive enhancement and impression management. With respect to scoring of the BIDR, Paulhus (1994) authorized 2 methods, namely continuous scoring (all answers on the continuous answer scale are counted) and dichotomous scoring (only extreme answers are counted). In this article, we report 3 studies with student samples, and continuous and dichotomous scoring of BIDR subscales are compared with respect to reliability, convergent validity, sensitivity to instructional variations, and correlations with personality. Across studies, the scores from continuous scoring (continuous scores) showed higher Cronbach's alphas than those from dichotomous scoring (dichotomous scores). Moreover, continuous scores showed higher convergent correlations with other measures of social desirability and more consistent effects with self-presentation instructions (fake-good vs. fake-bad instructions). Finally, continuous self-deceptive enhancement scores showed higher correlations with those traits of the Five-factor model for which substantial correlations were expected (i.e., Neuroticism, Extraversion, and Conscientiousness). Consequently, these findings indicate that continuous scoring may be preferable to dichotomous scoring when assessing socially desirable responding with the BIDR.","DOI":"10.1207/S15327752JPA7802_10","ISSN":"0022-3891","note":"PMID: 12067199","journalAbbreviation":"J Pers Assess","language":"eng","author":[{"family":"Stöber","given":"Joachim"},{"family":"Dette","given":"Dorothea E."},{"family":"Musch","given":"Jochen"}],"issued":{"date-parts":[["2002",4]]}},"prefix":"strongly disagree-strongly agree; Evidence suggests this polytomous response format is preferable over original dichotomous: "}],"schema":"https://github.com/citation-style-language/schema/raw/master/csl-citation.json"} </w:instrText>
            </w:r>
            <w:r w:rsidR="004F1616" w:rsidRPr="00BD5474">
              <w:rPr>
                <w:sz w:val="16"/>
                <w:szCs w:val="16"/>
              </w:rPr>
              <w:fldChar w:fldCharType="separate"/>
            </w:r>
            <w:r w:rsidR="00981BFA" w:rsidRPr="00BD5474">
              <w:rPr>
                <w:rFonts w:ascii="Times New Roman" w:cs="Times New Roman"/>
                <w:sz w:val="16"/>
                <w:szCs w:val="16"/>
              </w:rPr>
              <w:t>(strongly disagree-strongly agree; Evidence suggests this polytomous response format is preferable over original dichotomous: Stöber, Dette, &amp; Musch, 2002)</w:t>
            </w:r>
            <w:r w:rsidR="004F1616" w:rsidRPr="00BD5474">
              <w:rPr>
                <w:sz w:val="16"/>
                <w:szCs w:val="16"/>
              </w:rPr>
              <w:fldChar w:fldCharType="end"/>
            </w:r>
            <w:r w:rsidRPr="00BD5474">
              <w:rPr>
                <w:sz w:val="16"/>
                <w:szCs w:val="16"/>
              </w:rPr>
              <w:t>; 2 items dropped (original items 30 &amp; 34)</w:t>
            </w:r>
            <w:r w:rsidR="00BC03DE" w:rsidRPr="00BD5474">
              <w:rPr>
                <w:sz w:val="16"/>
                <w:szCs w:val="16"/>
              </w:rPr>
              <w:t>.</w:t>
            </w:r>
          </w:p>
        </w:tc>
      </w:tr>
      <w:tr w:rsidR="004F1616" w:rsidRPr="001E2A96" w14:paraId="1F613C77" w14:textId="77777777" w:rsidTr="005B6F0B">
        <w:trPr>
          <w:trHeight w:val="186"/>
        </w:trPr>
        <w:tc>
          <w:tcPr>
            <w:tcW w:w="378" w:type="dxa"/>
            <w:noWrap/>
            <w:hideMark/>
          </w:tcPr>
          <w:p w14:paraId="2BED5131" w14:textId="77777777" w:rsidR="001E2A96" w:rsidRPr="00BD5474" w:rsidRDefault="001E2A96">
            <w:pPr>
              <w:rPr>
                <w:sz w:val="16"/>
                <w:szCs w:val="16"/>
              </w:rPr>
            </w:pPr>
          </w:p>
        </w:tc>
        <w:tc>
          <w:tcPr>
            <w:tcW w:w="3690" w:type="dxa"/>
            <w:noWrap/>
            <w:hideMark/>
          </w:tcPr>
          <w:p w14:paraId="4A509739" w14:textId="77777777" w:rsidR="001E2A96" w:rsidRPr="00BD5474" w:rsidRDefault="001E2A96">
            <w:pPr>
              <w:rPr>
                <w:sz w:val="16"/>
                <w:szCs w:val="16"/>
              </w:rPr>
            </w:pPr>
            <w:r w:rsidRPr="00BD5474">
              <w:rPr>
                <w:sz w:val="16"/>
                <w:szCs w:val="16"/>
              </w:rPr>
              <w:t>Self Deception</w:t>
            </w:r>
          </w:p>
        </w:tc>
        <w:tc>
          <w:tcPr>
            <w:tcW w:w="8940" w:type="dxa"/>
            <w:noWrap/>
            <w:hideMark/>
          </w:tcPr>
          <w:p w14:paraId="10C6380E" w14:textId="77777777" w:rsidR="001E2A96" w:rsidRPr="00BD5474" w:rsidRDefault="001E2A96" w:rsidP="00981BFA">
            <w:pPr>
              <w:rPr>
                <w:sz w:val="16"/>
                <w:szCs w:val="16"/>
              </w:rPr>
            </w:pPr>
            <w:r w:rsidRPr="00BD5474">
              <w:rPr>
                <w:sz w:val="16"/>
                <w:szCs w:val="16"/>
              </w:rPr>
              <w:t>Response format changed to 1-6</w:t>
            </w:r>
            <w:r w:rsidR="00BC03DE" w:rsidRPr="00BD5474">
              <w:rPr>
                <w:sz w:val="16"/>
                <w:szCs w:val="16"/>
              </w:rPr>
              <w:t xml:space="preserve"> </w:t>
            </w:r>
            <w:r w:rsidR="00981BFA" w:rsidRPr="00BD5474">
              <w:rPr>
                <w:sz w:val="16"/>
                <w:szCs w:val="16"/>
              </w:rPr>
              <w:fldChar w:fldCharType="begin"/>
            </w:r>
            <w:r w:rsidR="00BC03DE" w:rsidRPr="00BD5474">
              <w:rPr>
                <w:sz w:val="16"/>
                <w:szCs w:val="16"/>
              </w:rPr>
              <w:instrText xml:space="preserve"> ADDIN ZOTERO_ITEM CSL_CITATION {"citationID":"KOFE6P4f","properties":{"formattedCitation":"(strongly disagree-strongly agree; Evidence suggests this polytomous response format is preferable over original dichotomous: St\\uc0\\u246{}ber et al., 2002)","plainCitation":"(strongly disagree-strongly agree; Evidence suggests this polytomous response format is preferable over original dichotomous: Stöber et al., 2002)","noteIndex":0},"citationItems":[{"id":8308,"uris":["http://zotero.org/users/1687755/items/3LLVL2H8"],"uri":["http://zotero.org/users/1687755/items/3LLVL2H8"],"itemData":{"id":8308,"type":"article-journal","title":"Comparing continuous and dichotomous scoring of the balanced inventory of desirable responding","container-title":"Journal of Personality Assessment","page":"370-389","volume":"78","issue":"2","source":"PubMed","abstract":"The Balanced Inventory of Desirable Responding (BIDR; Paulhus, 1994) is a widely used instrument to measure the 2 components of social desirability: self-deceptive enhancement and impression management. With respect to scoring of the BIDR, Paulhus (1994) authorized 2 methods, namely continuous scoring (all answers on the continuous answer scale are counted) and dichotomous scoring (only extreme answers are counted). In this article, we report 3 studies with student samples, and continuous and dichotomous scoring of BIDR subscales are compared with respect to reliability, convergent validity, sensitivity to instructional variations, and correlations with personality. Across studies, the scores from continuous scoring (continuous scores) showed higher Cronbach's alphas than those from dichotomous scoring (dichotomous scores). Moreover, continuous scores showed higher convergent correlations with other measures of social desirability and more consistent effects with self-presentation instructions (fake-good vs. fake-bad instructions). Finally, continuous self-deceptive enhancement scores showed higher correlations with those traits of the Five-factor model for which substantial correlations were expected (i.e., Neuroticism, Extraversion, and Conscientiousness). Consequently, these findings indicate that continuous scoring may be preferable to dichotomous scoring when assessing socially desirable responding with the BIDR.","DOI":"10.1207/S15327752JPA7802_10","ISSN":"0022-3891","note":"PMID: 12067199","journalAbbreviation":"J Pers Assess","language":"eng","author":[{"family":"Stöber","given":"Joachim"},{"family":"Dette","given":"Dorothea E."},{"family":"Musch","given":"Jochen"}],"issued":{"date-parts":[["2002",4]]}},"prefix":"strongly disagree-strongly agree; Evidence suggests this polytomous response format is preferable over original dichotomous: "}],"schema":"https://github.com/citation-style-language/schema/raw/master/csl-citation.json"} </w:instrText>
            </w:r>
            <w:r w:rsidR="00981BFA" w:rsidRPr="00BD5474">
              <w:rPr>
                <w:sz w:val="16"/>
                <w:szCs w:val="16"/>
              </w:rPr>
              <w:fldChar w:fldCharType="separate"/>
            </w:r>
            <w:r w:rsidR="00BC03DE" w:rsidRPr="00BD5474">
              <w:rPr>
                <w:rFonts w:ascii="Times New Roman" w:cs="Times New Roman"/>
                <w:sz w:val="16"/>
                <w:szCs w:val="16"/>
              </w:rPr>
              <w:t>(strongly disagree-strongly agree; Evidence suggests this polytomous response format is preferable over original dichotomous: Stöber et al., 2002)</w:t>
            </w:r>
            <w:r w:rsidR="00981BFA" w:rsidRPr="00BD5474">
              <w:rPr>
                <w:sz w:val="16"/>
                <w:szCs w:val="16"/>
              </w:rPr>
              <w:fldChar w:fldCharType="end"/>
            </w:r>
            <w:r w:rsidRPr="00BD5474">
              <w:rPr>
                <w:sz w:val="16"/>
                <w:szCs w:val="16"/>
              </w:rPr>
              <w:t>; 2 items dropped (original items 13 &amp; 18)</w:t>
            </w:r>
            <w:r w:rsidR="00BC03DE" w:rsidRPr="00BD5474">
              <w:rPr>
                <w:sz w:val="16"/>
                <w:szCs w:val="16"/>
              </w:rPr>
              <w:t>.</w:t>
            </w:r>
          </w:p>
        </w:tc>
      </w:tr>
      <w:tr w:rsidR="001E2A96" w:rsidRPr="001E2A96" w14:paraId="566B6318" w14:textId="77777777" w:rsidTr="005B6F0B">
        <w:trPr>
          <w:trHeight w:val="186"/>
        </w:trPr>
        <w:tc>
          <w:tcPr>
            <w:tcW w:w="4068" w:type="dxa"/>
            <w:gridSpan w:val="2"/>
            <w:noWrap/>
            <w:hideMark/>
          </w:tcPr>
          <w:p w14:paraId="705970BA" w14:textId="77777777" w:rsidR="001E2A96" w:rsidRPr="00BD5474" w:rsidRDefault="001E2A96">
            <w:pPr>
              <w:rPr>
                <w:sz w:val="16"/>
                <w:szCs w:val="16"/>
              </w:rPr>
            </w:pPr>
            <w:r w:rsidRPr="00BD5474">
              <w:rPr>
                <w:sz w:val="16"/>
                <w:szCs w:val="16"/>
              </w:rPr>
              <w:t>Bayesian Racism</w:t>
            </w:r>
          </w:p>
        </w:tc>
        <w:tc>
          <w:tcPr>
            <w:tcW w:w="8940" w:type="dxa"/>
            <w:noWrap/>
            <w:hideMark/>
          </w:tcPr>
          <w:p w14:paraId="3246850F" w14:textId="77777777" w:rsidR="001E2A96" w:rsidRPr="00BD5474" w:rsidRDefault="001E2A96">
            <w:pPr>
              <w:rPr>
                <w:sz w:val="16"/>
                <w:szCs w:val="16"/>
              </w:rPr>
            </w:pPr>
            <w:r w:rsidRPr="00BD5474">
              <w:rPr>
                <w:sz w:val="16"/>
                <w:szCs w:val="16"/>
              </w:rPr>
              <w:t>None</w:t>
            </w:r>
            <w:r w:rsidR="00BC03DE" w:rsidRPr="00BD5474">
              <w:rPr>
                <w:sz w:val="16"/>
                <w:szCs w:val="16"/>
              </w:rPr>
              <w:t>.</w:t>
            </w:r>
          </w:p>
        </w:tc>
      </w:tr>
      <w:tr w:rsidR="001E2A96" w:rsidRPr="001E2A96" w14:paraId="47B00BA8" w14:textId="77777777" w:rsidTr="005B6F0B">
        <w:trPr>
          <w:trHeight w:val="186"/>
        </w:trPr>
        <w:tc>
          <w:tcPr>
            <w:tcW w:w="4068" w:type="dxa"/>
            <w:gridSpan w:val="2"/>
            <w:noWrap/>
            <w:hideMark/>
          </w:tcPr>
          <w:p w14:paraId="70C576F8" w14:textId="77777777" w:rsidR="001E2A96" w:rsidRPr="00BD5474" w:rsidRDefault="001E2A96">
            <w:pPr>
              <w:rPr>
                <w:sz w:val="16"/>
                <w:szCs w:val="16"/>
              </w:rPr>
            </w:pPr>
            <w:r w:rsidRPr="00BD5474">
              <w:rPr>
                <w:sz w:val="16"/>
                <w:szCs w:val="16"/>
              </w:rPr>
              <w:t>Belief in a Just World (General Just World)</w:t>
            </w:r>
          </w:p>
        </w:tc>
        <w:tc>
          <w:tcPr>
            <w:tcW w:w="8940" w:type="dxa"/>
            <w:noWrap/>
            <w:hideMark/>
          </w:tcPr>
          <w:p w14:paraId="6271ED78" w14:textId="77777777" w:rsidR="001E2A96" w:rsidRPr="00BD5474" w:rsidRDefault="001E2A96" w:rsidP="00BC03DE">
            <w:pPr>
              <w:rPr>
                <w:sz w:val="16"/>
                <w:szCs w:val="16"/>
              </w:rPr>
            </w:pPr>
            <w:r w:rsidRPr="00BD5474">
              <w:rPr>
                <w:sz w:val="16"/>
                <w:szCs w:val="16"/>
              </w:rPr>
              <w:t xml:space="preserve">Response format changed to 1-6 (strongly disagree-strongly agree); Little agreement in </w:t>
            </w:r>
            <w:r w:rsidR="00902E82" w:rsidRPr="00BD5474">
              <w:rPr>
                <w:sz w:val="16"/>
                <w:szCs w:val="16"/>
              </w:rPr>
              <w:t>literature</w:t>
            </w:r>
            <w:r w:rsidRPr="00BD5474">
              <w:rPr>
                <w:sz w:val="16"/>
                <w:szCs w:val="16"/>
              </w:rPr>
              <w:t xml:space="preserve"> on canonical version of scale</w:t>
            </w:r>
            <w:r w:rsidR="00BC03DE" w:rsidRPr="00BD5474">
              <w:rPr>
                <w:sz w:val="16"/>
                <w:szCs w:val="16"/>
              </w:rPr>
              <w:t xml:space="preserve"> </w:t>
            </w:r>
            <w:r w:rsidR="00BC03DE" w:rsidRPr="00BD5474">
              <w:rPr>
                <w:sz w:val="16"/>
                <w:szCs w:val="16"/>
              </w:rPr>
              <w:fldChar w:fldCharType="begin"/>
            </w:r>
            <w:r w:rsidR="00BC03DE" w:rsidRPr="00BD5474">
              <w:rPr>
                <w:sz w:val="16"/>
                <w:szCs w:val="16"/>
              </w:rPr>
              <w:instrText xml:space="preserve"> ADDIN ZOTERO_ITEM CSL_CITATION {"citationID":"itSzkTuC","properties":{"formattedCitation":"(items drawn from Dalbert, Lipkus, Sallay, &amp; Goch, 2001)","plainCitation":"(items drawn from Dalbert, Lipkus, Sallay, &amp; Goch, 2001)","noteIndex":0},"citationItems":[{"id":7392,"uris":["http://zotero.org/users/1687755/items/MANNHL2U"],"uri":["http://zotero.org/users/1687755/items/MANNHL2U"],"itemData":{"id":7392,"type":"article-journal","title":"A just and an unjust world: Structure and validity of different world beliefs","container-title":"Personality and Individual Differences","page":"561–577","volume":"30","issue":"4","author":[{"family":"Dalbert","given":"Claudia"},{"family":"Lipkus","given":"Isaac M"},{"family":"Sallay","given":"Hedvig"},{"family":"Goch","given":"Irene"}],"issued":{"date-parts":[["2001"]]}},"prefix":"items drawn from"}],"schema":"https://github.com/citation-style-language/schema/raw/master/csl-citation.json"} </w:instrText>
            </w:r>
            <w:r w:rsidR="00BC03DE" w:rsidRPr="00BD5474">
              <w:rPr>
                <w:sz w:val="16"/>
                <w:szCs w:val="16"/>
              </w:rPr>
              <w:fldChar w:fldCharType="separate"/>
            </w:r>
            <w:r w:rsidR="00BC03DE" w:rsidRPr="00BD5474">
              <w:rPr>
                <w:noProof/>
                <w:sz w:val="16"/>
                <w:szCs w:val="16"/>
              </w:rPr>
              <w:t>(items drawn from Dalbert, Lipkus, Sallay, &amp; Goch, 2001)</w:t>
            </w:r>
            <w:r w:rsidR="00BC03DE" w:rsidRPr="00BD5474">
              <w:rPr>
                <w:sz w:val="16"/>
                <w:szCs w:val="16"/>
              </w:rPr>
              <w:fldChar w:fldCharType="end"/>
            </w:r>
            <w:r w:rsidR="00BC03DE" w:rsidRPr="00BD5474">
              <w:rPr>
                <w:sz w:val="16"/>
                <w:szCs w:val="16"/>
              </w:rPr>
              <w:t>.</w:t>
            </w:r>
          </w:p>
        </w:tc>
      </w:tr>
      <w:tr w:rsidR="001E2A96" w:rsidRPr="001E2A96" w14:paraId="6EA2CAD8" w14:textId="77777777" w:rsidTr="005B6F0B">
        <w:trPr>
          <w:trHeight w:val="186"/>
        </w:trPr>
        <w:tc>
          <w:tcPr>
            <w:tcW w:w="4068" w:type="dxa"/>
            <w:gridSpan w:val="2"/>
            <w:noWrap/>
            <w:hideMark/>
          </w:tcPr>
          <w:p w14:paraId="47BBF78F" w14:textId="77777777" w:rsidR="001E2A96" w:rsidRPr="00BD5474" w:rsidRDefault="001E2A96">
            <w:pPr>
              <w:rPr>
                <w:sz w:val="16"/>
                <w:szCs w:val="16"/>
              </w:rPr>
            </w:pPr>
            <w:r w:rsidRPr="00BD5474">
              <w:rPr>
                <w:sz w:val="16"/>
                <w:szCs w:val="16"/>
              </w:rPr>
              <w:t>Big 5 Inventory</w:t>
            </w:r>
          </w:p>
        </w:tc>
        <w:tc>
          <w:tcPr>
            <w:tcW w:w="8940" w:type="dxa"/>
            <w:noWrap/>
            <w:hideMark/>
          </w:tcPr>
          <w:p w14:paraId="11150663" w14:textId="77777777" w:rsidR="001E2A96" w:rsidRPr="00BD5474" w:rsidRDefault="004F1616">
            <w:pPr>
              <w:rPr>
                <w:sz w:val="16"/>
                <w:szCs w:val="16"/>
              </w:rPr>
            </w:pPr>
            <w:r w:rsidRPr="00BD5474">
              <w:rPr>
                <w:sz w:val="16"/>
                <w:szCs w:val="16"/>
              </w:rPr>
              <w:t>See split scales below.</w:t>
            </w:r>
          </w:p>
        </w:tc>
      </w:tr>
      <w:tr w:rsidR="004F1616" w:rsidRPr="001E2A96" w14:paraId="4C9DB75C" w14:textId="77777777" w:rsidTr="005B6F0B">
        <w:trPr>
          <w:trHeight w:val="186"/>
        </w:trPr>
        <w:tc>
          <w:tcPr>
            <w:tcW w:w="378" w:type="dxa"/>
            <w:noWrap/>
            <w:hideMark/>
          </w:tcPr>
          <w:p w14:paraId="764CBA39" w14:textId="77777777" w:rsidR="001E2A96" w:rsidRPr="00BD5474" w:rsidRDefault="001E2A96">
            <w:pPr>
              <w:rPr>
                <w:sz w:val="16"/>
                <w:szCs w:val="16"/>
              </w:rPr>
            </w:pPr>
          </w:p>
        </w:tc>
        <w:tc>
          <w:tcPr>
            <w:tcW w:w="3690" w:type="dxa"/>
            <w:noWrap/>
            <w:hideMark/>
          </w:tcPr>
          <w:p w14:paraId="7891235A" w14:textId="77777777" w:rsidR="001E2A96" w:rsidRPr="00BD5474" w:rsidRDefault="001E2A96">
            <w:pPr>
              <w:rPr>
                <w:sz w:val="16"/>
                <w:szCs w:val="16"/>
              </w:rPr>
            </w:pPr>
            <w:r w:rsidRPr="00BD5474">
              <w:rPr>
                <w:sz w:val="16"/>
                <w:szCs w:val="16"/>
              </w:rPr>
              <w:t>Agreeableness &amp; Openness</w:t>
            </w:r>
          </w:p>
        </w:tc>
        <w:tc>
          <w:tcPr>
            <w:tcW w:w="8940" w:type="dxa"/>
            <w:noWrap/>
            <w:hideMark/>
          </w:tcPr>
          <w:p w14:paraId="73061D44" w14:textId="77777777" w:rsidR="001E2A96" w:rsidRPr="00BD5474" w:rsidRDefault="001E2A96">
            <w:pPr>
              <w:rPr>
                <w:sz w:val="16"/>
                <w:szCs w:val="16"/>
              </w:rPr>
            </w:pPr>
            <w:r w:rsidRPr="00BD5474">
              <w:rPr>
                <w:sz w:val="16"/>
                <w:szCs w:val="16"/>
              </w:rPr>
              <w:t>Response format changed to 1-6 (strongly disagree-strongly agree)</w:t>
            </w:r>
            <w:r w:rsidR="00BC03DE" w:rsidRPr="00BD5474">
              <w:rPr>
                <w:sz w:val="16"/>
                <w:szCs w:val="16"/>
              </w:rPr>
              <w:t>.</w:t>
            </w:r>
          </w:p>
        </w:tc>
      </w:tr>
      <w:tr w:rsidR="004F1616" w:rsidRPr="001E2A96" w14:paraId="35D522C3" w14:textId="77777777" w:rsidTr="005B6F0B">
        <w:trPr>
          <w:trHeight w:val="186"/>
        </w:trPr>
        <w:tc>
          <w:tcPr>
            <w:tcW w:w="378" w:type="dxa"/>
            <w:noWrap/>
            <w:hideMark/>
          </w:tcPr>
          <w:p w14:paraId="59900F6D" w14:textId="77777777" w:rsidR="001E2A96" w:rsidRPr="00BD5474" w:rsidRDefault="001E2A96">
            <w:pPr>
              <w:rPr>
                <w:sz w:val="16"/>
                <w:szCs w:val="16"/>
              </w:rPr>
            </w:pPr>
          </w:p>
        </w:tc>
        <w:tc>
          <w:tcPr>
            <w:tcW w:w="3690" w:type="dxa"/>
            <w:noWrap/>
            <w:hideMark/>
          </w:tcPr>
          <w:p w14:paraId="06AC9B9F" w14:textId="77777777" w:rsidR="001E2A96" w:rsidRPr="00BD5474" w:rsidRDefault="001E2A96">
            <w:pPr>
              <w:rPr>
                <w:sz w:val="16"/>
                <w:szCs w:val="16"/>
              </w:rPr>
            </w:pPr>
            <w:r w:rsidRPr="00BD5474">
              <w:rPr>
                <w:sz w:val="16"/>
                <w:szCs w:val="16"/>
              </w:rPr>
              <w:t>Extroversion, conscientiousness &amp; neuroticism</w:t>
            </w:r>
          </w:p>
        </w:tc>
        <w:tc>
          <w:tcPr>
            <w:tcW w:w="8940" w:type="dxa"/>
            <w:noWrap/>
            <w:hideMark/>
          </w:tcPr>
          <w:p w14:paraId="26DAE021" w14:textId="77777777" w:rsidR="001E2A96" w:rsidRPr="00BD5474" w:rsidRDefault="001E2A96">
            <w:pPr>
              <w:rPr>
                <w:sz w:val="16"/>
                <w:szCs w:val="16"/>
              </w:rPr>
            </w:pPr>
            <w:r w:rsidRPr="00BD5474">
              <w:rPr>
                <w:sz w:val="16"/>
                <w:szCs w:val="16"/>
              </w:rPr>
              <w:t>Response format changed to 1-6 (strongly disagree-strongly agree)</w:t>
            </w:r>
            <w:r w:rsidR="00BC03DE" w:rsidRPr="00BD5474">
              <w:rPr>
                <w:sz w:val="16"/>
                <w:szCs w:val="16"/>
              </w:rPr>
              <w:t>.</w:t>
            </w:r>
          </w:p>
        </w:tc>
      </w:tr>
      <w:tr w:rsidR="001E2A96" w:rsidRPr="001E2A96" w14:paraId="6E3ECE34" w14:textId="77777777" w:rsidTr="005B6F0B">
        <w:trPr>
          <w:trHeight w:val="186"/>
        </w:trPr>
        <w:tc>
          <w:tcPr>
            <w:tcW w:w="4068" w:type="dxa"/>
            <w:gridSpan w:val="2"/>
            <w:noWrap/>
            <w:hideMark/>
          </w:tcPr>
          <w:p w14:paraId="4CA36556" w14:textId="77777777" w:rsidR="001E2A96" w:rsidRPr="00BD5474" w:rsidRDefault="001E2A96">
            <w:pPr>
              <w:rPr>
                <w:sz w:val="16"/>
                <w:szCs w:val="16"/>
              </w:rPr>
            </w:pPr>
            <w:r w:rsidRPr="00BD5474">
              <w:rPr>
                <w:sz w:val="16"/>
                <w:szCs w:val="16"/>
              </w:rPr>
              <w:t>Humanitarianism-Egalitarianism</w:t>
            </w:r>
          </w:p>
        </w:tc>
        <w:tc>
          <w:tcPr>
            <w:tcW w:w="8940" w:type="dxa"/>
            <w:noWrap/>
            <w:hideMark/>
          </w:tcPr>
          <w:p w14:paraId="33736D8F" w14:textId="77777777" w:rsidR="001E2A96" w:rsidRPr="00BD5474" w:rsidRDefault="001E2A96">
            <w:pPr>
              <w:rPr>
                <w:sz w:val="16"/>
                <w:szCs w:val="16"/>
              </w:rPr>
            </w:pPr>
            <w:r w:rsidRPr="00BD5474">
              <w:rPr>
                <w:sz w:val="16"/>
                <w:szCs w:val="16"/>
              </w:rPr>
              <w:t>Response format changed to 1-6 (strongly disagree-strongly agree)</w:t>
            </w:r>
            <w:r w:rsidR="00BC03DE" w:rsidRPr="00BD5474">
              <w:rPr>
                <w:sz w:val="16"/>
                <w:szCs w:val="16"/>
              </w:rPr>
              <w:t>.</w:t>
            </w:r>
          </w:p>
        </w:tc>
      </w:tr>
      <w:tr w:rsidR="001E2A96" w:rsidRPr="001E2A96" w14:paraId="299B7D14" w14:textId="77777777" w:rsidTr="005B6F0B">
        <w:trPr>
          <w:trHeight w:val="186"/>
        </w:trPr>
        <w:tc>
          <w:tcPr>
            <w:tcW w:w="4068" w:type="dxa"/>
            <w:gridSpan w:val="2"/>
            <w:noWrap/>
            <w:hideMark/>
          </w:tcPr>
          <w:p w14:paraId="7A799720" w14:textId="77777777" w:rsidR="001E2A96" w:rsidRPr="00BD5474" w:rsidRDefault="001E2A96">
            <w:pPr>
              <w:rPr>
                <w:sz w:val="16"/>
                <w:szCs w:val="16"/>
              </w:rPr>
            </w:pPr>
            <w:r w:rsidRPr="00BD5474">
              <w:rPr>
                <w:sz w:val="16"/>
                <w:szCs w:val="16"/>
              </w:rPr>
              <w:t>Intuitions about Controllability and Awareness of Thoughts</w:t>
            </w:r>
          </w:p>
        </w:tc>
        <w:tc>
          <w:tcPr>
            <w:tcW w:w="8940" w:type="dxa"/>
            <w:noWrap/>
            <w:hideMark/>
          </w:tcPr>
          <w:p w14:paraId="25A798BE" w14:textId="77777777" w:rsidR="001E2A96" w:rsidRPr="00BD5474" w:rsidRDefault="004F1616">
            <w:pPr>
              <w:rPr>
                <w:sz w:val="16"/>
                <w:szCs w:val="16"/>
              </w:rPr>
            </w:pPr>
            <w:r w:rsidRPr="00BD5474">
              <w:rPr>
                <w:sz w:val="16"/>
                <w:szCs w:val="16"/>
              </w:rPr>
              <w:t>See split scales below.</w:t>
            </w:r>
          </w:p>
        </w:tc>
      </w:tr>
      <w:tr w:rsidR="004F1616" w:rsidRPr="001E2A96" w14:paraId="6BB4CC3A" w14:textId="77777777" w:rsidTr="005B6F0B">
        <w:trPr>
          <w:trHeight w:val="186"/>
        </w:trPr>
        <w:tc>
          <w:tcPr>
            <w:tcW w:w="378" w:type="dxa"/>
            <w:noWrap/>
            <w:hideMark/>
          </w:tcPr>
          <w:p w14:paraId="4D1A29C1" w14:textId="77777777" w:rsidR="001E2A96" w:rsidRPr="00BD5474" w:rsidRDefault="001E2A96">
            <w:pPr>
              <w:rPr>
                <w:sz w:val="16"/>
                <w:szCs w:val="16"/>
              </w:rPr>
            </w:pPr>
          </w:p>
        </w:tc>
        <w:tc>
          <w:tcPr>
            <w:tcW w:w="3690" w:type="dxa"/>
            <w:noWrap/>
            <w:hideMark/>
          </w:tcPr>
          <w:p w14:paraId="7FC0A182" w14:textId="77777777" w:rsidR="001E2A96" w:rsidRPr="00BD5474" w:rsidRDefault="001E2A96">
            <w:pPr>
              <w:rPr>
                <w:sz w:val="16"/>
                <w:szCs w:val="16"/>
              </w:rPr>
            </w:pPr>
            <w:r w:rsidRPr="00BD5474">
              <w:rPr>
                <w:sz w:val="16"/>
                <w:szCs w:val="16"/>
              </w:rPr>
              <w:t>Others</w:t>
            </w:r>
          </w:p>
        </w:tc>
        <w:tc>
          <w:tcPr>
            <w:tcW w:w="8940" w:type="dxa"/>
            <w:noWrap/>
            <w:hideMark/>
          </w:tcPr>
          <w:p w14:paraId="1C00F49C" w14:textId="60B63186" w:rsidR="001E2A96" w:rsidRPr="00BD5474" w:rsidRDefault="001E2A96">
            <w:pPr>
              <w:rPr>
                <w:sz w:val="16"/>
                <w:szCs w:val="16"/>
              </w:rPr>
            </w:pPr>
            <w:r w:rsidRPr="00BD5474">
              <w:rPr>
                <w:sz w:val="16"/>
                <w:szCs w:val="16"/>
              </w:rPr>
              <w:t>3 items modified</w:t>
            </w:r>
            <w:r w:rsidR="0060200B" w:rsidRPr="00BD5474">
              <w:rPr>
                <w:sz w:val="16"/>
                <w:szCs w:val="16"/>
              </w:rPr>
              <w:t xml:space="preserve"> compared to their original wording (according to Attitudes 2.0 study documentation), but the original scales were not published so no canonical version of the scale exists.</w:t>
            </w:r>
          </w:p>
        </w:tc>
      </w:tr>
      <w:tr w:rsidR="0060200B" w:rsidRPr="001E2A96" w14:paraId="39A43A65" w14:textId="77777777" w:rsidTr="005B6F0B">
        <w:trPr>
          <w:trHeight w:val="186"/>
        </w:trPr>
        <w:tc>
          <w:tcPr>
            <w:tcW w:w="378" w:type="dxa"/>
            <w:noWrap/>
            <w:hideMark/>
          </w:tcPr>
          <w:p w14:paraId="120BB8D2" w14:textId="77777777" w:rsidR="0060200B" w:rsidRPr="00BD5474" w:rsidRDefault="0060200B">
            <w:pPr>
              <w:rPr>
                <w:sz w:val="16"/>
                <w:szCs w:val="16"/>
              </w:rPr>
            </w:pPr>
          </w:p>
        </w:tc>
        <w:tc>
          <w:tcPr>
            <w:tcW w:w="3690" w:type="dxa"/>
            <w:noWrap/>
            <w:hideMark/>
          </w:tcPr>
          <w:p w14:paraId="66BE0B8E" w14:textId="77777777" w:rsidR="0060200B" w:rsidRPr="00BD5474" w:rsidRDefault="0060200B">
            <w:pPr>
              <w:rPr>
                <w:sz w:val="16"/>
                <w:szCs w:val="16"/>
              </w:rPr>
            </w:pPr>
            <w:r w:rsidRPr="00BD5474">
              <w:rPr>
                <w:sz w:val="16"/>
                <w:szCs w:val="16"/>
              </w:rPr>
              <w:t>Self</w:t>
            </w:r>
          </w:p>
        </w:tc>
        <w:tc>
          <w:tcPr>
            <w:tcW w:w="8940" w:type="dxa"/>
            <w:noWrap/>
            <w:hideMark/>
          </w:tcPr>
          <w:p w14:paraId="23CE3A6D" w14:textId="317271C1" w:rsidR="0060200B" w:rsidRPr="00BD5474" w:rsidRDefault="0060200B">
            <w:pPr>
              <w:rPr>
                <w:color w:val="FF0000"/>
                <w:sz w:val="16"/>
                <w:szCs w:val="16"/>
              </w:rPr>
            </w:pPr>
            <w:r w:rsidRPr="00BD5474">
              <w:rPr>
                <w:sz w:val="16"/>
                <w:szCs w:val="16"/>
              </w:rPr>
              <w:t>3 items modified compared to their original wording (according to Attitudes 2.0 study documentation), but the original scales were not published so no canonical version of the scale exists.</w:t>
            </w:r>
          </w:p>
        </w:tc>
      </w:tr>
      <w:tr w:rsidR="001E2A96" w:rsidRPr="001E2A96" w14:paraId="42CC8FCD" w14:textId="77777777" w:rsidTr="005B6F0B">
        <w:trPr>
          <w:trHeight w:val="186"/>
        </w:trPr>
        <w:tc>
          <w:tcPr>
            <w:tcW w:w="4068" w:type="dxa"/>
            <w:gridSpan w:val="2"/>
            <w:noWrap/>
            <w:hideMark/>
          </w:tcPr>
          <w:p w14:paraId="6C610383" w14:textId="77777777" w:rsidR="001E2A96" w:rsidRPr="00BD5474" w:rsidRDefault="001E2A96">
            <w:pPr>
              <w:rPr>
                <w:sz w:val="16"/>
                <w:szCs w:val="16"/>
              </w:rPr>
            </w:pPr>
            <w:r w:rsidRPr="00BD5474">
              <w:rPr>
                <w:sz w:val="16"/>
                <w:szCs w:val="16"/>
              </w:rPr>
              <w:t>Need for Cognition</w:t>
            </w:r>
          </w:p>
        </w:tc>
        <w:tc>
          <w:tcPr>
            <w:tcW w:w="8940" w:type="dxa"/>
            <w:noWrap/>
            <w:hideMark/>
          </w:tcPr>
          <w:p w14:paraId="60D0BC16" w14:textId="77777777" w:rsidR="001E2A96" w:rsidRPr="00BD5474" w:rsidRDefault="001E2A96">
            <w:pPr>
              <w:rPr>
                <w:sz w:val="16"/>
                <w:szCs w:val="16"/>
              </w:rPr>
            </w:pPr>
            <w:r w:rsidRPr="00BD5474">
              <w:rPr>
                <w:sz w:val="16"/>
                <w:szCs w:val="16"/>
              </w:rPr>
              <w:t>Response format changed to 1-6 (strongly disagree-strongly agree)</w:t>
            </w:r>
            <w:r w:rsidR="00BC03DE" w:rsidRPr="00BD5474">
              <w:rPr>
                <w:sz w:val="16"/>
                <w:szCs w:val="16"/>
              </w:rPr>
              <w:t>.</w:t>
            </w:r>
          </w:p>
        </w:tc>
      </w:tr>
      <w:tr w:rsidR="001E2A96" w:rsidRPr="001E2A96" w14:paraId="52E62DDE" w14:textId="77777777" w:rsidTr="005B6F0B">
        <w:trPr>
          <w:trHeight w:val="186"/>
        </w:trPr>
        <w:tc>
          <w:tcPr>
            <w:tcW w:w="4068" w:type="dxa"/>
            <w:gridSpan w:val="2"/>
            <w:noWrap/>
            <w:hideMark/>
          </w:tcPr>
          <w:p w14:paraId="3CB59652" w14:textId="77777777" w:rsidR="001E2A96" w:rsidRPr="00BD5474" w:rsidRDefault="001E2A96">
            <w:pPr>
              <w:rPr>
                <w:sz w:val="16"/>
                <w:szCs w:val="16"/>
              </w:rPr>
            </w:pPr>
            <w:r w:rsidRPr="00BD5474">
              <w:rPr>
                <w:sz w:val="16"/>
                <w:szCs w:val="16"/>
              </w:rPr>
              <w:t>Need for Cognitive Closure</w:t>
            </w:r>
          </w:p>
        </w:tc>
        <w:tc>
          <w:tcPr>
            <w:tcW w:w="8940" w:type="dxa"/>
            <w:noWrap/>
            <w:hideMark/>
          </w:tcPr>
          <w:p w14:paraId="1D54A261" w14:textId="77777777" w:rsidR="001E2A96" w:rsidRPr="00BD5474" w:rsidRDefault="004F1616">
            <w:pPr>
              <w:rPr>
                <w:sz w:val="16"/>
                <w:szCs w:val="16"/>
              </w:rPr>
            </w:pPr>
            <w:r w:rsidRPr="00BD5474">
              <w:rPr>
                <w:sz w:val="16"/>
                <w:szCs w:val="16"/>
              </w:rPr>
              <w:t>See split scales below.</w:t>
            </w:r>
          </w:p>
        </w:tc>
      </w:tr>
      <w:tr w:rsidR="004F1616" w:rsidRPr="001E2A96" w14:paraId="3BD47032" w14:textId="77777777" w:rsidTr="005B6F0B">
        <w:trPr>
          <w:trHeight w:val="186"/>
        </w:trPr>
        <w:tc>
          <w:tcPr>
            <w:tcW w:w="378" w:type="dxa"/>
            <w:noWrap/>
            <w:hideMark/>
          </w:tcPr>
          <w:p w14:paraId="637A7430" w14:textId="77777777" w:rsidR="001E2A96" w:rsidRPr="00BD5474" w:rsidRDefault="001E2A96">
            <w:pPr>
              <w:rPr>
                <w:sz w:val="16"/>
                <w:szCs w:val="16"/>
              </w:rPr>
            </w:pPr>
          </w:p>
        </w:tc>
        <w:tc>
          <w:tcPr>
            <w:tcW w:w="3690" w:type="dxa"/>
            <w:noWrap/>
            <w:hideMark/>
          </w:tcPr>
          <w:p w14:paraId="6BC84DC5" w14:textId="77777777" w:rsidR="001E2A96" w:rsidRPr="00BD5474" w:rsidRDefault="001E2A96">
            <w:pPr>
              <w:rPr>
                <w:sz w:val="16"/>
                <w:szCs w:val="16"/>
              </w:rPr>
            </w:pPr>
            <w:r w:rsidRPr="00BD5474">
              <w:rPr>
                <w:sz w:val="16"/>
                <w:szCs w:val="16"/>
              </w:rPr>
              <w:t>Order &amp; ambiguity</w:t>
            </w:r>
          </w:p>
        </w:tc>
        <w:tc>
          <w:tcPr>
            <w:tcW w:w="8940" w:type="dxa"/>
            <w:noWrap/>
            <w:hideMark/>
          </w:tcPr>
          <w:p w14:paraId="7E5C73D3" w14:textId="77777777" w:rsidR="001E2A96" w:rsidRPr="00BD5474" w:rsidRDefault="001E2A96">
            <w:pPr>
              <w:rPr>
                <w:sz w:val="16"/>
                <w:szCs w:val="16"/>
              </w:rPr>
            </w:pPr>
            <w:r w:rsidRPr="00BD5474">
              <w:rPr>
                <w:sz w:val="16"/>
                <w:szCs w:val="16"/>
              </w:rPr>
              <w:t>3 items dropped (</w:t>
            </w:r>
            <w:r w:rsidR="00902E82" w:rsidRPr="00BD5474">
              <w:rPr>
                <w:sz w:val="16"/>
                <w:szCs w:val="16"/>
              </w:rPr>
              <w:t>i.e.</w:t>
            </w:r>
            <w:r w:rsidRPr="00BD5474">
              <w:rPr>
                <w:sz w:val="16"/>
                <w:szCs w:val="16"/>
              </w:rPr>
              <w:t xml:space="preserve"> 'lie' scale dropped)</w:t>
            </w:r>
            <w:r w:rsidR="00BC03DE" w:rsidRPr="00BD5474">
              <w:rPr>
                <w:sz w:val="16"/>
                <w:szCs w:val="16"/>
              </w:rPr>
              <w:t>.</w:t>
            </w:r>
          </w:p>
        </w:tc>
      </w:tr>
      <w:tr w:rsidR="004F1616" w:rsidRPr="001E2A96" w14:paraId="3496FC9E" w14:textId="77777777" w:rsidTr="005B6F0B">
        <w:trPr>
          <w:trHeight w:val="186"/>
        </w:trPr>
        <w:tc>
          <w:tcPr>
            <w:tcW w:w="378" w:type="dxa"/>
            <w:noWrap/>
            <w:hideMark/>
          </w:tcPr>
          <w:p w14:paraId="5FE10275" w14:textId="77777777" w:rsidR="001E2A96" w:rsidRPr="00BD5474" w:rsidRDefault="001E2A96">
            <w:pPr>
              <w:rPr>
                <w:sz w:val="16"/>
                <w:szCs w:val="16"/>
              </w:rPr>
            </w:pPr>
          </w:p>
        </w:tc>
        <w:tc>
          <w:tcPr>
            <w:tcW w:w="3690" w:type="dxa"/>
            <w:noWrap/>
            <w:hideMark/>
          </w:tcPr>
          <w:p w14:paraId="5628299B" w14:textId="77777777" w:rsidR="001E2A96" w:rsidRPr="00BD5474" w:rsidRDefault="001E2A96">
            <w:pPr>
              <w:rPr>
                <w:sz w:val="16"/>
                <w:szCs w:val="16"/>
              </w:rPr>
            </w:pPr>
            <w:r w:rsidRPr="00BD5474">
              <w:rPr>
                <w:sz w:val="16"/>
                <w:szCs w:val="16"/>
              </w:rPr>
              <w:t>Predictability, decisiveness &amp; close-mindedness</w:t>
            </w:r>
          </w:p>
        </w:tc>
        <w:tc>
          <w:tcPr>
            <w:tcW w:w="8940" w:type="dxa"/>
            <w:noWrap/>
            <w:hideMark/>
          </w:tcPr>
          <w:p w14:paraId="5DD0F6C0" w14:textId="77777777" w:rsidR="001E2A96" w:rsidRPr="00BD5474" w:rsidRDefault="001E2A96">
            <w:pPr>
              <w:rPr>
                <w:sz w:val="16"/>
                <w:szCs w:val="16"/>
              </w:rPr>
            </w:pPr>
            <w:r w:rsidRPr="00BD5474">
              <w:rPr>
                <w:sz w:val="16"/>
                <w:szCs w:val="16"/>
              </w:rPr>
              <w:t>3 items dropped (</w:t>
            </w:r>
            <w:r w:rsidR="00902E82" w:rsidRPr="00BD5474">
              <w:rPr>
                <w:sz w:val="16"/>
                <w:szCs w:val="16"/>
              </w:rPr>
              <w:t>i.e.</w:t>
            </w:r>
            <w:r w:rsidRPr="00BD5474">
              <w:rPr>
                <w:sz w:val="16"/>
                <w:szCs w:val="16"/>
              </w:rPr>
              <w:t xml:space="preserve"> 'lie' scale dropped)</w:t>
            </w:r>
            <w:r w:rsidR="00BC03DE" w:rsidRPr="00BD5474">
              <w:rPr>
                <w:sz w:val="16"/>
                <w:szCs w:val="16"/>
              </w:rPr>
              <w:t>.</w:t>
            </w:r>
          </w:p>
        </w:tc>
      </w:tr>
      <w:tr w:rsidR="001E2A96" w:rsidRPr="001E2A96" w14:paraId="3FD314EA" w14:textId="77777777" w:rsidTr="005B6F0B">
        <w:trPr>
          <w:trHeight w:val="186"/>
        </w:trPr>
        <w:tc>
          <w:tcPr>
            <w:tcW w:w="4068" w:type="dxa"/>
            <w:gridSpan w:val="2"/>
            <w:noWrap/>
            <w:hideMark/>
          </w:tcPr>
          <w:p w14:paraId="1F65FD36" w14:textId="77777777" w:rsidR="001E2A96" w:rsidRPr="00BD5474" w:rsidRDefault="001E2A96">
            <w:pPr>
              <w:rPr>
                <w:sz w:val="16"/>
                <w:szCs w:val="16"/>
              </w:rPr>
            </w:pPr>
            <w:r w:rsidRPr="00BD5474">
              <w:rPr>
                <w:sz w:val="16"/>
                <w:szCs w:val="16"/>
              </w:rPr>
              <w:t>Personal Need for Structure</w:t>
            </w:r>
          </w:p>
        </w:tc>
        <w:tc>
          <w:tcPr>
            <w:tcW w:w="8940" w:type="dxa"/>
            <w:noWrap/>
            <w:hideMark/>
          </w:tcPr>
          <w:p w14:paraId="26AFC2DB" w14:textId="77777777" w:rsidR="001E2A96" w:rsidRPr="00BD5474" w:rsidRDefault="001E2A96">
            <w:pPr>
              <w:rPr>
                <w:sz w:val="16"/>
                <w:szCs w:val="16"/>
              </w:rPr>
            </w:pPr>
            <w:r w:rsidRPr="00BD5474">
              <w:rPr>
                <w:sz w:val="16"/>
                <w:szCs w:val="16"/>
              </w:rPr>
              <w:t>None</w:t>
            </w:r>
            <w:r w:rsidR="00BC03DE" w:rsidRPr="00BD5474">
              <w:rPr>
                <w:sz w:val="16"/>
                <w:szCs w:val="16"/>
              </w:rPr>
              <w:t>.</w:t>
            </w:r>
          </w:p>
        </w:tc>
      </w:tr>
      <w:tr w:rsidR="001E2A96" w:rsidRPr="001E2A96" w14:paraId="5001B9FC" w14:textId="77777777" w:rsidTr="005B6F0B">
        <w:trPr>
          <w:trHeight w:val="186"/>
        </w:trPr>
        <w:tc>
          <w:tcPr>
            <w:tcW w:w="4068" w:type="dxa"/>
            <w:gridSpan w:val="2"/>
            <w:noWrap/>
            <w:hideMark/>
          </w:tcPr>
          <w:p w14:paraId="1FD6282E" w14:textId="77777777" w:rsidR="001E2A96" w:rsidRPr="00BD5474" w:rsidRDefault="001E2A96">
            <w:pPr>
              <w:rPr>
                <w:sz w:val="16"/>
                <w:szCs w:val="16"/>
              </w:rPr>
            </w:pPr>
            <w:r w:rsidRPr="00BD5474">
              <w:rPr>
                <w:sz w:val="16"/>
                <w:szCs w:val="16"/>
              </w:rPr>
              <w:t>Protestant Ethic</w:t>
            </w:r>
          </w:p>
        </w:tc>
        <w:tc>
          <w:tcPr>
            <w:tcW w:w="8940" w:type="dxa"/>
            <w:noWrap/>
            <w:hideMark/>
          </w:tcPr>
          <w:p w14:paraId="75D03803" w14:textId="77777777" w:rsidR="001E2A96" w:rsidRPr="00BD5474" w:rsidRDefault="001E2A96">
            <w:pPr>
              <w:rPr>
                <w:sz w:val="16"/>
                <w:szCs w:val="16"/>
              </w:rPr>
            </w:pPr>
            <w:r w:rsidRPr="00BD5474">
              <w:rPr>
                <w:sz w:val="16"/>
                <w:szCs w:val="16"/>
              </w:rPr>
              <w:t>Response format changed to 1-6 (strongly disagree-strongly agree)</w:t>
            </w:r>
            <w:r w:rsidR="00BC03DE" w:rsidRPr="00BD5474">
              <w:rPr>
                <w:sz w:val="16"/>
                <w:szCs w:val="16"/>
              </w:rPr>
              <w:t>.</w:t>
            </w:r>
          </w:p>
        </w:tc>
      </w:tr>
      <w:tr w:rsidR="001E2A96" w:rsidRPr="001E2A96" w14:paraId="65FD6D60" w14:textId="77777777" w:rsidTr="005B6F0B">
        <w:trPr>
          <w:trHeight w:val="186"/>
        </w:trPr>
        <w:tc>
          <w:tcPr>
            <w:tcW w:w="4068" w:type="dxa"/>
            <w:gridSpan w:val="2"/>
            <w:noWrap/>
            <w:hideMark/>
          </w:tcPr>
          <w:p w14:paraId="6D48CBCA" w14:textId="77777777" w:rsidR="001E2A96" w:rsidRPr="00BD5474" w:rsidRDefault="001E2A96">
            <w:pPr>
              <w:rPr>
                <w:sz w:val="16"/>
                <w:szCs w:val="16"/>
              </w:rPr>
            </w:pPr>
            <w:r w:rsidRPr="00BD5474">
              <w:rPr>
                <w:sz w:val="16"/>
                <w:szCs w:val="16"/>
              </w:rPr>
              <w:t>Ring-Wing Authoritarianism</w:t>
            </w:r>
          </w:p>
        </w:tc>
        <w:tc>
          <w:tcPr>
            <w:tcW w:w="8940" w:type="dxa"/>
            <w:noWrap/>
            <w:hideMark/>
          </w:tcPr>
          <w:p w14:paraId="1CBEFD05" w14:textId="77777777" w:rsidR="001E2A96" w:rsidRPr="00BD5474" w:rsidRDefault="001E2A96">
            <w:pPr>
              <w:rPr>
                <w:sz w:val="16"/>
                <w:szCs w:val="16"/>
              </w:rPr>
            </w:pPr>
            <w:r w:rsidRPr="00BD5474">
              <w:rPr>
                <w:sz w:val="16"/>
                <w:szCs w:val="16"/>
              </w:rPr>
              <w:t>Response format changed to 1-6 (strongly disagree-strongly agree); 10 items dropped (original items 1, 2, 9, 10, 14, 18, 20, 25, 27, &amp; 30)</w:t>
            </w:r>
            <w:r w:rsidR="00BC03DE" w:rsidRPr="00BD5474">
              <w:rPr>
                <w:sz w:val="16"/>
                <w:szCs w:val="16"/>
              </w:rPr>
              <w:t>.</w:t>
            </w:r>
          </w:p>
        </w:tc>
      </w:tr>
      <w:tr w:rsidR="001E2A96" w:rsidRPr="001E2A96" w14:paraId="4A030F4C" w14:textId="77777777" w:rsidTr="005B6F0B">
        <w:trPr>
          <w:trHeight w:val="186"/>
        </w:trPr>
        <w:tc>
          <w:tcPr>
            <w:tcW w:w="4068" w:type="dxa"/>
            <w:gridSpan w:val="2"/>
            <w:noWrap/>
            <w:hideMark/>
          </w:tcPr>
          <w:p w14:paraId="4659DD6E" w14:textId="77777777" w:rsidR="001E2A96" w:rsidRPr="00BD5474" w:rsidRDefault="001E2A96">
            <w:pPr>
              <w:rPr>
                <w:sz w:val="16"/>
                <w:szCs w:val="16"/>
              </w:rPr>
            </w:pPr>
            <w:r w:rsidRPr="00BD5474">
              <w:rPr>
                <w:sz w:val="16"/>
                <w:szCs w:val="16"/>
              </w:rPr>
              <w:t>Rosenberg Self-Esteem</w:t>
            </w:r>
          </w:p>
        </w:tc>
        <w:tc>
          <w:tcPr>
            <w:tcW w:w="8940" w:type="dxa"/>
            <w:noWrap/>
            <w:hideMark/>
          </w:tcPr>
          <w:p w14:paraId="0090B1D6" w14:textId="77777777" w:rsidR="001E2A96" w:rsidRPr="00BD5474" w:rsidRDefault="001E2A96">
            <w:pPr>
              <w:rPr>
                <w:sz w:val="16"/>
                <w:szCs w:val="16"/>
              </w:rPr>
            </w:pPr>
            <w:r w:rsidRPr="00BD5474">
              <w:rPr>
                <w:sz w:val="16"/>
                <w:szCs w:val="16"/>
              </w:rPr>
              <w:t>Response format changed to 1-6 (strongly disagree-strongly agree); 10 items dropped</w:t>
            </w:r>
          </w:p>
        </w:tc>
      </w:tr>
      <w:tr w:rsidR="001E2A96" w:rsidRPr="001E2A96" w14:paraId="53B7EB13" w14:textId="77777777" w:rsidTr="005B6F0B">
        <w:trPr>
          <w:trHeight w:val="186"/>
        </w:trPr>
        <w:tc>
          <w:tcPr>
            <w:tcW w:w="4068" w:type="dxa"/>
            <w:gridSpan w:val="2"/>
            <w:noWrap/>
            <w:hideMark/>
          </w:tcPr>
          <w:p w14:paraId="726EA50F" w14:textId="77777777" w:rsidR="001E2A96" w:rsidRPr="00BD5474" w:rsidRDefault="001E2A96">
            <w:pPr>
              <w:rPr>
                <w:sz w:val="16"/>
                <w:szCs w:val="16"/>
              </w:rPr>
            </w:pPr>
            <w:r w:rsidRPr="00BD5474">
              <w:rPr>
                <w:sz w:val="16"/>
                <w:szCs w:val="16"/>
              </w:rPr>
              <w:t>Self-Monitoring</w:t>
            </w:r>
          </w:p>
        </w:tc>
        <w:tc>
          <w:tcPr>
            <w:tcW w:w="8940" w:type="dxa"/>
            <w:noWrap/>
            <w:hideMark/>
          </w:tcPr>
          <w:p w14:paraId="19BF1C93" w14:textId="77777777" w:rsidR="001E2A96" w:rsidRPr="00BD5474" w:rsidRDefault="001E2A96">
            <w:pPr>
              <w:rPr>
                <w:sz w:val="16"/>
                <w:szCs w:val="16"/>
              </w:rPr>
            </w:pPr>
            <w:r w:rsidRPr="00BD5474">
              <w:rPr>
                <w:sz w:val="16"/>
                <w:szCs w:val="16"/>
              </w:rPr>
              <w:t>Response format changed to 1-6 (strongly disagree-strongly agree)</w:t>
            </w:r>
            <w:r w:rsidR="00BC03DE" w:rsidRPr="00BD5474">
              <w:rPr>
                <w:sz w:val="16"/>
                <w:szCs w:val="16"/>
              </w:rPr>
              <w:t>.</w:t>
            </w:r>
          </w:p>
        </w:tc>
      </w:tr>
      <w:tr w:rsidR="001E2A96" w:rsidRPr="001E2A96" w14:paraId="3549115A" w14:textId="77777777" w:rsidTr="005B6F0B">
        <w:trPr>
          <w:trHeight w:val="186"/>
        </w:trPr>
        <w:tc>
          <w:tcPr>
            <w:tcW w:w="4068" w:type="dxa"/>
            <w:gridSpan w:val="2"/>
            <w:noWrap/>
            <w:hideMark/>
          </w:tcPr>
          <w:p w14:paraId="51C2102B" w14:textId="77777777" w:rsidR="001E2A96" w:rsidRPr="00BD5474" w:rsidRDefault="001E2A96">
            <w:pPr>
              <w:rPr>
                <w:sz w:val="16"/>
                <w:szCs w:val="16"/>
              </w:rPr>
            </w:pPr>
            <w:r w:rsidRPr="00BD5474">
              <w:rPr>
                <w:sz w:val="16"/>
                <w:szCs w:val="16"/>
              </w:rPr>
              <w:t>Social Dominance Orientation</w:t>
            </w:r>
          </w:p>
        </w:tc>
        <w:tc>
          <w:tcPr>
            <w:tcW w:w="8940" w:type="dxa"/>
            <w:noWrap/>
            <w:hideMark/>
          </w:tcPr>
          <w:p w14:paraId="1CF31A6A" w14:textId="77777777" w:rsidR="001E2A96" w:rsidRPr="00BD5474" w:rsidRDefault="001E2A96">
            <w:pPr>
              <w:rPr>
                <w:sz w:val="16"/>
                <w:szCs w:val="16"/>
              </w:rPr>
            </w:pPr>
            <w:r w:rsidRPr="00BD5474">
              <w:rPr>
                <w:sz w:val="16"/>
                <w:szCs w:val="16"/>
              </w:rPr>
              <w:t>Response format changed to 1-6 (strongly disagree-strongly agree), Multiple versions of scale provided in original publication, Number 4 scale used here</w:t>
            </w:r>
            <w:r w:rsidR="00BC03DE" w:rsidRPr="00BD5474">
              <w:rPr>
                <w:sz w:val="16"/>
                <w:szCs w:val="16"/>
              </w:rPr>
              <w:t>.</w:t>
            </w:r>
          </w:p>
        </w:tc>
      </w:tr>
      <w:tr w:rsidR="001E2A96" w:rsidRPr="001E2A96" w14:paraId="6FCE6CDD" w14:textId="77777777" w:rsidTr="005B6F0B">
        <w:trPr>
          <w:trHeight w:val="186"/>
        </w:trPr>
        <w:tc>
          <w:tcPr>
            <w:tcW w:w="4068" w:type="dxa"/>
            <w:gridSpan w:val="2"/>
            <w:noWrap/>
            <w:hideMark/>
          </w:tcPr>
          <w:p w14:paraId="4F2B700D" w14:textId="77777777" w:rsidR="001E2A96" w:rsidRPr="00BD5474" w:rsidRDefault="001E2A96">
            <w:pPr>
              <w:rPr>
                <w:sz w:val="16"/>
                <w:szCs w:val="16"/>
              </w:rPr>
            </w:pPr>
            <w:r w:rsidRPr="00BD5474">
              <w:rPr>
                <w:sz w:val="16"/>
                <w:szCs w:val="16"/>
              </w:rPr>
              <w:t>Spheres of Control</w:t>
            </w:r>
          </w:p>
        </w:tc>
        <w:tc>
          <w:tcPr>
            <w:tcW w:w="8940" w:type="dxa"/>
            <w:noWrap/>
            <w:hideMark/>
          </w:tcPr>
          <w:p w14:paraId="50769211" w14:textId="77777777" w:rsidR="001E2A96" w:rsidRPr="00BD5474" w:rsidRDefault="004F1616">
            <w:pPr>
              <w:rPr>
                <w:sz w:val="16"/>
                <w:szCs w:val="16"/>
              </w:rPr>
            </w:pPr>
            <w:r w:rsidRPr="00BD5474">
              <w:rPr>
                <w:sz w:val="16"/>
                <w:szCs w:val="16"/>
              </w:rPr>
              <w:t>See split scales below.</w:t>
            </w:r>
          </w:p>
        </w:tc>
      </w:tr>
      <w:tr w:rsidR="004F1616" w:rsidRPr="001E2A96" w14:paraId="430C0877" w14:textId="77777777" w:rsidTr="005B6F0B">
        <w:trPr>
          <w:trHeight w:val="186"/>
        </w:trPr>
        <w:tc>
          <w:tcPr>
            <w:tcW w:w="378" w:type="dxa"/>
            <w:noWrap/>
            <w:hideMark/>
          </w:tcPr>
          <w:p w14:paraId="5D33608E" w14:textId="77777777" w:rsidR="001E2A96" w:rsidRPr="00BD5474" w:rsidRDefault="001E2A96">
            <w:pPr>
              <w:rPr>
                <w:sz w:val="16"/>
                <w:szCs w:val="16"/>
              </w:rPr>
            </w:pPr>
          </w:p>
        </w:tc>
        <w:tc>
          <w:tcPr>
            <w:tcW w:w="3690" w:type="dxa"/>
            <w:noWrap/>
            <w:hideMark/>
          </w:tcPr>
          <w:p w14:paraId="170C149C" w14:textId="77777777" w:rsidR="001E2A96" w:rsidRPr="00BD5474" w:rsidRDefault="001E2A96">
            <w:pPr>
              <w:rPr>
                <w:sz w:val="16"/>
                <w:szCs w:val="16"/>
              </w:rPr>
            </w:pPr>
            <w:r w:rsidRPr="00BD5474">
              <w:rPr>
                <w:sz w:val="16"/>
                <w:szCs w:val="16"/>
              </w:rPr>
              <w:t>Interpersonal Control</w:t>
            </w:r>
          </w:p>
        </w:tc>
        <w:tc>
          <w:tcPr>
            <w:tcW w:w="8940" w:type="dxa"/>
            <w:noWrap/>
            <w:hideMark/>
          </w:tcPr>
          <w:p w14:paraId="457F6329" w14:textId="77777777" w:rsidR="001E2A96" w:rsidRPr="00BD5474" w:rsidRDefault="001E2A96">
            <w:pPr>
              <w:rPr>
                <w:sz w:val="16"/>
                <w:szCs w:val="16"/>
              </w:rPr>
            </w:pPr>
            <w:r w:rsidRPr="00BD5474">
              <w:rPr>
                <w:sz w:val="16"/>
                <w:szCs w:val="16"/>
              </w:rPr>
              <w:t>Response format changed to 1-6 (strongly disagree-strongly agree)</w:t>
            </w:r>
            <w:r w:rsidR="00BC03DE" w:rsidRPr="00BD5474">
              <w:rPr>
                <w:sz w:val="16"/>
                <w:szCs w:val="16"/>
              </w:rPr>
              <w:t>.</w:t>
            </w:r>
          </w:p>
        </w:tc>
      </w:tr>
      <w:tr w:rsidR="004F1616" w:rsidRPr="001E2A96" w14:paraId="5B88E36F" w14:textId="77777777" w:rsidTr="005B6F0B">
        <w:trPr>
          <w:trHeight w:val="186"/>
        </w:trPr>
        <w:tc>
          <w:tcPr>
            <w:tcW w:w="378" w:type="dxa"/>
            <w:noWrap/>
            <w:hideMark/>
          </w:tcPr>
          <w:p w14:paraId="3FAD9EA3" w14:textId="77777777" w:rsidR="001E2A96" w:rsidRPr="00BD5474" w:rsidRDefault="001E2A96">
            <w:pPr>
              <w:rPr>
                <w:sz w:val="16"/>
                <w:szCs w:val="16"/>
              </w:rPr>
            </w:pPr>
          </w:p>
        </w:tc>
        <w:tc>
          <w:tcPr>
            <w:tcW w:w="3690" w:type="dxa"/>
            <w:noWrap/>
            <w:hideMark/>
          </w:tcPr>
          <w:p w14:paraId="02ABB227" w14:textId="77777777" w:rsidR="001E2A96" w:rsidRPr="00BD5474" w:rsidRDefault="001E2A96">
            <w:pPr>
              <w:rPr>
                <w:sz w:val="16"/>
                <w:szCs w:val="16"/>
              </w:rPr>
            </w:pPr>
            <w:r w:rsidRPr="00BD5474">
              <w:rPr>
                <w:sz w:val="16"/>
                <w:szCs w:val="16"/>
              </w:rPr>
              <w:t>Personal Efficacy</w:t>
            </w:r>
          </w:p>
        </w:tc>
        <w:tc>
          <w:tcPr>
            <w:tcW w:w="8940" w:type="dxa"/>
            <w:noWrap/>
            <w:hideMark/>
          </w:tcPr>
          <w:p w14:paraId="0FDE3AF8" w14:textId="77777777" w:rsidR="001E2A96" w:rsidRPr="00BD5474" w:rsidRDefault="001E2A96">
            <w:pPr>
              <w:rPr>
                <w:sz w:val="16"/>
                <w:szCs w:val="16"/>
              </w:rPr>
            </w:pPr>
            <w:r w:rsidRPr="00BD5474">
              <w:rPr>
                <w:sz w:val="16"/>
                <w:szCs w:val="16"/>
              </w:rPr>
              <w:t>Response format changed to 1-6 (strongly disagree-strongly agree)</w:t>
            </w:r>
            <w:r w:rsidR="00BC03DE" w:rsidRPr="00BD5474">
              <w:rPr>
                <w:sz w:val="16"/>
                <w:szCs w:val="16"/>
              </w:rPr>
              <w:t>.</w:t>
            </w:r>
          </w:p>
        </w:tc>
      </w:tr>
    </w:tbl>
    <w:p w14:paraId="2D89F1AB" w14:textId="77777777" w:rsidR="001E2A96" w:rsidRDefault="001E2A96" w:rsidP="001E2A96"/>
    <w:p w14:paraId="2008E685" w14:textId="77777777" w:rsidR="004F1616" w:rsidRDefault="004F1616" w:rsidP="001E2A96"/>
    <w:p w14:paraId="1080350A" w14:textId="77777777" w:rsidR="004F1616" w:rsidRDefault="004F1616">
      <w:r>
        <w:br w:type="page"/>
      </w:r>
    </w:p>
    <w:p w14:paraId="217F875E" w14:textId="77777777" w:rsidR="004F1616" w:rsidRPr="00BD5474" w:rsidRDefault="004F1616" w:rsidP="004F1616">
      <w:pPr>
        <w:jc w:val="center"/>
        <w:rPr>
          <w:b/>
        </w:rPr>
      </w:pPr>
      <w:r w:rsidRPr="00BD5474">
        <w:rPr>
          <w:b/>
        </w:rPr>
        <w:lastRenderedPageBreak/>
        <w:t>References</w:t>
      </w:r>
    </w:p>
    <w:p w14:paraId="3478E69C" w14:textId="77777777" w:rsidR="005B6F0B" w:rsidRPr="005B6F0B" w:rsidRDefault="005B6F0B" w:rsidP="005B6F0B">
      <w:pPr>
        <w:pStyle w:val="Bibliography"/>
        <w:rPr>
          <w:rFonts w:ascii="Times New Roman" w:cs="Times New Roman"/>
        </w:rPr>
      </w:pPr>
      <w:r>
        <w:fldChar w:fldCharType="begin"/>
      </w:r>
      <w:r>
        <w:instrText xml:space="preserve"> ADDIN ZOTERO_BIBL {"uncited":[],"omitted":[],"custom":[]} CSL_BIBLIOGRAPHY </w:instrText>
      </w:r>
      <w:r>
        <w:fldChar w:fldCharType="separate"/>
      </w:r>
      <w:r w:rsidRPr="005B6F0B">
        <w:rPr>
          <w:rFonts w:ascii="Times New Roman" w:cs="Times New Roman"/>
        </w:rPr>
        <w:t xml:space="preserve">Dalbert, C., Lipkus, I. M., Sallay, H., &amp; Goch, I. (2001). A just and an unjust world: Structure and validity of different world beliefs. </w:t>
      </w:r>
      <w:r w:rsidRPr="005B6F0B">
        <w:rPr>
          <w:rFonts w:ascii="Times New Roman" w:cs="Times New Roman"/>
          <w:i/>
          <w:iCs/>
        </w:rPr>
        <w:t>Personality and Individual Differences</w:t>
      </w:r>
      <w:r w:rsidRPr="005B6F0B">
        <w:rPr>
          <w:rFonts w:ascii="Times New Roman" w:cs="Times New Roman"/>
        </w:rPr>
        <w:t xml:space="preserve">, </w:t>
      </w:r>
      <w:r w:rsidRPr="005B6F0B">
        <w:rPr>
          <w:rFonts w:ascii="Times New Roman" w:cs="Times New Roman"/>
          <w:i/>
          <w:iCs/>
        </w:rPr>
        <w:t>30</w:t>
      </w:r>
      <w:r w:rsidRPr="005B6F0B">
        <w:rPr>
          <w:rFonts w:ascii="Times New Roman" w:cs="Times New Roman"/>
        </w:rPr>
        <w:t>(4), 561–577.</w:t>
      </w:r>
    </w:p>
    <w:p w14:paraId="1D33B0C3" w14:textId="77777777" w:rsidR="005B6F0B" w:rsidRPr="005B6F0B" w:rsidRDefault="005B6F0B" w:rsidP="005B6F0B">
      <w:pPr>
        <w:pStyle w:val="Bibliography"/>
        <w:rPr>
          <w:rFonts w:ascii="Times New Roman" w:cs="Times New Roman"/>
        </w:rPr>
      </w:pPr>
      <w:r w:rsidRPr="005B6F0B">
        <w:rPr>
          <w:rFonts w:ascii="Times New Roman" w:cs="Times New Roman"/>
        </w:rPr>
        <w:t xml:space="preserve">Stöber, J., Dette, D. E., &amp; Musch, J. (2002). Comparing continuous and dichotomous scoring of the balanced inventory of desirable responding. </w:t>
      </w:r>
      <w:r w:rsidRPr="005B6F0B">
        <w:rPr>
          <w:rFonts w:ascii="Times New Roman" w:cs="Times New Roman"/>
          <w:i/>
          <w:iCs/>
        </w:rPr>
        <w:t>Journal of Personality Assessment</w:t>
      </w:r>
      <w:r w:rsidRPr="005B6F0B">
        <w:rPr>
          <w:rFonts w:ascii="Times New Roman" w:cs="Times New Roman"/>
        </w:rPr>
        <w:t xml:space="preserve">, </w:t>
      </w:r>
      <w:r w:rsidRPr="005B6F0B">
        <w:rPr>
          <w:rFonts w:ascii="Times New Roman" w:cs="Times New Roman"/>
          <w:i/>
          <w:iCs/>
        </w:rPr>
        <w:t>78</w:t>
      </w:r>
      <w:r w:rsidRPr="005B6F0B">
        <w:rPr>
          <w:rFonts w:ascii="Times New Roman" w:cs="Times New Roman"/>
        </w:rPr>
        <w:t>(2), 370–389. https://doi.org/10.1207/S15327752JPA7802_10</w:t>
      </w:r>
    </w:p>
    <w:p w14:paraId="6310E442" w14:textId="77777777" w:rsidR="004F1616" w:rsidRPr="001E2A96" w:rsidRDefault="005B6F0B" w:rsidP="004F1616">
      <w:r>
        <w:fldChar w:fldCharType="end"/>
      </w:r>
    </w:p>
    <w:sectPr w:rsidR="004F1616" w:rsidRPr="001E2A96" w:rsidSect="004F1616">
      <w:headerReference w:type="default" r:id="rId10"/>
      <w:footnotePr>
        <w:pos w:val="beneathText"/>
      </w:footnotePr>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291C13" w14:textId="77777777" w:rsidR="00BC03DE" w:rsidRDefault="00BC03DE">
      <w:pPr>
        <w:spacing w:line="240" w:lineRule="auto"/>
      </w:pPr>
      <w:r>
        <w:separator/>
      </w:r>
    </w:p>
  </w:endnote>
  <w:endnote w:type="continuationSeparator" w:id="0">
    <w:p w14:paraId="644CD8E6" w14:textId="77777777" w:rsidR="00BC03DE" w:rsidRDefault="00BC03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Segoe UI">
    <w:altName w:val="Courier New"/>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119364" w14:textId="77777777" w:rsidR="00BC03DE" w:rsidRDefault="00BC03DE">
      <w:pPr>
        <w:spacing w:line="240" w:lineRule="auto"/>
      </w:pPr>
      <w:r>
        <w:separator/>
      </w:r>
    </w:p>
  </w:footnote>
  <w:footnote w:type="continuationSeparator" w:id="0">
    <w:p w14:paraId="31FD06AD" w14:textId="77777777" w:rsidR="00BC03DE" w:rsidRDefault="00BC03D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67AA9F" w14:textId="021AAC7C" w:rsidR="00BC03DE" w:rsidRPr="004F1616" w:rsidRDefault="00AA0883">
    <w:pPr>
      <w:pStyle w:val="Header"/>
      <w:rPr>
        <w:caps/>
        <w:lang w:val="en-IE"/>
      </w:rPr>
    </w:pPr>
    <w:sdt>
      <w:sdtPr>
        <w:rPr>
          <w:caps/>
        </w:rPr>
        <w:alias w:val="Running head"/>
        <w:tag w:val=""/>
        <w:id w:val="12739865"/>
        <w:showingPlcHdr/>
        <w:dataBinding w:prefixMappings="xmlns:ns0='http://schemas.microsoft.com/office/2006/coverPageProps' " w:xpath="/ns0:CoverPageProperties[1]/ns0:Abstract[1]" w:storeItemID="{55AF091B-3C7A-41E3-B477-F2FDAA23CFDA}"/>
        <w:text/>
      </w:sdtPr>
      <w:sdtEndPr/>
      <w:sdtContent>
        <w:r w:rsidR="0060200B">
          <w:rPr>
            <w:caps/>
          </w:rPr>
          <w:t xml:space="preserve">     </w:t>
        </w:r>
      </w:sdtContent>
    </w:sdt>
    <w:r w:rsidR="00BC03DE">
      <w:rPr>
        <w:rStyle w:val="Strong"/>
      </w:rPr>
      <w:ptab w:relativeTo="margin" w:alignment="right" w:leader="none"/>
    </w:r>
    <w:r w:rsidR="00BC03DE">
      <w:rPr>
        <w:rStyle w:val="Strong"/>
      </w:rPr>
      <w:fldChar w:fldCharType="begin"/>
    </w:r>
    <w:r w:rsidR="00BC03DE">
      <w:rPr>
        <w:rStyle w:val="Strong"/>
      </w:rPr>
      <w:instrText xml:space="preserve"> PAGE   \* MERGEFORMAT </w:instrText>
    </w:r>
    <w:r w:rsidR="00BC03DE">
      <w:rPr>
        <w:rStyle w:val="Strong"/>
      </w:rPr>
      <w:fldChar w:fldCharType="separate"/>
    </w:r>
    <w:r>
      <w:rPr>
        <w:rStyle w:val="Strong"/>
        <w:noProof/>
      </w:rPr>
      <w:t>2</w:t>
    </w:r>
    <w:r w:rsidR="00BC03DE">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savePreviewPicture/>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A96"/>
    <w:rsid w:val="00163676"/>
    <w:rsid w:val="001E2A96"/>
    <w:rsid w:val="0028712B"/>
    <w:rsid w:val="004F1616"/>
    <w:rsid w:val="005B6F0B"/>
    <w:rsid w:val="0060200B"/>
    <w:rsid w:val="00902E82"/>
    <w:rsid w:val="00981BFA"/>
    <w:rsid w:val="00AA0883"/>
    <w:rsid w:val="00AD4F3F"/>
    <w:rsid w:val="00B12140"/>
    <w:rsid w:val="00BC03DE"/>
    <w:rsid w:val="00BD5474"/>
    <w:rsid w:val="00D70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4EB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rsid w:val="001E2A96"/>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rsid w:val="001E2A96"/>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5605127">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772023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8853258">
      <w:bodyDiv w:val="1"/>
      <w:marLeft w:val="0"/>
      <w:marRight w:val="0"/>
      <w:marTop w:val="0"/>
      <w:marBottom w:val="0"/>
      <w:divBdr>
        <w:top w:val="none" w:sz="0" w:space="0" w:color="auto"/>
        <w:left w:val="none" w:sz="0" w:space="0" w:color="auto"/>
        <w:bottom w:val="none" w:sz="0" w:space="0" w:color="auto"/>
        <w:right w:val="none" w:sz="0" w:space="0" w:color="auto"/>
      </w:divBdr>
    </w:div>
    <w:div w:id="123497402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06608816">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5879418">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4389072">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F5997C4F-457C-9D46-B2A8-1E331AF14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6th edition template.dotx</Template>
  <TotalTime>14</TotalTime>
  <Pages>2</Pages>
  <Words>1505</Words>
  <Characters>8582</Characters>
  <Application>Microsoft Macintosh Word</Application>
  <DocSecurity>0</DocSecurity>
  <Lines>71</Lines>
  <Paragraphs>20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Abstract</vt:lpstr>
      <vt:lpstr>&lt;[Title Here, up to 12 Words, on One to Two Lines]&gt;</vt:lpstr>
      <vt:lpstr>&lt;[Heading 1]&gt;</vt:lpstr>
      <vt:lpstr>    &lt;[Heading 2]&gt;1</vt:lpstr>
      <vt:lpstr>&lt;References</vt:lpstr>
      <vt:lpstr>Footnotes</vt:lpstr>
      <vt:lpstr>Tables</vt:lpstr>
      <vt:lpstr>Figures</vt:lpstr>
    </vt:vector>
  </TitlesOfParts>
  <Company/>
  <LinksUpToDate>false</LinksUpToDate>
  <CharactersWithSpaces>10067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7</cp:revision>
  <dcterms:created xsi:type="dcterms:W3CDTF">2018-08-14T10:53:00Z</dcterms:created>
  <dcterms:modified xsi:type="dcterms:W3CDTF">2018-08-20T12:42:00Z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zotero-version="5.0.54"&gt;&lt;session id="so8PIx8W"/&gt;&lt;style id="http://www.zotero.org/styles/apa" locale="en-US" hasBibliography="1" bibliographyStyleHasBeenSet="1"/&gt;&lt;prefs&gt;&lt;pref name="fieldType" value="Field"/&gt;&lt;/prefs&gt;&lt;/data&gt;</vt:lpwstr>
  </property>
</Properties>
</file>