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42BB4" w14:textId="5004D02E" w:rsidR="00BA0799" w:rsidRPr="009F4F0D" w:rsidRDefault="009F4F0D" w:rsidP="00D6333D">
      <w:pPr>
        <w:pStyle w:val="Heading1"/>
      </w:pPr>
      <w:r w:rsidRPr="009F4F0D">
        <w:t xml:space="preserve">Changes between </w:t>
      </w:r>
      <w:r w:rsidR="0063755A">
        <w:t xml:space="preserve">different </w:t>
      </w:r>
      <w:r w:rsidRPr="009F4F0D">
        <w:t>versions of the manuscript</w:t>
      </w:r>
    </w:p>
    <w:p w14:paraId="42A03A3F" w14:textId="0C67684C" w:rsidR="009F4F0D" w:rsidRDefault="009F4F0D" w:rsidP="009F4F0D">
      <w:pPr>
        <w:ind w:firstLine="0"/>
      </w:pPr>
      <w:r>
        <w:tab/>
        <w:t>Results changed between the submission of the first and second version of the manuscript. Most notably, the rate at which the tests of measurement invariance were passed decreased from 67% to 4%. These results did not alter</w:t>
      </w:r>
      <w:r w:rsidR="00E7085D">
        <w:t xml:space="preserve"> our </w:t>
      </w:r>
      <w:r w:rsidR="0063755A">
        <w:t xml:space="preserve">overall </w:t>
      </w:r>
      <w:r w:rsidR="00E7085D">
        <w:t xml:space="preserve">conclusions – </w:t>
      </w:r>
      <w:r>
        <w:t>indeed</w:t>
      </w:r>
      <w:r w:rsidR="00E7085D">
        <w:t>,</w:t>
      </w:r>
      <w:r>
        <w:t xml:space="preserve"> they suggest that the issue of hidden invalidity may be even worse than </w:t>
      </w:r>
      <w:r w:rsidR="00933129">
        <w:t>our original</w:t>
      </w:r>
      <w:r>
        <w:t xml:space="preserve"> manuscript suggested.</w:t>
      </w:r>
      <w:r w:rsidR="00E7085D">
        <w:t xml:space="preserve"> However, given the magnitude of this change in the </w:t>
      </w:r>
      <w:r w:rsidR="00933129">
        <w:t>reported</w:t>
      </w:r>
      <w:r w:rsidR="00E7085D">
        <w:t xml:space="preserve"> results, we think it is important to document what changed between </w:t>
      </w:r>
      <w:r w:rsidR="00933129">
        <w:t>the first and second</w:t>
      </w:r>
      <w:r w:rsidR="00E7085D">
        <w:t xml:space="preserve"> </w:t>
      </w:r>
      <w:r w:rsidR="00933129">
        <w:t>submissions</w:t>
      </w:r>
      <w:r w:rsidR="00E7085D">
        <w:t xml:space="preserve">. </w:t>
      </w:r>
    </w:p>
    <w:p w14:paraId="0BCED8B7" w14:textId="34CF284D" w:rsidR="00933129" w:rsidRDefault="00933129" w:rsidP="00C26842">
      <w:pPr>
        <w:pStyle w:val="Heading2"/>
      </w:pPr>
      <w:r>
        <w:t>Change 1. Changes to the underlying dataset</w:t>
      </w:r>
    </w:p>
    <w:p w14:paraId="0FEDE74D" w14:textId="5235E6CE" w:rsidR="00933129" w:rsidRDefault="00933129" w:rsidP="009F4F0D">
      <w:pPr>
        <w:ind w:firstLine="0"/>
      </w:pPr>
      <w:r>
        <w:tab/>
        <w:t xml:space="preserve">Our manuscript makes use of the AIID dataset: a very large public dataset designed with reuse potential in mind. This dataset is curated as a “living dataset”: given the scale and complexity of the dataset, </w:t>
      </w:r>
      <w:r w:rsidR="00AF5A6F">
        <w:t xml:space="preserve">issues and errors will inevitably be detected. By versioning the changes to the processing and validation code and the resulting data, these </w:t>
      </w:r>
      <w:r w:rsidR="00C26842">
        <w:t>changes to the dataset can be tracked</w:t>
      </w:r>
      <w:r w:rsidR="00AF5A6F">
        <w:t>. Whereas submission 1 employed a pre-release version of the AIID data, submission 2 employs the most recent version (v1.0.4).</w:t>
      </w:r>
      <w:r w:rsidR="00CE61F3">
        <w:t xml:space="preserve"> This resulted in a small reduction of the number of experimental sessions included in the dataset (&lt;1%), which may have contributed to a small numerical change in the results</w:t>
      </w:r>
      <w:r w:rsidR="00C26842">
        <w:t xml:space="preserve"> reported in submission 2</w:t>
      </w:r>
      <w:bookmarkStart w:id="0" w:name="_GoBack"/>
      <w:bookmarkEnd w:id="0"/>
      <w:r w:rsidR="00CE61F3">
        <w:t xml:space="preserve">. </w:t>
      </w:r>
    </w:p>
    <w:p w14:paraId="13FE6DDD" w14:textId="7EE4C3EF" w:rsidR="00E7085D" w:rsidRPr="00E7085D" w:rsidRDefault="00CE61F3" w:rsidP="00D6333D">
      <w:pPr>
        <w:pStyle w:val="Heading2"/>
      </w:pPr>
      <w:r>
        <w:t>Change 2</w:t>
      </w:r>
      <w:r w:rsidR="00933129">
        <w:t xml:space="preserve">. </w:t>
      </w:r>
      <w:r w:rsidR="00E7085D" w:rsidRPr="00E7085D">
        <w:t>Removal of</w:t>
      </w:r>
      <w:r w:rsidR="00D6333D">
        <w:t xml:space="preserve"> the</w:t>
      </w:r>
      <w:r w:rsidR="00E7085D" w:rsidRPr="00E7085D">
        <w:t xml:space="preserve"> “full scales” </w:t>
      </w:r>
      <w:r w:rsidR="00D6333D">
        <w:t>from the analyses</w:t>
      </w:r>
    </w:p>
    <w:p w14:paraId="69EC2D8B" w14:textId="3CD00775" w:rsidR="00E7085D" w:rsidRDefault="00E7085D" w:rsidP="009F4F0D">
      <w:pPr>
        <w:ind w:firstLine="0"/>
      </w:pPr>
      <w:r>
        <w:tab/>
        <w:t xml:space="preserve">As noted in both versions of the manuscript, some questionnaires were split into two halves in the original data collection process (e.g., the BFI A/O vs. C/E/N scales). Submission 1 attempted to assess the structural validity of whole questionnaires by combining responses from individuals who completed both halves within one day across two experimental sessions. However, reviewers of submission </w:t>
      </w:r>
      <w:r w:rsidR="00933129">
        <w:t xml:space="preserve">1 </w:t>
      </w:r>
      <w:r>
        <w:t>correctly pointed out that our analytic strategy treated the subscales as reflecting multiple correl</w:t>
      </w:r>
      <w:r w:rsidR="00933129">
        <w:t>ated latent variables, which</w:t>
      </w:r>
      <w:r>
        <w:t xml:space="preserve"> is </w:t>
      </w:r>
      <w:r w:rsidR="00933129">
        <w:t xml:space="preserve">typically not the </w:t>
      </w:r>
      <w:r>
        <w:t xml:space="preserve">case in the </w:t>
      </w:r>
      <w:r>
        <w:lastRenderedPageBreak/>
        <w:t xml:space="preserve">literature. That is, the Big 5 OCEAN scales are </w:t>
      </w:r>
      <w:r w:rsidR="00933129">
        <w:t xml:space="preserve">typically </w:t>
      </w:r>
      <w:r>
        <w:t xml:space="preserve">not used to assess one single “personality” latent variable, but 5 distinct personality facets. </w:t>
      </w:r>
      <w:r w:rsidR="00C24B72">
        <w:t>Upon reflection, we realized</w:t>
      </w:r>
      <w:r w:rsidR="00933129">
        <w:t xml:space="preserve"> that, of the </w:t>
      </w:r>
      <w:r w:rsidR="00C24B72">
        <w:t xml:space="preserve">other questionnaires </w:t>
      </w:r>
      <w:r w:rsidR="00933129">
        <w:t xml:space="preserve">that possess multiple subscales, most are </w:t>
      </w:r>
      <w:r w:rsidR="00C24B72">
        <w:t xml:space="preserve">typically analyzed </w:t>
      </w:r>
      <w:r w:rsidR="00933129">
        <w:t xml:space="preserve">at the </w:t>
      </w:r>
      <w:r w:rsidR="00C24B72">
        <w:t xml:space="preserve">subscale </w:t>
      </w:r>
      <w:r w:rsidR="00933129">
        <w:t>level rather than as a set of correlated latent variables</w:t>
      </w:r>
      <w:r w:rsidR="00C24B72">
        <w:t xml:space="preserve">. It was therefore both simpler and more appropriate to analyze the questionnaires by each subscale. This strategy is employed in submission 2. </w:t>
      </w:r>
    </w:p>
    <w:p w14:paraId="662ED44B" w14:textId="3D894489" w:rsidR="00C24B72" w:rsidRPr="00580CF6" w:rsidRDefault="00CE61F3" w:rsidP="00D6333D">
      <w:pPr>
        <w:pStyle w:val="Heading2"/>
      </w:pPr>
      <w:r>
        <w:t>Change 3</w:t>
      </w:r>
      <w:r w:rsidR="00933129">
        <w:t>. The i</w:t>
      </w:r>
      <w:r w:rsidR="00C24B72" w:rsidRPr="00580CF6">
        <w:t>mplementation of tests of measurement invariance</w:t>
      </w:r>
    </w:p>
    <w:p w14:paraId="3EC3AF41" w14:textId="0B05B6E6" w:rsidR="009F4F0D" w:rsidRDefault="00C24B72" w:rsidP="00580CF6">
      <w:r>
        <w:t xml:space="preserve">Reviewers of submission 1 asked that we improve our definition of the three tests of measurement invariance. We did so with reference to a recent systematic review of the literature (Putnick &amp; Bornstein, 2016). When doing so, we elected to revisit our implementation of these tests as </w:t>
      </w:r>
      <w:r w:rsidR="00C00130">
        <w:t>Putnick and Bornstein define them</w:t>
      </w:r>
      <w:r>
        <w:t xml:space="preserve">. Additionally, we did this with reference to the implementation of the </w:t>
      </w:r>
      <w:r w:rsidR="00407B8D">
        <w:rPr>
          <w:rFonts w:ascii="Monaco" w:hAnsi="Monaco"/>
          <w:sz w:val="20"/>
          <w:szCs w:val="20"/>
        </w:rPr>
        <w:t>measurementInvariance</w:t>
      </w:r>
      <w:r w:rsidR="00407B8D">
        <w:t xml:space="preserve"> </w:t>
      </w:r>
      <w:r>
        <w:t>func</w:t>
      </w:r>
      <w:r w:rsidR="00407B8D">
        <w:t>tion in the semTools R package, to see how experts in the field have elected to implement these tests.</w:t>
      </w:r>
      <w:r w:rsidR="00407B8D">
        <w:rPr>
          <w:rStyle w:val="FootnoteReference"/>
        </w:rPr>
        <w:footnoteReference w:id="1"/>
      </w:r>
      <w:r w:rsidR="00407B8D">
        <w:t xml:space="preserve"> </w:t>
      </w:r>
      <w:r w:rsidR="00375766">
        <w:t>Upon inspecting the source code of this function, we observed</w:t>
      </w:r>
      <w:r w:rsidR="000A6562">
        <w:t xml:space="preserve"> differences between our</w:t>
      </w:r>
      <w:r w:rsidR="00933129">
        <w:t xml:space="preserve"> original</w:t>
      </w:r>
      <w:r w:rsidR="000A6562">
        <w:t xml:space="preserve"> implementation of configural invariance in submission 1 compared to the semTools package.</w:t>
      </w:r>
      <w:r w:rsidR="00375766">
        <w:t xml:space="preserve"> </w:t>
      </w:r>
      <w:r w:rsidR="000A6562">
        <w:t>In our code for submission 1, we fitted two separate CFA models; one to the subset of one group’s data (e.g., men) and a second fit to the other group’s data (e.g., women). Two sets of model fit statistics were then compared against the cut-off criteria, where both had to pass for us to conclude that configural invariance was met.</w:t>
      </w:r>
      <w:r w:rsidR="000A6562" w:rsidRPr="000A6562">
        <w:t xml:space="preserve"> </w:t>
      </w:r>
      <w:r w:rsidR="000A6562">
        <w:t>In contrast, the semTools package</w:t>
      </w:r>
      <w:r w:rsidR="00375766">
        <w:t xml:space="preserve"> implemented the test of configural invariance by fitting a single CFA fit to the whole dataset</w:t>
      </w:r>
      <w:r w:rsidR="000A6562">
        <w:t xml:space="preserve">, while passing a parameter to the </w:t>
      </w:r>
      <w:r w:rsidR="000A6562">
        <w:rPr>
          <w:rFonts w:ascii="Monaco" w:hAnsi="Monaco"/>
          <w:sz w:val="20"/>
          <w:szCs w:val="20"/>
        </w:rPr>
        <w:t>group</w:t>
      </w:r>
      <w:r w:rsidR="000A6562">
        <w:t xml:space="preserve"> argument to </w:t>
      </w:r>
      <w:r w:rsidR="000A6562">
        <w:lastRenderedPageBreak/>
        <w:t>define the subgroups within the data. One set of model fit statistics was therefore produced for the combined data, which was compared against cut-off values. In submission 2, we elected</w:t>
      </w:r>
      <w:r w:rsidR="006E225B">
        <w:t xml:space="preserve"> to bring</w:t>
      </w:r>
      <w:r w:rsidR="00CE7659">
        <w:t xml:space="preserve"> our implementation in </w:t>
      </w:r>
      <w:r w:rsidR="00933129">
        <w:t xml:space="preserve">line with the </w:t>
      </w:r>
      <w:r w:rsidR="00CE7659">
        <w:t xml:space="preserve">semTools </w:t>
      </w:r>
      <w:r w:rsidR="00933129">
        <w:t xml:space="preserve">package, </w:t>
      </w:r>
      <w:r w:rsidR="00CE7659">
        <w:t>given that it is a popular package written by experts.</w:t>
      </w:r>
    </w:p>
    <w:p w14:paraId="24EE73A3" w14:textId="4C4C0E5F" w:rsidR="001D722E" w:rsidRPr="001D722E" w:rsidRDefault="00CE61F3" w:rsidP="00D6333D">
      <w:pPr>
        <w:pStyle w:val="Heading2"/>
      </w:pPr>
      <w:r>
        <w:t>Change 4</w:t>
      </w:r>
      <w:r w:rsidR="00933129">
        <w:t xml:space="preserve">. </w:t>
      </w:r>
      <w:r w:rsidR="001D722E" w:rsidRPr="001D722E">
        <w:t>Code omission</w:t>
      </w:r>
    </w:p>
    <w:p w14:paraId="6AD6EEBB" w14:textId="52C31E94" w:rsidR="001D722E" w:rsidRDefault="001D722E" w:rsidP="001D722E">
      <w:pPr>
        <w:ind w:firstLine="0"/>
      </w:pPr>
      <w:r>
        <w:tab/>
        <w:t xml:space="preserve">In the </w:t>
      </w:r>
      <w:r w:rsidR="00933129">
        <w:t>process</w:t>
      </w:r>
      <w:r>
        <w:t xml:space="preserve"> of revising the manuscript, we realized that the code for submission 1 omitted a number of items from two scales for all analyses (the NFCC A and O subscales). Specifically, the last item from each scale was </w:t>
      </w:r>
      <w:r w:rsidR="00933129">
        <w:t xml:space="preserve">accidentally </w:t>
      </w:r>
      <w:r>
        <w:t xml:space="preserve">omitted from the code that subset the data and model for these subscales. This was corrected in submission 2. </w:t>
      </w:r>
    </w:p>
    <w:p w14:paraId="3E152803" w14:textId="7BC90D44" w:rsidR="001D722E" w:rsidRDefault="00933129" w:rsidP="00D6333D">
      <w:pPr>
        <w:pStyle w:val="Heading2"/>
      </w:pPr>
      <w:r>
        <w:t>Change</w:t>
      </w:r>
      <w:r w:rsidR="00CE61F3">
        <w:t xml:space="preserve"> 5</w:t>
      </w:r>
      <w:r>
        <w:t xml:space="preserve">. </w:t>
      </w:r>
      <w:r w:rsidR="001D722E" w:rsidRPr="001D722E">
        <w:t>Code refactoring</w:t>
      </w:r>
    </w:p>
    <w:p w14:paraId="1A74E289" w14:textId="51F3AA08" w:rsidR="001D722E" w:rsidRPr="001D722E" w:rsidRDefault="001D722E" w:rsidP="001D722E">
      <w:pPr>
        <w:ind w:firstLine="0"/>
      </w:pPr>
      <w:r>
        <w:rPr>
          <w:b/>
        </w:rPr>
        <w:tab/>
      </w:r>
      <w:r w:rsidRPr="001D722E">
        <w:t>In the process of implementing the above changes</w:t>
      </w:r>
      <w:r>
        <w:t xml:space="preserve">, we undertook a general refactoring of our code to </w:t>
      </w:r>
      <w:r w:rsidR="00933129">
        <w:t>(</w:t>
      </w:r>
      <w:r>
        <w:t xml:space="preserve">a) reduce repetition (and therefore any potential for mistakes) and </w:t>
      </w:r>
      <w:r w:rsidR="00933129">
        <w:t>(</w:t>
      </w:r>
      <w:r>
        <w:t xml:space="preserve">b) in doing so, increase comprehensibility. No errors were found </w:t>
      </w:r>
      <w:r w:rsidR="00933129">
        <w:t>in</w:t>
      </w:r>
      <w:r>
        <w:t xml:space="preserve"> the submission 1 code during this process (other than </w:t>
      </w:r>
      <w:r w:rsidR="00933129">
        <w:t xml:space="preserve">those </w:t>
      </w:r>
      <w:r>
        <w:t xml:space="preserve">noted above), but nonetheless this change is worth noting for transparency, given that it could possibly have contributed to the change in the results in some unforeseen way. </w:t>
      </w:r>
    </w:p>
    <w:p w14:paraId="213664BF" w14:textId="77777777" w:rsidR="009F4F0D" w:rsidRPr="009F4F0D" w:rsidRDefault="009F4F0D" w:rsidP="009F4F0D"/>
    <w:sectPr w:rsidR="009F4F0D" w:rsidRPr="009F4F0D">
      <w:headerReference w:type="even" r:id="rId7"/>
      <w:headerReference w:type="default" r:id="rId8"/>
      <w:headerReference w:type="first" r:id="rId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04948E" w14:textId="77777777" w:rsidR="00933129" w:rsidRDefault="00933129">
      <w:pPr>
        <w:spacing w:line="240" w:lineRule="auto"/>
      </w:pPr>
      <w:r>
        <w:separator/>
      </w:r>
    </w:p>
  </w:endnote>
  <w:endnote w:type="continuationSeparator" w:id="0">
    <w:p w14:paraId="731785D9" w14:textId="77777777" w:rsidR="00933129" w:rsidRDefault="009331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A00002FF" w:usb1="500039FB" w:usb2="00000000" w:usb3="00000000" w:csb0="00000197"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12E9B" w14:textId="77777777" w:rsidR="00933129" w:rsidRDefault="00933129">
      <w:pPr>
        <w:spacing w:line="240" w:lineRule="auto"/>
      </w:pPr>
      <w:r>
        <w:separator/>
      </w:r>
    </w:p>
  </w:footnote>
  <w:footnote w:type="continuationSeparator" w:id="0">
    <w:p w14:paraId="60E5AA55" w14:textId="77777777" w:rsidR="00933129" w:rsidRDefault="00933129">
      <w:pPr>
        <w:spacing w:line="240" w:lineRule="auto"/>
      </w:pPr>
      <w:r>
        <w:continuationSeparator/>
      </w:r>
    </w:p>
  </w:footnote>
  <w:footnote w:id="1">
    <w:p w14:paraId="647F5A8C" w14:textId="5CEECEA2" w:rsidR="00933129" w:rsidRDefault="00933129" w:rsidP="00407B8D">
      <w:pPr>
        <w:pStyle w:val="FootnoteText"/>
        <w:ind w:firstLine="0"/>
      </w:pPr>
      <w:r>
        <w:rPr>
          <w:rStyle w:val="FootnoteReference"/>
        </w:rPr>
        <w:footnoteRef/>
      </w:r>
      <w:r>
        <w:t xml:space="preserve">Note that an earlier pre-submission version of the analyses employed the </w:t>
      </w:r>
      <w:r>
        <w:rPr>
          <w:rFonts w:ascii="Monaco" w:hAnsi="Monaco"/>
          <w:sz w:val="20"/>
          <w:szCs w:val="20"/>
        </w:rPr>
        <w:t>measurementInvariance</w:t>
      </w:r>
      <w:r>
        <w:t xml:space="preserve"> function to test measurement invariance. However, poor convergence was found for many scales due to additional implementation choices made within the function. As such, both of our submissions construct the constrained measurement models manually in </w:t>
      </w:r>
      <w:r w:rsidRPr="00933129">
        <w:rPr>
          <w:rFonts w:ascii="Monaco" w:hAnsi="Monaco"/>
          <w:sz w:val="20"/>
          <w:szCs w:val="20"/>
        </w:rPr>
        <w:t>lavaan</w:t>
      </w:r>
      <w:r>
        <w:t xml:space="preserve"> using the c</w:t>
      </w:r>
      <w:r>
        <w:rPr>
          <w:rFonts w:ascii="Monaco" w:hAnsi="Monaco"/>
          <w:sz w:val="20"/>
          <w:szCs w:val="20"/>
        </w:rPr>
        <w:t>fa</w:t>
      </w:r>
      <w:r>
        <w:t xml:space="preserve"> function and arguments passed to the </w:t>
      </w:r>
      <w:r w:rsidRPr="00407B8D">
        <w:rPr>
          <w:rFonts w:ascii="Monaco" w:hAnsi="Monaco"/>
          <w:sz w:val="20"/>
          <w:szCs w:val="20"/>
        </w:rPr>
        <w:t>constraints</w:t>
      </w:r>
      <w:r>
        <w:t xml:space="preserve"> parameter.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25762" w14:textId="77777777" w:rsidR="00933129" w:rsidRDefault="00933129" w:rsidP="002E01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983482" w14:textId="77777777" w:rsidR="00933129" w:rsidRDefault="00933129" w:rsidP="002E017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F397E" w14:textId="77777777" w:rsidR="00933129" w:rsidRDefault="00933129" w:rsidP="002E01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6842">
      <w:rPr>
        <w:rStyle w:val="PageNumber"/>
        <w:noProof/>
      </w:rPr>
      <w:t>1</w:t>
    </w:r>
    <w:r>
      <w:rPr>
        <w:rStyle w:val="PageNumber"/>
      </w:rPr>
      <w:fldChar w:fldCharType="end"/>
    </w:r>
  </w:p>
  <w:p w14:paraId="2DC7F971" w14:textId="0F080B25" w:rsidR="00933129" w:rsidRDefault="00933129" w:rsidP="00D71AA9">
    <w:pPr>
      <w:pStyle w:val="normal0"/>
      <w:pBdr>
        <w:top w:val="nil"/>
        <w:left w:val="nil"/>
        <w:bottom w:val="nil"/>
        <w:right w:val="nil"/>
        <w:between w:val="nil"/>
      </w:pBdr>
      <w:spacing w:line="240" w:lineRule="auto"/>
      <w:ind w:right="360" w:firstLine="0"/>
      <w:rPr>
        <w:color w:val="00000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7F5BD" w14:textId="18DCA76F" w:rsidR="00933129" w:rsidRDefault="00933129">
    <w:pPr>
      <w:pStyle w:val="normal0"/>
      <w:pBdr>
        <w:top w:val="nil"/>
        <w:left w:val="nil"/>
        <w:bottom w:val="nil"/>
        <w:right w:val="nil"/>
        <w:between w:val="nil"/>
      </w:pBdr>
      <w:spacing w:line="240" w:lineRule="auto"/>
      <w:ind w:firstLine="0"/>
      <w:rPr>
        <w:color w:val="000000"/>
      </w:rPr>
    </w:pPr>
    <w:r>
      <w:rPr>
        <w:color w:val="000000"/>
      </w:rPr>
      <w:t xml:space="preserve">Running head: HIDDEN INVALIDITY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A0799"/>
    <w:rsid w:val="00001748"/>
    <w:rsid w:val="0003765C"/>
    <w:rsid w:val="0005378F"/>
    <w:rsid w:val="00090FF8"/>
    <w:rsid w:val="000A6562"/>
    <w:rsid w:val="000A6AB5"/>
    <w:rsid w:val="001200A0"/>
    <w:rsid w:val="00137A27"/>
    <w:rsid w:val="00146AA2"/>
    <w:rsid w:val="00156224"/>
    <w:rsid w:val="001750C7"/>
    <w:rsid w:val="00195773"/>
    <w:rsid w:val="001A0223"/>
    <w:rsid w:val="001B655A"/>
    <w:rsid w:val="001D722E"/>
    <w:rsid w:val="00210149"/>
    <w:rsid w:val="00212DB9"/>
    <w:rsid w:val="0028347C"/>
    <w:rsid w:val="0028725F"/>
    <w:rsid w:val="00291747"/>
    <w:rsid w:val="002B59DB"/>
    <w:rsid w:val="002B735B"/>
    <w:rsid w:val="002C15F5"/>
    <w:rsid w:val="002E017B"/>
    <w:rsid w:val="002E5580"/>
    <w:rsid w:val="002E586B"/>
    <w:rsid w:val="002F1D09"/>
    <w:rsid w:val="0031569F"/>
    <w:rsid w:val="00370EBC"/>
    <w:rsid w:val="00375766"/>
    <w:rsid w:val="003777FB"/>
    <w:rsid w:val="00381DD2"/>
    <w:rsid w:val="00385054"/>
    <w:rsid w:val="00396006"/>
    <w:rsid w:val="003A02B4"/>
    <w:rsid w:val="003A4EAB"/>
    <w:rsid w:val="003B3C9B"/>
    <w:rsid w:val="003D020D"/>
    <w:rsid w:val="003D593D"/>
    <w:rsid w:val="003D6E48"/>
    <w:rsid w:val="003D7048"/>
    <w:rsid w:val="003F11B7"/>
    <w:rsid w:val="00406FA6"/>
    <w:rsid w:val="00407B8D"/>
    <w:rsid w:val="00407C1B"/>
    <w:rsid w:val="0042505F"/>
    <w:rsid w:val="0044499C"/>
    <w:rsid w:val="00461133"/>
    <w:rsid w:val="00470090"/>
    <w:rsid w:val="004840B0"/>
    <w:rsid w:val="00492C92"/>
    <w:rsid w:val="004936F5"/>
    <w:rsid w:val="0049619E"/>
    <w:rsid w:val="00497E49"/>
    <w:rsid w:val="004C0D06"/>
    <w:rsid w:val="00561687"/>
    <w:rsid w:val="00580CF6"/>
    <w:rsid w:val="005A3888"/>
    <w:rsid w:val="005A6D38"/>
    <w:rsid w:val="005A7134"/>
    <w:rsid w:val="005D6D97"/>
    <w:rsid w:val="00607D0C"/>
    <w:rsid w:val="0061426C"/>
    <w:rsid w:val="00636A2F"/>
    <w:rsid w:val="0063755A"/>
    <w:rsid w:val="006468D5"/>
    <w:rsid w:val="0065134B"/>
    <w:rsid w:val="0066646C"/>
    <w:rsid w:val="006733EE"/>
    <w:rsid w:val="00683BEB"/>
    <w:rsid w:val="006A6F39"/>
    <w:rsid w:val="006A7DE8"/>
    <w:rsid w:val="006E225B"/>
    <w:rsid w:val="006F02B8"/>
    <w:rsid w:val="006F310D"/>
    <w:rsid w:val="00707E4A"/>
    <w:rsid w:val="00717ABA"/>
    <w:rsid w:val="0072216A"/>
    <w:rsid w:val="0074111F"/>
    <w:rsid w:val="00742FB6"/>
    <w:rsid w:val="0074313F"/>
    <w:rsid w:val="007664DC"/>
    <w:rsid w:val="00772CC5"/>
    <w:rsid w:val="00782899"/>
    <w:rsid w:val="007941D3"/>
    <w:rsid w:val="00795E54"/>
    <w:rsid w:val="007B6A30"/>
    <w:rsid w:val="008107CF"/>
    <w:rsid w:val="00817791"/>
    <w:rsid w:val="008331A4"/>
    <w:rsid w:val="008401F5"/>
    <w:rsid w:val="00865BB9"/>
    <w:rsid w:val="008719D9"/>
    <w:rsid w:val="00893FDF"/>
    <w:rsid w:val="008A4B9C"/>
    <w:rsid w:val="008B5B3D"/>
    <w:rsid w:val="008B650C"/>
    <w:rsid w:val="008C6D80"/>
    <w:rsid w:val="008C6DB6"/>
    <w:rsid w:val="008D236C"/>
    <w:rsid w:val="008E1BD1"/>
    <w:rsid w:val="008E4961"/>
    <w:rsid w:val="008E521F"/>
    <w:rsid w:val="008F75FE"/>
    <w:rsid w:val="0090081A"/>
    <w:rsid w:val="00900A6E"/>
    <w:rsid w:val="009135E6"/>
    <w:rsid w:val="009148B2"/>
    <w:rsid w:val="009232B0"/>
    <w:rsid w:val="00933129"/>
    <w:rsid w:val="00943E21"/>
    <w:rsid w:val="00990729"/>
    <w:rsid w:val="009B1CD0"/>
    <w:rsid w:val="009D2782"/>
    <w:rsid w:val="009E64C0"/>
    <w:rsid w:val="009F4F0D"/>
    <w:rsid w:val="00A01B68"/>
    <w:rsid w:val="00A12454"/>
    <w:rsid w:val="00A32C23"/>
    <w:rsid w:val="00A40125"/>
    <w:rsid w:val="00A62F1A"/>
    <w:rsid w:val="00A85E22"/>
    <w:rsid w:val="00AA23D3"/>
    <w:rsid w:val="00AF5A6F"/>
    <w:rsid w:val="00B04F15"/>
    <w:rsid w:val="00B32B5F"/>
    <w:rsid w:val="00B374E7"/>
    <w:rsid w:val="00B6138A"/>
    <w:rsid w:val="00B92651"/>
    <w:rsid w:val="00BA0799"/>
    <w:rsid w:val="00BB1A17"/>
    <w:rsid w:val="00BB200C"/>
    <w:rsid w:val="00BC248C"/>
    <w:rsid w:val="00BE2CE9"/>
    <w:rsid w:val="00C00130"/>
    <w:rsid w:val="00C24B72"/>
    <w:rsid w:val="00C26842"/>
    <w:rsid w:val="00C31D3F"/>
    <w:rsid w:val="00C32B2B"/>
    <w:rsid w:val="00C3442D"/>
    <w:rsid w:val="00C3537B"/>
    <w:rsid w:val="00C423CB"/>
    <w:rsid w:val="00C7733E"/>
    <w:rsid w:val="00C80717"/>
    <w:rsid w:val="00C85A01"/>
    <w:rsid w:val="00CB3EA4"/>
    <w:rsid w:val="00CC0633"/>
    <w:rsid w:val="00CC64EA"/>
    <w:rsid w:val="00CD0263"/>
    <w:rsid w:val="00CD7E63"/>
    <w:rsid w:val="00CE61F3"/>
    <w:rsid w:val="00CE7659"/>
    <w:rsid w:val="00D03DCE"/>
    <w:rsid w:val="00D1106D"/>
    <w:rsid w:val="00D41C5E"/>
    <w:rsid w:val="00D50285"/>
    <w:rsid w:val="00D5091B"/>
    <w:rsid w:val="00D57566"/>
    <w:rsid w:val="00D6333D"/>
    <w:rsid w:val="00D71AA9"/>
    <w:rsid w:val="00D90EA2"/>
    <w:rsid w:val="00D95B5D"/>
    <w:rsid w:val="00DB16A2"/>
    <w:rsid w:val="00DD30B2"/>
    <w:rsid w:val="00DE6087"/>
    <w:rsid w:val="00DE6AAD"/>
    <w:rsid w:val="00E07EBC"/>
    <w:rsid w:val="00E356FA"/>
    <w:rsid w:val="00E63273"/>
    <w:rsid w:val="00E67886"/>
    <w:rsid w:val="00E7085D"/>
    <w:rsid w:val="00E954A9"/>
    <w:rsid w:val="00EB6CC4"/>
    <w:rsid w:val="00ED7E79"/>
    <w:rsid w:val="00EE2EC5"/>
    <w:rsid w:val="00EF5B42"/>
    <w:rsid w:val="00F80FF0"/>
    <w:rsid w:val="00F82B49"/>
    <w:rsid w:val="00F8699B"/>
    <w:rsid w:val="00FC0476"/>
    <w:rsid w:val="00FC6D4A"/>
    <w:rsid w:val="00FE0928"/>
    <w:rsid w:val="00FE347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4DD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ind w:firstLine="0"/>
      <w:jc w:val="center"/>
      <w:outlineLvl w:val="0"/>
    </w:pPr>
    <w:rPr>
      <w:b/>
    </w:rPr>
  </w:style>
  <w:style w:type="paragraph" w:styleId="Heading2">
    <w:name w:val="heading 2"/>
    <w:basedOn w:val="normal0"/>
    <w:next w:val="normal0"/>
    <w:pPr>
      <w:keepNext/>
      <w:keepLines/>
      <w:ind w:firstLine="0"/>
      <w:outlineLvl w:val="1"/>
    </w:pPr>
    <w:rPr>
      <w:b/>
    </w:rPr>
  </w:style>
  <w:style w:type="paragraph" w:styleId="Heading3">
    <w:name w:val="heading 3"/>
    <w:basedOn w:val="normal0"/>
    <w:next w:val="normal0"/>
    <w:pPr>
      <w:keepNext/>
      <w:keepLines/>
      <w:outlineLvl w:val="2"/>
    </w:pPr>
    <w:rPr>
      <w:b/>
    </w:rPr>
  </w:style>
  <w:style w:type="paragraph" w:styleId="Heading4">
    <w:name w:val="heading 4"/>
    <w:basedOn w:val="normal0"/>
    <w:next w:val="normal0"/>
    <w:pPr>
      <w:keepNext/>
      <w:keepLines/>
      <w:outlineLvl w:val="3"/>
    </w:pPr>
    <w:rPr>
      <w:b/>
      <w:i/>
    </w:rPr>
  </w:style>
  <w:style w:type="paragraph" w:styleId="Heading5">
    <w:name w:val="heading 5"/>
    <w:basedOn w:val="normal0"/>
    <w:next w:val="normal0"/>
    <w:pPr>
      <w:keepNext/>
      <w:keepLines/>
      <w:outlineLvl w:val="4"/>
    </w:pPr>
    <w:rPr>
      <w:i/>
    </w:rPr>
  </w:style>
  <w:style w:type="paragraph" w:styleId="Heading6">
    <w:name w:val="heading 6"/>
    <w:basedOn w:val="normal0"/>
    <w:next w:val="normal0"/>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2400"/>
      <w:ind w:firstLine="0"/>
      <w:jc w:val="center"/>
    </w:pPr>
  </w:style>
  <w:style w:type="paragraph" w:styleId="Subtitle">
    <w:name w:val="Subtitle"/>
    <w:basedOn w:val="normal0"/>
    <w:next w:val="normal0"/>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spacing w:line="240" w:lineRule="auto"/>
    </w:pPr>
  </w:style>
  <w:style w:type="character" w:customStyle="1" w:styleId="HeaderChar">
    <w:name w:val="Header Char"/>
    <w:basedOn w:val="DefaultParagraphFont"/>
    <w:link w:val="Header"/>
    <w:uiPriority w:val="99"/>
    <w:rsid w:val="002E017B"/>
  </w:style>
  <w:style w:type="paragraph" w:styleId="Footer">
    <w:name w:val="footer"/>
    <w:basedOn w:val="Normal"/>
    <w:link w:val="FooterChar"/>
    <w:uiPriority w:val="99"/>
    <w:unhideWhenUsed/>
    <w:rsid w:val="002E017B"/>
    <w:pPr>
      <w:tabs>
        <w:tab w:val="center" w:pos="4320"/>
        <w:tab w:val="right" w:pos="8640"/>
      </w:tabs>
      <w:spacing w:line="240" w:lineRule="auto"/>
    </w:pPr>
  </w:style>
  <w:style w:type="character" w:customStyle="1" w:styleId="FooterChar">
    <w:name w:val="Footer Char"/>
    <w:basedOn w:val="DefaultParagraphFont"/>
    <w:link w:val="Footer"/>
    <w:uiPriority w:val="99"/>
    <w:rsid w:val="002E017B"/>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unhideWhenUsed/>
    <w:rsid w:val="001B655A"/>
    <w:rPr>
      <w:vertAlign w:val="superscript"/>
    </w:rPr>
  </w:style>
  <w:style w:type="paragraph" w:styleId="FootnoteText">
    <w:name w:val="footnote text"/>
    <w:basedOn w:val="Normal"/>
    <w:link w:val="FootnoteTextChar"/>
    <w:uiPriority w:val="99"/>
    <w:unhideWhenUsed/>
    <w:rsid w:val="00407B8D"/>
    <w:pPr>
      <w:spacing w:line="240" w:lineRule="auto"/>
    </w:pPr>
  </w:style>
  <w:style w:type="character" w:customStyle="1" w:styleId="FootnoteTextChar">
    <w:name w:val="Footnote Text Char"/>
    <w:basedOn w:val="DefaultParagraphFont"/>
    <w:link w:val="FootnoteText"/>
    <w:uiPriority w:val="99"/>
    <w:rsid w:val="00407B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ind w:firstLine="0"/>
      <w:jc w:val="center"/>
      <w:outlineLvl w:val="0"/>
    </w:pPr>
    <w:rPr>
      <w:b/>
    </w:rPr>
  </w:style>
  <w:style w:type="paragraph" w:styleId="Heading2">
    <w:name w:val="heading 2"/>
    <w:basedOn w:val="normal0"/>
    <w:next w:val="normal0"/>
    <w:pPr>
      <w:keepNext/>
      <w:keepLines/>
      <w:ind w:firstLine="0"/>
      <w:outlineLvl w:val="1"/>
    </w:pPr>
    <w:rPr>
      <w:b/>
    </w:rPr>
  </w:style>
  <w:style w:type="paragraph" w:styleId="Heading3">
    <w:name w:val="heading 3"/>
    <w:basedOn w:val="normal0"/>
    <w:next w:val="normal0"/>
    <w:pPr>
      <w:keepNext/>
      <w:keepLines/>
      <w:outlineLvl w:val="2"/>
    </w:pPr>
    <w:rPr>
      <w:b/>
    </w:rPr>
  </w:style>
  <w:style w:type="paragraph" w:styleId="Heading4">
    <w:name w:val="heading 4"/>
    <w:basedOn w:val="normal0"/>
    <w:next w:val="normal0"/>
    <w:pPr>
      <w:keepNext/>
      <w:keepLines/>
      <w:outlineLvl w:val="3"/>
    </w:pPr>
    <w:rPr>
      <w:b/>
      <w:i/>
    </w:rPr>
  </w:style>
  <w:style w:type="paragraph" w:styleId="Heading5">
    <w:name w:val="heading 5"/>
    <w:basedOn w:val="normal0"/>
    <w:next w:val="normal0"/>
    <w:pPr>
      <w:keepNext/>
      <w:keepLines/>
      <w:outlineLvl w:val="4"/>
    </w:pPr>
    <w:rPr>
      <w:i/>
    </w:rPr>
  </w:style>
  <w:style w:type="paragraph" w:styleId="Heading6">
    <w:name w:val="heading 6"/>
    <w:basedOn w:val="normal0"/>
    <w:next w:val="normal0"/>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2400"/>
      <w:ind w:firstLine="0"/>
      <w:jc w:val="center"/>
    </w:pPr>
  </w:style>
  <w:style w:type="paragraph" w:styleId="Subtitle">
    <w:name w:val="Subtitle"/>
    <w:basedOn w:val="normal0"/>
    <w:next w:val="normal0"/>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spacing w:line="240" w:lineRule="auto"/>
    </w:pPr>
  </w:style>
  <w:style w:type="character" w:customStyle="1" w:styleId="HeaderChar">
    <w:name w:val="Header Char"/>
    <w:basedOn w:val="DefaultParagraphFont"/>
    <w:link w:val="Header"/>
    <w:uiPriority w:val="99"/>
    <w:rsid w:val="002E017B"/>
  </w:style>
  <w:style w:type="paragraph" w:styleId="Footer">
    <w:name w:val="footer"/>
    <w:basedOn w:val="Normal"/>
    <w:link w:val="FooterChar"/>
    <w:uiPriority w:val="99"/>
    <w:unhideWhenUsed/>
    <w:rsid w:val="002E017B"/>
    <w:pPr>
      <w:tabs>
        <w:tab w:val="center" w:pos="4320"/>
        <w:tab w:val="right" w:pos="8640"/>
      </w:tabs>
      <w:spacing w:line="240" w:lineRule="auto"/>
    </w:pPr>
  </w:style>
  <w:style w:type="character" w:customStyle="1" w:styleId="FooterChar">
    <w:name w:val="Footer Char"/>
    <w:basedOn w:val="DefaultParagraphFont"/>
    <w:link w:val="Footer"/>
    <w:uiPriority w:val="99"/>
    <w:rsid w:val="002E017B"/>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unhideWhenUsed/>
    <w:rsid w:val="001B655A"/>
    <w:rPr>
      <w:vertAlign w:val="superscript"/>
    </w:rPr>
  </w:style>
  <w:style w:type="paragraph" w:styleId="FootnoteText">
    <w:name w:val="footnote text"/>
    <w:basedOn w:val="Normal"/>
    <w:link w:val="FootnoteTextChar"/>
    <w:uiPriority w:val="99"/>
    <w:unhideWhenUsed/>
    <w:rsid w:val="00407B8D"/>
    <w:pPr>
      <w:spacing w:line="240" w:lineRule="auto"/>
    </w:pPr>
  </w:style>
  <w:style w:type="character" w:customStyle="1" w:styleId="FootnoteTextChar">
    <w:name w:val="Footnote Text Char"/>
    <w:basedOn w:val="DefaultParagraphFont"/>
    <w:link w:val="FootnoteText"/>
    <w:uiPriority w:val="99"/>
    <w:rsid w:val="00407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734</Words>
  <Characters>4186</Characters>
  <Application>Microsoft Macintosh Word</Application>
  <DocSecurity>0</DocSecurity>
  <Lines>34</Lines>
  <Paragraphs>9</Paragraphs>
  <ScaleCrop>false</ScaleCrop>
  <Company/>
  <LinksUpToDate>false</LinksUpToDate>
  <CharactersWithSpaces>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167</cp:revision>
  <dcterms:created xsi:type="dcterms:W3CDTF">2019-06-03T06:42:00Z</dcterms:created>
  <dcterms:modified xsi:type="dcterms:W3CDTF">2019-06-03T12:35:00Z</dcterms:modified>
</cp:coreProperties>
</file>