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media/rId43.png" ContentType="image/png"/>
  <Override PartName="/word/media/rId20.png" ContentType="image/png"/>
  <Override PartName="/word/media/rId39.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INSPECT-SR Guidance</w:t>
      </w:r>
    </w:p>
    <w:p>
      <w:pPr>
        <w:pStyle w:val="Subtitle"/>
      </w:pPr>
      <w:r>
        <w:t xml:space="preserve">INveStigating ProblEmatic Clinical Trials in Systematic Reviews</w:t>
      </w:r>
    </w:p>
    <w:p>
      <w:pPr>
        <w:pStyle w:val="Author"/>
      </w:pPr>
      <w:r>
        <w:t xml:space="preserve">Jack Wilkinson, Calvin Heal, Ella Flemyng, Georgios A. Antoniou, Tony Aburrow, Zarko Alfirevic, Alison Avenell, Virginia Barbour, Vincenzo Berghella, Dorothy V. M. Bishop, Esmée M Bordewijk, Nicholas J. L. Brown, Jana Christopher, Mike Clarke, Darren Dahly, Jane Dennis, Patrick Dicker, Jo Dumville, Helen Frankish, Andrew Grey, Steph Grohmann, Lyle C. Gurrin, Jill A. Hayden, James Heathers, Kylie E Hunter, Ian Hussey, Lukas Jung, Emily Lam, Toby J. Lasserson, Sarah Lensen, Tianjing Li, Wentao Li, Jianping Liu, Elizabeth Loder, Andreas Lundh, Gideon Meyerowitz-Katz, Ben W. Mol, Florian Naudet, Anna Noel-Storr, Neil E. O’Connell, Lisa Parker, Rita F. Redberg, Barbara K. Redman, Rachel Richardson, Anna Lene Seidler, Kyle Sheldrick, Emma Sydenham, Madelon van Wely, Colby J. Vorland, Rui Wang, Stephanie Weibel, Matthias Wjst, Lisa Bero, Jamie J. Kirkham</w:t>
      </w:r>
    </w:p>
    <w:p>
      <w:pPr>
        <w:pStyle w:val="Date"/>
      </w:pPr>
      <w:r>
        <w:t xml:space="preserve">Version 1.1.2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preface"/>
    <w:p>
      <w:pPr>
        <w:pStyle w:val="Heading1"/>
      </w:pPr>
      <w:r>
        <w:t xml:space="preserve">Preface</w:t>
      </w:r>
    </w:p>
    <w:p>
      <w:pPr>
        <w:pStyle w:val="FirstParagraph"/>
      </w:pPr>
      <w:r>
        <w:t xml:space="preserve">This guidance supports the use of INSPECT-SR, a tool for identifying problematic</w:t>
      </w:r>
      <w:r>
        <w:t xml:space="preserve"> </w:t>
      </w:r>
      <w:r>
        <w:t xml:space="preserve">randomised controlled trials in systematic reviews of healthcare interventions.</w:t>
      </w:r>
      <w:r>
        <w:t xml:space="preserve"> </w:t>
      </w:r>
      <w:r>
        <w:t xml:space="preserve">Each check is presented in a consistent structure so that reviewers can apply</w:t>
      </w:r>
      <w:r>
        <w:t xml:space="preserve"> </w:t>
      </w:r>
      <w:r>
        <w:t xml:space="preserve">them independently and reproducibly.</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of this guidance</w:t>
            </w:r>
          </w:p>
        </w:tc>
      </w:tr>
      <w:tr>
        <w:trPr>
          <w:cantSplit/>
        </w:trPr>
        <w:tc>
          <w:tcPr>
            <w:tcMar>
              <w:top w:w="108" w:type="dxa"/>
              <w:bottom w:w="108" w:type="dxa"/>
            </w:tcMar>
          </w:tcPr>
          <w:p>
            <w:pPr>
              <w:pStyle w:val="BodyText"/>
            </w:pPr>
            <w:pPr>
              <w:spacing w:before="16" w:after="16"/>
            </w:pPr>
            <w:r>
              <w:t xml:space="preserve">INSPECT-SR is intended for use on randomised controlled trials that have been</w:t>
            </w:r>
            <w:r>
              <w:t xml:space="preserve"> </w:t>
            </w:r>
            <w:r>
              <w:t xml:space="preserve">included, or are being considered for inclusion, in a systematic review.</w:t>
            </w:r>
          </w:p>
        </w:tc>
      </w:tr>
    </w:tbl>
    <w:bookmarkStart w:id="24" w:name="how-to-use-this-document"/>
    <w:p>
      <w:pPr>
        <w:pStyle w:val="Heading2"/>
      </w:pPr>
      <w:r>
        <w:t xml:space="preserve">How to use this document</w:t>
      </w:r>
    </w:p>
    <w:p>
      <w:pPr>
        <w:pStyle w:val="FirstParagraph"/>
      </w:pPr>
      <w:r>
        <w:t xml:space="preserve">Each check is described under four headings: rationale, how to perform the check,</w:t>
      </w:r>
      <w:r>
        <w:t xml:space="preserve"> </w:t>
      </w:r>
      <w:r>
        <w:t xml:space="preserve">how to interpret the result, and worked examples. Checks are grouped into domains.</w:t>
      </w:r>
    </w:p>
    <w:tbl>
      <w:tblPr>
        <w:tblStyle w:val="Table"/>
        <w:tblW w:type="pct" w:w="5000"/>
        <w:tblLayout w:type="fixed"/>
        <w:tblLook w:firstRow="0" w:lastRow="0" w:firstColumn="0" w:lastColumn="0" w:noHBand="0" w:noVBand="0" w:val="0000"/>
      </w:tblPr>
      <w:tblGrid>
        <w:gridCol w:w="7920"/>
      </w:tblGrid>
      <w:tr>
        <w:tc>
          <w:tcPr/>
          <w:bookmarkStart w:id="23" w:name="tbl-domains"/>
          <w:p>
            <w:pPr>
              <w:jc w:val="center"/>
            </w:pPr>
            <w:pPr>
              <w:jc w:val="start"/>
              <w:spacing w:before="200"/>
              <w:pStyle w:val="ImageCaption"/>
            </w:pPr>
            <w:r>
              <w:t xml:space="preserve">Table 1: Overview of the four INSPECT-SR domains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Domain</w:t>
                  </w:r>
                </w:p>
              </w:tc>
              <w:tc>
                <w:tcPr/>
                <w:p>
                  <w:pPr>
                    <w:pStyle w:val="Compact"/>
                    <w:jc w:val="left"/>
                    <w:jc w:val="center"/>
                  </w:pPr>
                  <w:r>
                    <w:t xml:space="preserve">Focus</w:t>
                  </w:r>
                </w:p>
              </w:tc>
              <w:tc>
                <w:tcPr/>
                <w:p>
                  <w:pPr>
                    <w:pStyle w:val="Compact"/>
                    <w:jc w:val="right"/>
                    <w:jc w:val="center"/>
                  </w:pPr>
                  <w:r>
                    <w:t xml:space="preserve">Checks</w:t>
                  </w:r>
                </w:p>
              </w:tc>
            </w:tr>
            <w:tr>
              <w:tc>
                <w:tcPr/>
                <w:p>
                  <w:pPr>
                    <w:pStyle w:val="Compact"/>
                    <w:jc w:val="left"/>
                    <w:jc w:val="center"/>
                  </w:pPr>
                  <w:r>
                    <w:t xml:space="preserve">1</w:t>
                  </w:r>
                </w:p>
              </w:tc>
              <w:tc>
                <w:tcPr/>
                <w:p>
                  <w:pPr>
                    <w:pStyle w:val="Compact"/>
                    <w:jc w:val="left"/>
                    <w:jc w:val="center"/>
                  </w:pPr>
                  <w:r>
                    <w:t xml:space="preserve">Post-publication notices</w:t>
                  </w:r>
                </w:p>
              </w:tc>
              <w:tc>
                <w:tcPr/>
                <w:p>
                  <w:pPr>
                    <w:pStyle w:val="Compact"/>
                    <w:jc w:val="right"/>
                    <w:jc w:val="center"/>
                  </w:pPr>
                  <w:r>
                    <w:t xml:space="preserve">3</w:t>
                  </w:r>
                </w:p>
              </w:tc>
            </w:tr>
            <w:tr>
              <w:tc>
                <w:tcPr/>
                <w:p>
                  <w:pPr>
                    <w:pStyle w:val="Compact"/>
                    <w:jc w:val="left"/>
                    <w:jc w:val="center"/>
                  </w:pPr>
                  <w:r>
                    <w:t xml:space="preserve">2</w:t>
                  </w:r>
                </w:p>
              </w:tc>
              <w:tc>
                <w:tcPr/>
                <w:p>
                  <w:pPr>
                    <w:pStyle w:val="Compact"/>
                    <w:jc w:val="left"/>
                    <w:jc w:val="center"/>
                  </w:pPr>
                  <w:r>
                    <w:t xml:space="preserve">Conduct, governance and transparency</w:t>
                  </w:r>
                </w:p>
              </w:tc>
              <w:tc>
                <w:tcPr/>
                <w:p>
                  <w:pPr>
                    <w:pStyle w:val="Compact"/>
                    <w:jc w:val="right"/>
                    <w:jc w:val="center"/>
                  </w:pPr>
                  <w:r>
                    <w:t xml:space="preserve">5</w:t>
                  </w:r>
                </w:p>
              </w:tc>
            </w:tr>
            <w:tr>
              <w:tc>
                <w:tcPr/>
                <w:p>
                  <w:pPr>
                    <w:pStyle w:val="Compact"/>
                    <w:jc w:val="left"/>
                    <w:jc w:val="center"/>
                  </w:pPr>
                  <w:r>
                    <w:t xml:space="preserve">3</w:t>
                  </w:r>
                </w:p>
              </w:tc>
              <w:tc>
                <w:tcPr/>
                <w:p>
                  <w:pPr>
                    <w:pStyle w:val="Compact"/>
                    <w:jc w:val="left"/>
                    <w:jc w:val="center"/>
                  </w:pPr>
                  <w:r>
                    <w:t xml:space="preserve">Text and figures</w:t>
                  </w:r>
                </w:p>
              </w:tc>
              <w:tc>
                <w:tcPr/>
                <w:p>
                  <w:pPr>
                    <w:pStyle w:val="Compact"/>
                    <w:jc w:val="right"/>
                    <w:jc w:val="center"/>
                  </w:pPr>
                  <w:r>
                    <w:t xml:space="preserve">2</w:t>
                  </w:r>
                </w:p>
              </w:tc>
            </w:tr>
            <w:tr>
              <w:tc>
                <w:tcPr/>
                <w:p>
                  <w:pPr>
                    <w:pStyle w:val="Compact"/>
                    <w:jc w:val="left"/>
                    <w:jc w:val="center"/>
                  </w:pPr>
                  <w:r>
                    <w:t xml:space="preserve">4</w:t>
                  </w:r>
                </w:p>
              </w:tc>
              <w:tc>
                <w:tcPr/>
                <w:p>
                  <w:pPr>
                    <w:pStyle w:val="Compact"/>
                    <w:jc w:val="left"/>
                    <w:jc w:val="center"/>
                  </w:pPr>
                  <w:r>
                    <w:t xml:space="preserve">Results in the study</w:t>
                  </w:r>
                </w:p>
              </w:tc>
              <w:tc>
                <w:tcPr/>
                <w:p>
                  <w:pPr>
                    <w:pStyle w:val="Compact"/>
                    <w:jc w:val="right"/>
                    <w:jc w:val="center"/>
                  </w:pPr>
                  <w:r>
                    <w:t xml:space="preserve">11</w:t>
                  </w:r>
                </w:p>
              </w:tc>
            </w:tr>
          </w:tbl>
          <w:bookmarkEnd w:id="23"/>
          <w:p/>
        </w:tc>
      </w:tr>
    </w:tbl>
    <w:p>
      <w:pPr>
        <w:pStyle w:val="BodyText"/>
      </w:pPr>
      <w:r>
        <w:t xml:space="preserve">See</w:t>
      </w:r>
      <w:r>
        <w:t xml:space="preserve"> </w:t>
      </w:r>
      <w:hyperlink w:anchor="tbl-domains">
        <w:r>
          <w:rPr>
            <w:rStyle w:val="Hyperlink"/>
          </w:rPr>
          <w:t xml:space="preserve">Table 1</w:t>
        </w:r>
      </w:hyperlink>
      <w:r>
        <w:t xml:space="preserve"> </w:t>
      </w:r>
      <w:r>
        <w:t xml:space="preserve">for the domain structure.</w:t>
      </w:r>
    </w:p>
    <w:bookmarkEnd w:id="24"/>
    <w:bookmarkEnd w:id="25"/>
    <w:bookmarkStart w:id="26" w:name="Xde224c3598f7386e9692f3c0ca766a0247368e5"/>
    <w:p>
      <w:pPr>
        <w:pStyle w:val="Heading1"/>
      </w:pPr>
      <w:r>
        <w:t xml:space="preserve">Domain 1: Inspecting post-publication notices</w:t>
      </w:r>
    </w:p>
    <w:p>
      <w:pPr>
        <w:pStyle w:val="FirstParagraph"/>
      </w:pPr>
      <w:r>
        <w:t xml:space="preserve">Checks in this domain examine whether the trial has been the subject of a</w:t>
      </w:r>
      <w:r>
        <w:t xml:space="preserve"> </w:t>
      </w:r>
      <w:r>
        <w:t xml:space="preserve">retraction, an expression of concern, or another post-publication notice.</w:t>
      </w:r>
    </w:p>
    <w:bookmarkEnd w:id="26"/>
    <w:bookmarkStart w:id="33" w:name="check-1.1-retraction-status"/>
    <w:p>
      <w:pPr>
        <w:pStyle w:val="Heading1"/>
      </w:pPr>
      <w:r>
        <w:t xml:space="preserve">Check 1.1: Retraction status</w:t>
      </w:r>
    </w:p>
    <w:bookmarkStart w:id="27" w:name="rationale"/>
    <w:p>
      <w:pPr>
        <w:pStyle w:val="Heading2"/>
      </w:pPr>
      <w:r>
        <w:t xml:space="preserve">Rationale</w:t>
      </w:r>
    </w:p>
    <w:p>
      <w:pPr>
        <w:pStyle w:val="FirstParagraph"/>
      </w:pPr>
      <w:r>
        <w:t xml:space="preserve">Retracted trials should not contribute to the evidence base. Retraction notices</w:t>
      </w:r>
      <w:r>
        <w:t xml:space="preserve"> </w:t>
      </w:r>
      <w:r>
        <w:t xml:space="preserve">are inconsistently indexed, so a positive check requires searching more than one</w:t>
      </w:r>
      <w:r>
        <w:t xml:space="preserve"> </w:t>
      </w:r>
      <w:r>
        <w:t xml:space="preserve">source.</w:t>
      </w:r>
    </w:p>
    <w:bookmarkEnd w:id="27"/>
    <w:bookmarkStart w:id="31" w:name="how-to-perform-the-check"/>
    <w:p>
      <w:pPr>
        <w:pStyle w:val="Heading2"/>
      </w:pPr>
      <w:r>
        <w:t xml:space="preserve">How to perform the check</w:t>
      </w:r>
    </w:p>
    <w:p>
      <w:pPr>
        <w:pStyle w:val="Compact"/>
        <w:numPr>
          <w:ilvl w:val="0"/>
          <w:numId w:val="1001"/>
        </w:numPr>
      </w:pPr>
      <w:r>
        <w:t xml:space="preserve">Search the Retraction Watch Database for the trial.</w:t>
      </w:r>
    </w:p>
    <w:p>
      <w:pPr>
        <w:pStyle w:val="Compact"/>
        <w:numPr>
          <w:ilvl w:val="0"/>
          <w:numId w:val="1001"/>
        </w:numPr>
      </w:pPr>
      <w:r>
        <w:t xml:space="preserve">Check the journal’s own website for a retraction or expression of concern.</w:t>
      </w:r>
    </w:p>
    <w:p>
      <w:pPr>
        <w:pStyle w:val="Compact"/>
        <w:numPr>
          <w:ilvl w:val="0"/>
          <w:numId w:val="1001"/>
        </w:numPr>
      </w:pPr>
      <w:r>
        <w:t xml:space="preserve">Check PubMed for a linked comment or correction.</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opt/quarto/share/formats/docx/warning.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Indexing lag</w:t>
            </w:r>
          </w:p>
        </w:tc>
      </w:tr>
      <w:tr>
        <w:trPr>
          <w:cantSplit/>
        </w:trPr>
        <w:tc>
          <w:tcPr>
            <w:tcMar>
              <w:top w:w="108" w:type="dxa"/>
              <w:bottom w:w="108" w:type="dxa"/>
            </w:tcMar>
          </w:tcPr>
          <w:p>
            <w:pPr>
              <w:pStyle w:val="BodyText"/>
            </w:pPr>
            <w:pPr>
              <w:spacing w:before="16" w:after="16"/>
            </w:pPr>
            <w:r>
              <w:t xml:space="preserve">Retraction notices can take months to propagate to bibliographic databases.</w:t>
            </w:r>
            <w:r>
              <w:t xml:space="preserve"> </w:t>
            </w:r>
            <w:r>
              <w:t xml:space="preserve">A negative result is not conclusive.</w:t>
            </w:r>
          </w:p>
        </w:tc>
      </w:tr>
    </w:tbl>
    <w:bookmarkEnd w:id="31"/>
    <w:bookmarkStart w:id="32" w:name="interpretation"/>
    <w:p>
      <w:pPr>
        <w:pStyle w:val="Heading2"/>
      </w:pPr>
      <w:r>
        <w:t xml:space="preserve">Interpretation</w:t>
      </w:r>
    </w:p>
    <w:p>
      <w:pPr>
        <w:pStyle w:val="FirstParagraph"/>
      </w:pPr>
      <w:r>
        <w:t xml:space="preserve">If a retraction is found, exclude the trial and record the reason.</w:t>
      </w:r>
    </w:p>
    <w:p>
      <w:pPr>
        <w:pStyle w:val="SourceCode"/>
      </w:pPr>
      <w:r>
        <w:rPr>
          <w:rStyle w:val="FunctionTok"/>
        </w:rPr>
        <w:t xml:space="preserve">library</w:t>
      </w:r>
      <w:r>
        <w:rPr>
          <w:rStyle w:val="NormalTok"/>
        </w:rPr>
        <w:t xml:space="preserve">(dplyr)</w:t>
      </w:r>
      <w:r>
        <w:br/>
      </w:r>
      <w:r>
        <w:rPr>
          <w:rStyle w:val="NormalTok"/>
        </w:rPr>
        <w:t xml:space="preserve">trials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(retraction_date)) </w:t>
      </w:r>
      <w:r>
        <w:rPr>
          <w:rStyle w:val="SpecialCharTok"/>
        </w:rPr>
        <w:t xml:space="preserve">|&gt;</w:t>
      </w:r>
      <w:r>
        <w:br/>
      </w:r>
      <w:r>
        <w:rPr>
          <w:rStyle w:val="NormalTok"/>
        </w:rPr>
        <w:t xml:space="preserve">  </w:t>
      </w:r>
      <w:r>
        <w:rPr>
          <w:rStyle w:val="FunctionTok"/>
        </w:rPr>
        <w:t xml:space="preserve">select</w:t>
      </w:r>
      <w:r>
        <w:rPr>
          <w:rStyle w:val="NormalTok"/>
        </w:rPr>
        <w:t xml:space="preserve">(trial_id, journal, retraction_date)</w:t>
      </w:r>
    </w:p>
    <w:bookmarkEnd w:id="32"/>
    <w:bookmarkEnd w:id="33"/>
    <w:bookmarkStart w:id="37" w:name="check-1.2-expressions-of-concern"/>
    <w:p>
      <w:pPr>
        <w:pStyle w:val="Heading1"/>
      </w:pPr>
      <w:r>
        <w:t xml:space="preserve">Check 1.2: Expressions of concern</w:t>
      </w:r>
    </w:p>
    <w:bookmarkStart w:id="34" w:name="rationale-1"/>
    <w:p>
      <w:pPr>
        <w:pStyle w:val="Heading2"/>
      </w:pPr>
      <w:r>
        <w:t xml:space="preserve">Rationale</w:t>
      </w:r>
    </w:p>
    <w:p>
      <w:pPr>
        <w:pStyle w:val="FirstParagraph"/>
      </w:pPr>
      <w:r>
        <w:t xml:space="preserve">An expression of concern signals unresolved doubt about a trial’s integrity.</w:t>
      </w:r>
    </w:p>
    <w:p>
      <w:pPr>
        <w:pStyle w:val="BlockText"/>
      </w:pPr>
      <w:r>
        <w:t xml:space="preserve">Expressions of concern are issued when an editor has well-founded concerns</w:t>
      </w:r>
      <w:r>
        <w:t xml:space="preserve"> </w:t>
      </w:r>
      <w:r>
        <w:t xml:space="preserve">but the investigation is incomplete.</w:t>
      </w:r>
    </w:p>
    <w:bookmarkEnd w:id="34"/>
    <w:bookmarkStart w:id="35" w:name="how-to-perform-the-check-1"/>
    <w:p>
      <w:pPr>
        <w:pStyle w:val="Heading2"/>
      </w:pPr>
      <w:r>
        <w:t xml:space="preserve">How to perform the check</w:t>
      </w:r>
    </w:p>
    <w:p>
      <w:pPr>
        <w:pStyle w:val="FirstParagraph"/>
      </w:pPr>
      <w:r>
        <w:t xml:space="preserve">Search the same sources as Check 1.1, recording the date and the stated reason.</w:t>
      </w:r>
    </w:p>
    <w:bookmarkEnd w:id="35"/>
    <w:bookmarkStart w:id="36" w:name="interpretation-1"/>
    <w:p>
      <w:pPr>
        <w:pStyle w:val="Heading2"/>
      </w:pPr>
      <w:r>
        <w:t xml:space="preserve">Interpretation</w:t>
      </w:r>
    </w:p>
    <w:p>
      <w:pPr>
        <w:pStyle w:val="FirstParagraph"/>
      </w:pPr>
      <w:r>
        <w:t xml:space="preserve">Treat as a signal for further scrutiny rather than automatic exclusion.</w:t>
      </w:r>
    </w:p>
    <w:bookmarkEnd w:id="36"/>
    <w:bookmarkEnd w:id="37"/>
    <w:bookmarkStart w:id="38" w:name="Xb3dc484b4d775dda65440ebcc9da6cc9a94308c"/>
    <w:p>
      <w:pPr>
        <w:pStyle w:val="Heading1"/>
      </w:pPr>
      <w:r>
        <w:t xml:space="preserve">Domain 2: Inspecting conduct, governance and transparency</w:t>
      </w:r>
    </w:p>
    <w:p>
      <w:pPr>
        <w:pStyle w:val="FirstParagraph"/>
      </w:pPr>
      <w:r>
        <w:t xml:space="preserve">Checks in this domain examine how the trial was conducted, governed and reported.</w:t>
      </w:r>
    </w:p>
    <w:bookmarkEnd w:id="38"/>
    <w:bookmarkStart w:id="47" w:name="check-2.1-prospective-registration"/>
    <w:p>
      <w:pPr>
        <w:pStyle w:val="Heading1"/>
      </w:pPr>
      <w:r>
        <w:t xml:space="preserve">Check 2.1: Prospective registration</w:t>
      </w:r>
    </w:p>
    <w:bookmarkStart w:id="42" w:name="rationale-2"/>
    <w:p>
      <w:pPr>
        <w:pStyle w:val="Heading2"/>
      </w:pPr>
      <w:r>
        <w:t xml:space="preserve">Rationale</w:t>
      </w:r>
    </w:p>
    <w:p>
      <w:pPr>
        <w:pStyle w:val="FirstParagraph"/>
      </w:pPr>
      <w:r>
        <w:t xml:space="preserve">Absence of prospective registration is associated with selective reporting.</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tip.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Practical tip</w:t>
            </w:r>
          </w:p>
        </w:tc>
      </w:tr>
      <w:tr>
        <w:trPr>
          <w:cantSplit/>
        </w:trPr>
        <w:tc>
          <w:tcPr>
            <w:tcMar>
              <w:top w:w="108" w:type="dxa"/>
              <w:bottom w:w="108" w:type="dxa"/>
            </w:tcMar>
          </w:tcPr>
          <w:p>
            <w:pPr>
              <w:pStyle w:val="BodyText"/>
            </w:pPr>
            <w:pPr>
              <w:spacing w:before="16" w:after="16"/>
            </w:pPr>
            <w:r>
              <w:t xml:space="preserve">Compare the registration date with the stated first-enrolment date, not the</w:t>
            </w:r>
            <w:r>
              <w:t xml:space="preserve"> </w:t>
            </w:r>
            <w:r>
              <w:t xml:space="preserve">publication date.</w:t>
            </w:r>
          </w:p>
        </w:tc>
      </w:tr>
    </w:tbl>
    <w:bookmarkEnd w:id="42"/>
    <w:bookmarkStart w:id="46" w:name="how-to-perform-the-check-2"/>
    <w:p>
      <w:pPr>
        <w:pStyle w:val="Heading2"/>
      </w:pPr>
      <w:r>
        <w:t xml:space="preserve">How to perform the check</w:t>
      </w:r>
    </w:p>
    <w:p>
      <w:pPr>
        <w:pStyle w:val="FirstParagraph"/>
      </w:pPr>
      <w:r>
        <w:t xml:space="preserve">Locate the registration record and compare dates.</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important.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Discrepancies of more than one month warrant a query to the authors.</w:t>
            </w:r>
          </w:p>
        </w:tc>
      </w:tr>
    </w:tbl>
    <w:bookmarkEnd w:id="46"/>
    <w:bookmarkEnd w:id="47"/>
    <w:bookmarkStart w:id="50" w:name="changelog"/>
    <w:p>
      <w:pPr>
        <w:pStyle w:val="Heading1"/>
      </w:pPr>
      <w:r>
        <w:t xml:space="preserve">Changelog</w:t>
      </w:r>
    </w:p>
    <w:bookmarkStart w:id="48" w:name="version-1.1.2"/>
    <w:p>
      <w:pPr>
        <w:pStyle w:val="Heading2"/>
      </w:pPr>
      <w:r>
        <w:t xml:space="preserve">Version 1.1.2</w:t>
      </w:r>
    </w:p>
    <w:p>
      <w:pPr>
        <w:pStyle w:val="Compact"/>
        <w:numPr>
          <w:ilvl w:val="0"/>
          <w:numId w:val="1002"/>
        </w:numPr>
      </w:pPr>
      <w:r>
        <w:t xml:space="preserve">Clarified the wording of Check 2.1.</w:t>
      </w:r>
    </w:p>
    <w:p>
      <w:pPr>
        <w:pStyle w:val="Compact"/>
        <w:numPr>
          <w:ilvl w:val="0"/>
          <w:numId w:val="1002"/>
        </w:numPr>
      </w:pPr>
      <w:r>
        <w:t xml:space="preserve">Added worked examples to Domain 4.</w:t>
      </w:r>
    </w:p>
    <w:bookmarkEnd w:id="48"/>
    <w:bookmarkStart w:id="49" w:name="version-1.1.1"/>
    <w:p>
      <w:pPr>
        <w:pStyle w:val="Heading2"/>
      </w:pPr>
      <w:r>
        <w:t xml:space="preserve">Version 1.1.1</w:t>
      </w:r>
    </w:p>
    <w:p>
      <w:pPr>
        <w:pStyle w:val="Compact"/>
        <w:numPr>
          <w:ilvl w:val="0"/>
          <w:numId w:val="1003"/>
        </w:numPr>
      </w:pPr>
      <w:r>
        <w:t xml:space="preserve">Initial public release.</w:t>
      </w:r>
    </w:p>
    <w:bookmarkEnd w:id="49"/>
    <w:bookmarkEnd w:id="50"/>
    <w:sectPr>
      <w:footerReference r:id="rId9" w:type="default"/>
      <w:footerReference r:id="rId10" w:type="first"/>
      <w:footnotePr>
        <w:numRestart w:val="continuous"/>
      </w:footnotePr>
      <w:pgSz w:h="16838" w:orient="portrait" w:w="11906"/>
      <w:pgMar w:bottom="1417" w:footer="709" w:gutter="0" w:header="709"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120" w:after="0" w:line="240" w:lineRule="auto"/>
      <w:rPr>
        <w:rFonts w:ascii="Calibri" w:hAnsi="Calibri"/>
        <w:color w:val="767171"/>
        <w:sz w:val="17"/>
      </w:rPr>
    </w:pPr>
    <w:r>
      <w:rPr>
        <w:rFonts w:ascii="Calibri" w:hAnsi="Calibri"/>
        <w:color w:val="767171"/>
        <w:sz w:val="17"/>
      </w:rPr>
      <w:fldChar w:fldCharType="begin"/>
    </w:r>
    <w:r>
      <w:rPr>
        <w:rFonts w:ascii="Calibri" w:hAnsi="Calibri"/>
        <w:color w:val="767171"/>
        <w:sz w:val="17"/>
      </w:rPr>
      <w:instrText xml:space="preserve"> PAGE </w:instrText>
    </w:r>
    <w:r>
      <w:rPr>
        <w:rFonts w:ascii="Calibri" w:hAnsi="Calibri"/>
        <w:color w:val="767171"/>
        <w:sz w:val="17"/>
      </w:rPr>
      <w:fldChar w:fldCharType="separate"/>
    </w:r>
    <w:r>
      <w:rPr>
        <w:rFonts w:ascii="Calibri" w:hAnsi="Calibri"/>
        <w:color w:val="767171"/>
        <w:sz w:val="17"/>
      </w:rPr>
      <w:t>1</w:t>
    </w:r>
    <w:r>
      <w:rPr>
        <w:rFonts w:ascii="Calibri" w:hAnsi="Calibri"/>
        <w:color w:val="767171"/>
        <w:sz w:val="17"/>
      </w:rPr>
      <w:fldChar w:fldCharType="end"/>
    </w:r>
  </w:p>
</w:ftr>
</file>

<file path=word/footer2.xml><?xml version="1.0" encoding="utf-8"?>
<w:ftr xmlns:w="http://schemas.openxmlformats.org/wordprocessingml/2006/main" xmlns:r="http://schemas.openxmlformats.org/officeDocument/2006/relationships">
  <w:p>
    <w:pPr>
      <w:spacing w:before="0" w:after="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2"/>
        <w:szCs w:val="22"/>
        <w:lang w:bidi="ar-SA" w:eastAsia="en-GB" w:val="en-GB"/>
      </w:rPr>
    </w:rPrDefault>
    <w:pPrDefault>
      <w:pPr>
        <w:spacing w:after="160" w:before="0" w:line="276" w:lineRule="auto"/>
      </w:pPr>
    </w:pPrDefault>
  </w:docDefaults>
  <w:latentStyles w:count="276" w:defLockedState="0" w:defQFormat="0" w:defSemiHidden="0" w:defUIPriority="0" w:defUnhideWhenUsed="0"/>
  <w:style w:default="1" w:styleId="Normal" w:type="paragraph">
    <w:name w:val="Normal"/>
    <w:qFormat/>
    <w:pPr>
      <w:spacing w:after="160" w:before="0" w:line="276" w:lineRule="auto"/>
      <w:jc w:val="left"/>
    </w:pPr>
    <w:rPr>
      <w:rFonts w:ascii="Cambria" w:cs="Cambria" w:eastAsia="Cambria" w:hAnsi="Cambria"/>
      <w:sz w:val="22"/>
      <w:szCs w:val="22"/>
    </w:rPr>
  </w:style>
  <w:style w:styleId="DefaultParagraphFont" w:type="character">
    <w:name w:val="Default Paragraph Font"/>
  </w:style>
  <w:style w:styleId="BodyText" w:type="paragraph">
    <w:name w:val="Body Text"/>
    <w:basedOn w:val="Normal"/>
    <w:link w:val="BodyTextChar"/>
    <w:qFormat/>
    <w:pPr>
      <w:spacing w:after="160" w:before="0" w:line="276" w:lineRule="auto"/>
    </w:pPr>
  </w:style>
  <w:style w:styleId="BodyTextChar" w:type="character">
    <w:name w:val="Body Text Char"/>
    <w:basedOn w:val="DefaultParagraphFont"/>
  </w:style>
  <w:style w:styleId="FirstParagraph" w:type="paragraph">
    <w:name w:val="First Paragraph"/>
    <w:basedOn w:val="BodyText"/>
    <w:qFormat/>
  </w:style>
  <w:style w:styleId="Compact" w:type="paragraph">
    <w:name w:val="Compact"/>
    <w:basedOn w:val="BodyText"/>
    <w:qFormat/>
    <w:pPr>
      <w:spacing w:after="0" w:before="0" w:line="252" w:lineRule="auto"/>
      <w:contextualSpacing/>
    </w:pPr>
  </w:style>
  <w:style w:styleId="Title" w:type="paragraph">
    <w:name w:val="Title"/>
    <w:basedOn w:val="Normal"/>
    <w:next w:val="Subtitle"/>
    <w:link w:val="TitleChar"/>
    <w:qFormat/>
    <w:pPr>
      <w:pBdr>
        <w:bottom w:color="1F4E79" w:space="6" w:sz="8" w:val="single"/>
      </w:pBdr>
      <w:spacing w:after="160" w:before="0" w:line="240" w:lineRule="auto"/>
      <w:contextualSpacing/>
      <w:jc w:val="left"/>
    </w:pPr>
    <w:rPr>
      <w:rFonts w:ascii="Calibri" w:cs="Calibri" w:eastAsia="Calibri" w:hAnsi="Calibri"/>
      <w:b/>
      <w:color w:val="1F4E79"/>
      <w:spacing w:val="-6"/>
      <w:sz w:val="52"/>
      <w:szCs w:val="52"/>
    </w:rPr>
  </w:style>
  <w:style w:styleId="TitleChar" w:type="character">
    <w:name w:val="Title Char"/>
    <w:basedOn w:val="DefaultParagraphFont"/>
    <w:rPr>
      <w:rFonts w:ascii="Calibri" w:cs="Calibri" w:eastAsia="Calibri" w:hAnsi="Calibri"/>
      <w:b/>
      <w:color w:val="1F4E79"/>
      <w:sz w:val="52"/>
    </w:rPr>
  </w:style>
  <w:style w:styleId="Subtitle" w:type="paragraph">
    <w:name w:val="Subtitle"/>
    <w:basedOn w:val="Normal"/>
    <w:next w:val="Author"/>
    <w:link w:val="SubtitleChar"/>
    <w:qFormat/>
    <w:pPr>
      <w:spacing w:after="320" w:before="0" w:line="264" w:lineRule="auto"/>
      <w:contextualSpacing/>
      <w:jc w:val="left"/>
    </w:pPr>
    <w:rPr>
      <w:rFonts w:ascii="Calibri" w:cs="Calibri" w:eastAsia="Calibri" w:hAnsi="Calibri"/>
      <w:i/>
      <w:color w:val="595959"/>
      <w:sz w:val="26"/>
      <w:szCs w:val="26"/>
    </w:rPr>
  </w:style>
  <w:style w:styleId="SubtitleChar" w:type="character">
    <w:name w:val="Subtitle Char"/>
    <w:basedOn w:val="DefaultParagraphFont"/>
    <w:rPr>
      <w:rFonts w:ascii="Calibri" w:cs="Calibri" w:eastAsia="Calibri" w:hAnsi="Calibri"/>
      <w:i/>
      <w:color w:val="595959"/>
      <w:sz w:val="26"/>
    </w:rPr>
  </w:style>
  <w:style w:styleId="Author" w:type="paragraph">
    <w:name w:val="Author"/>
    <w:basedOn w:val="Normal"/>
    <w:next w:val="Date"/>
    <w:qFormat/>
    <w:pPr>
      <w:spacing w:after="0" w:before="0" w:line="216" w:lineRule="auto"/>
      <w:contextualSpacing/>
      <w:jc w:val="left"/>
    </w:pPr>
    <w:rPr>
      <w:rFonts w:ascii="Calibri" w:cs="Calibri" w:eastAsia="Calibri" w:hAnsi="Calibri"/>
      <w:color w:val="404040"/>
      <w:sz w:val="17"/>
      <w:szCs w:val="17"/>
    </w:rPr>
  </w:style>
  <w:style w:styleId="Date" w:type="paragraph">
    <w:name w:val="Date"/>
    <w:basedOn w:val="Normal"/>
    <w:next w:val="BodyText"/>
    <w:qFormat/>
    <w:pPr>
      <w:spacing w:after="200" w:before="280" w:line="240" w:lineRule="auto"/>
      <w:contextualSpacing/>
      <w:jc w:val="left"/>
    </w:pPr>
    <w:rPr>
      <w:rFonts w:ascii="Calibri" w:cs="Calibri" w:eastAsia="Calibri" w:hAnsi="Calibri"/>
      <w:color w:val="595959"/>
      <w:sz w:val="19"/>
      <w:szCs w:val="19"/>
    </w:rPr>
  </w:style>
  <w:style w:styleId="Abstract" w:type="paragraph">
    <w:name w:val="Abstract"/>
    <w:basedOn w:val="Normal"/>
    <w:next w:val="BodyText"/>
    <w:qFormat/>
    <w:pPr>
      <w:spacing w:after="160" w:before="0"/>
      <w:ind w:left="340" w:right="340"/>
    </w:pPr>
    <w:rPr>
      <w:color w:val="404040"/>
      <w:sz w:val="21"/>
    </w:rPr>
  </w:style>
  <w:style w:styleId="AbstractTitle" w:type="paragraph">
    <w:name w:val="Abstract Title"/>
    <w:basedOn w:val="Normal"/>
    <w:next w:val="Abstract"/>
    <w:qFormat/>
    <w:pPr>
      <w:keepNext/>
      <w:spacing w:after="120" w:before="240"/>
      <w:jc w:val="left"/>
    </w:pPr>
    <w:rPr>
      <w:rFonts w:ascii="Calibri" w:cs="Calibri" w:eastAsia="Calibri" w:hAnsi="Calibri"/>
      <w:b/>
      <w:color w:val="2E74B5"/>
      <w:sz w:val="24"/>
    </w:rPr>
  </w:style>
  <w:style w:styleId="Heading1" w:type="paragraph">
    <w:name w:val="heading 1"/>
    <w:basedOn w:val="Normal"/>
    <w:next w:val="BodyText"/>
    <w:link w:val="Heading1Char"/>
    <w:uiPriority w:val="9"/>
    <w:qFormat/>
    <w:pPr>
      <w:keepNext/>
      <w:keepLines/>
      <w:pageBreakBefore/>
      <w:spacing w:after="240" w:before="0" w:line="264" w:lineRule="auto"/>
      <w:jc w:val="left"/>
      <w:outlineLvl w:val="0"/>
    </w:pPr>
    <w:rPr>
      <w:rFonts w:ascii="Calibri" w:cs="Calibri" w:eastAsia="Calibri" w:hAnsi="Calibri"/>
      <w:b/>
      <w:color w:val="1F4E79"/>
      <w:sz w:val="38"/>
      <w:szCs w:val="38"/>
    </w:rPr>
  </w:style>
  <w:style w:styleId="Heading1Char" w:type="character">
    <w:name w:val="Heading 1 Char"/>
    <w:basedOn w:val="DefaultParagraphFont"/>
    <w:rPr>
      <w:rFonts w:ascii="Calibri" w:cs="Calibri" w:eastAsia="Calibri" w:hAnsi="Calibri"/>
      <w:b/>
      <w:color w:val="1F4E79"/>
      <w:sz w:val="38"/>
      <w:szCs w:val="38"/>
    </w:rPr>
  </w:style>
  <w:style w:styleId="Heading2" w:type="paragraph">
    <w:name w:val="heading 2"/>
    <w:basedOn w:val="Normal"/>
    <w:next w:val="BodyText"/>
    <w:link w:val="Heading2Char"/>
    <w:uiPriority w:val="9"/>
    <w:qFormat/>
    <w:pPr>
      <w:keepNext/>
      <w:keepLines/>
      <w:spacing w:after="120" w:before="360" w:line="264" w:lineRule="auto"/>
      <w:jc w:val="left"/>
      <w:outlineLvl w:val="1"/>
    </w:pPr>
    <w:rPr>
      <w:rFonts w:ascii="Calibri" w:cs="Calibri" w:eastAsia="Calibri" w:hAnsi="Calibri"/>
      <w:b/>
      <w:color w:val="2E74B5"/>
      <w:sz w:val="28"/>
      <w:szCs w:val="28"/>
    </w:rPr>
  </w:style>
  <w:style w:styleId="Heading2Char" w:type="character">
    <w:name w:val="Heading 2 Char"/>
    <w:basedOn w:val="DefaultParagraphFont"/>
    <w:rPr>
      <w:rFonts w:ascii="Calibri" w:cs="Calibri" w:eastAsia="Calibri" w:hAnsi="Calibri"/>
      <w:b/>
      <w:color w:val="2E74B5"/>
      <w:sz w:val="28"/>
      <w:szCs w:val="28"/>
    </w:rPr>
  </w:style>
  <w:style w:styleId="Heading3" w:type="paragraph">
    <w:name w:val="heading 3"/>
    <w:basedOn w:val="Normal"/>
    <w:next w:val="BodyText"/>
    <w:link w:val="Heading3Char"/>
    <w:uiPriority w:val="9"/>
    <w:qFormat/>
    <w:pPr>
      <w:keepNext/>
      <w:keepLines/>
      <w:spacing w:after="100" w:before="300" w:line="264" w:lineRule="auto"/>
      <w:jc w:val="left"/>
      <w:outlineLvl w:val="2"/>
    </w:pPr>
    <w:rPr>
      <w:rFonts w:ascii="Calibri" w:cs="Calibri" w:eastAsia="Calibri" w:hAnsi="Calibri"/>
      <w:b/>
      <w:color w:val="404040"/>
      <w:sz w:val="24"/>
      <w:szCs w:val="24"/>
    </w:rPr>
  </w:style>
  <w:style w:styleId="Heading3Char" w:type="character">
    <w:name w:val="Heading 3 Char"/>
    <w:basedOn w:val="DefaultParagraphFont"/>
    <w:rPr>
      <w:rFonts w:ascii="Calibri" w:cs="Calibri" w:eastAsia="Calibri" w:hAnsi="Calibri"/>
      <w:b/>
      <w:color w:val="404040"/>
      <w:sz w:val="24"/>
      <w:szCs w:val="24"/>
    </w:rPr>
  </w:style>
  <w:style w:styleId="Heading4" w:type="paragraph">
    <w:name w:val="heading 4"/>
    <w:basedOn w:val="Normal"/>
    <w:next w:val="BodyText"/>
    <w:link w:val="Heading4Char"/>
    <w:uiPriority w:val="9"/>
    <w:qFormat/>
    <w:pPr>
      <w:keepNext/>
      <w:keepLines/>
      <w:spacing w:after="80" w:before="260" w:line="264" w:lineRule="auto"/>
      <w:jc w:val="left"/>
      <w:outlineLvl w:val="3"/>
    </w:pPr>
    <w:rPr>
      <w:rFonts w:ascii="Calibri" w:cs="Calibri" w:eastAsia="Calibri" w:hAnsi="Calibri"/>
      <w:b/>
      <w:i/>
      <w:color w:val="404040"/>
      <w:sz w:val="22"/>
      <w:szCs w:val="22"/>
    </w:rPr>
  </w:style>
  <w:style w:styleId="Heading4Char" w:type="character">
    <w:name w:val="Heading 4 Char"/>
    <w:basedOn w:val="DefaultParagraphFont"/>
    <w:rPr>
      <w:rFonts w:ascii="Calibri" w:cs="Calibri" w:eastAsia="Calibri" w:hAnsi="Calibri"/>
      <w:b/>
      <w:i/>
      <w:color w:val="404040"/>
      <w:sz w:val="22"/>
      <w:szCs w:val="22"/>
    </w:rPr>
  </w:style>
  <w:style w:styleId="Heading5" w:type="paragraph">
    <w:name w:val="heading 5"/>
    <w:basedOn w:val="Normal"/>
    <w:next w:val="BodyText"/>
    <w:link w:val="Heading5Char"/>
    <w:uiPriority w:val="9"/>
    <w:qFormat/>
    <w:pPr>
      <w:keepNext/>
      <w:keepLines/>
      <w:spacing w:after="80" w:before="240" w:line="264" w:lineRule="auto"/>
      <w:jc w:val="left"/>
      <w:outlineLvl w:val="4"/>
    </w:pPr>
    <w:rPr>
      <w:rFonts w:ascii="Calibri" w:cs="Calibri" w:eastAsia="Calibri" w:hAnsi="Calibri"/>
      <w:color w:val="595959"/>
      <w:sz w:val="21"/>
      <w:szCs w:val="21"/>
    </w:rPr>
  </w:style>
  <w:style w:styleId="Heading5Char" w:type="character">
    <w:name w:val="Heading 5 Char"/>
    <w:basedOn w:val="DefaultParagraphFont"/>
    <w:rPr>
      <w:rFonts w:ascii="Calibri" w:cs="Calibri" w:eastAsia="Calibri" w:hAnsi="Calibri"/>
      <w:color w:val="595959"/>
      <w:sz w:val="21"/>
      <w:szCs w:val="21"/>
    </w:rPr>
  </w:style>
  <w:style w:styleId="Heading6" w:type="paragraph">
    <w:name w:val="heading 6"/>
    <w:basedOn w:val="Normal"/>
    <w:next w:val="BodyText"/>
    <w:link w:val="Heading6Char"/>
    <w:uiPriority w:val="9"/>
    <w:qFormat/>
    <w:pPr>
      <w:keepNext/>
      <w:keepLines/>
      <w:spacing w:after="80" w:before="240" w:line="264" w:lineRule="auto"/>
      <w:jc w:val="left"/>
      <w:outlineLvl w:val="5"/>
    </w:pPr>
    <w:rPr>
      <w:rFonts w:ascii="Calibri" w:cs="Calibri" w:eastAsia="Calibri" w:hAnsi="Calibri"/>
      <w:i/>
      <w:color w:val="595959"/>
      <w:sz w:val="21"/>
      <w:szCs w:val="21"/>
    </w:rPr>
  </w:style>
  <w:style w:styleId="Heading6Char" w:type="character">
    <w:name w:val="Heading 6 Char"/>
    <w:basedOn w:val="DefaultParagraphFont"/>
    <w:rPr>
      <w:rFonts w:ascii="Calibri" w:cs="Calibri" w:eastAsia="Calibri" w:hAnsi="Calibri"/>
      <w:i/>
      <w:color w:val="595959"/>
      <w:sz w:val="21"/>
      <w:szCs w:val="21"/>
    </w:rPr>
  </w:style>
  <w:style w:styleId="Heading7" w:type="paragraph">
    <w:name w:val="heading 7"/>
    <w:basedOn w:val="Normal"/>
    <w:next w:val="BodyText"/>
    <w:link w:val="Heading7Char"/>
    <w:uiPriority w:val="9"/>
    <w:qFormat/>
    <w:pPr>
      <w:keepNext/>
      <w:keepLines/>
      <w:spacing w:after="80" w:before="240" w:line="264" w:lineRule="auto"/>
      <w:jc w:val="left"/>
      <w:outlineLvl w:val="6"/>
    </w:pPr>
    <w:rPr>
      <w:rFonts w:ascii="Calibri" w:cs="Calibri" w:eastAsia="Calibri" w:hAnsi="Calibri"/>
      <w:i/>
      <w:color w:val="767171"/>
      <w:sz w:val="20"/>
      <w:szCs w:val="20"/>
    </w:rPr>
  </w:style>
  <w:style w:styleId="Heading7Char" w:type="character">
    <w:name w:val="Heading 7 Char"/>
    <w:basedOn w:val="DefaultParagraphFont"/>
    <w:rPr>
      <w:rFonts w:ascii="Calibri" w:cs="Calibri" w:eastAsia="Calibri" w:hAnsi="Calibri"/>
      <w:i/>
      <w:color w:val="767171"/>
      <w:sz w:val="20"/>
      <w:szCs w:val="20"/>
    </w:rPr>
  </w:style>
  <w:style w:styleId="Heading8" w:type="paragraph">
    <w:name w:val="heading 8"/>
    <w:basedOn w:val="Normal"/>
    <w:next w:val="BodyText"/>
    <w:link w:val="Heading8Char"/>
    <w:uiPriority w:val="9"/>
    <w:qFormat/>
    <w:pPr>
      <w:keepNext/>
      <w:keepLines/>
      <w:spacing w:after="80" w:before="240" w:line="264" w:lineRule="auto"/>
      <w:jc w:val="left"/>
      <w:outlineLvl w:val="7"/>
    </w:pPr>
    <w:rPr>
      <w:rFonts w:ascii="Calibri" w:cs="Calibri" w:eastAsia="Calibri" w:hAnsi="Calibri"/>
      <w:i/>
      <w:color w:val="767171"/>
      <w:sz w:val="20"/>
      <w:szCs w:val="20"/>
    </w:rPr>
  </w:style>
  <w:style w:styleId="Heading8Char" w:type="character">
    <w:name w:val="Heading 8 Char"/>
    <w:basedOn w:val="DefaultParagraphFont"/>
    <w:rPr>
      <w:rFonts w:ascii="Calibri" w:cs="Calibri" w:eastAsia="Calibri" w:hAnsi="Calibri"/>
      <w:i/>
      <w:color w:val="767171"/>
      <w:sz w:val="20"/>
      <w:szCs w:val="20"/>
    </w:rPr>
  </w:style>
  <w:style w:styleId="Heading9" w:type="paragraph">
    <w:name w:val="heading 9"/>
    <w:basedOn w:val="Normal"/>
    <w:next w:val="BodyText"/>
    <w:link w:val="Heading9Char"/>
    <w:uiPriority w:val="9"/>
    <w:qFormat/>
    <w:pPr>
      <w:keepNext/>
      <w:keepLines/>
      <w:spacing w:after="80" w:before="240" w:line="264" w:lineRule="auto"/>
      <w:jc w:val="left"/>
      <w:outlineLvl w:val="8"/>
    </w:pPr>
    <w:rPr>
      <w:rFonts w:ascii="Calibri" w:cs="Calibri" w:eastAsia="Calibri" w:hAnsi="Calibri"/>
      <w:i/>
      <w:color w:val="767171"/>
      <w:sz w:val="20"/>
      <w:szCs w:val="20"/>
    </w:rPr>
  </w:style>
  <w:style w:styleId="Heading9Char" w:type="character">
    <w:name w:val="Heading 9 Char"/>
    <w:basedOn w:val="DefaultParagraphFont"/>
    <w:rPr>
      <w:rFonts w:ascii="Calibri" w:cs="Calibri" w:eastAsia="Calibri" w:hAnsi="Calibri"/>
      <w:i/>
      <w:color w:val="767171"/>
      <w:sz w:val="20"/>
      <w:szCs w:val="20"/>
    </w:rPr>
  </w:style>
  <w:style w:styleId="TOCHeading" w:type="paragraph">
    <w:name w:val="TOC Heading"/>
    <w:basedOn w:val="Normal"/>
    <w:next w:val="BodyText"/>
    <w:qFormat/>
    <w:pPr>
      <w:keepNext/>
      <w:keepLines/>
      <w:spacing w:after="240" w:before="0" w:line="264" w:lineRule="auto"/>
      <w:jc w:val="left"/>
      <w:outlineLvl w:val="9"/>
    </w:pPr>
    <w:rPr>
      <w:rFonts w:ascii="Calibri" w:cs="Calibri" w:eastAsia="Calibri" w:hAnsi="Calibri"/>
      <w:b/>
      <w:color w:val="1F4E79"/>
      <w:sz w:val="38"/>
      <w:szCs w:val="38"/>
    </w:rPr>
  </w:style>
  <w:style w:styleId="BlockText" w:type="paragraph">
    <w:name w:val="Block Text"/>
    <w:basedOn w:val="Normal"/>
    <w:next w:val="BodyText"/>
    <w:qFormat/>
    <w:pPr>
      <w:pBdr>
        <w:left w:color="2E74B5" w:space="10" w:sz="18" w:val="single"/>
      </w:pBdr>
      <w:spacing w:after="200" w:before="200"/>
      <w:ind w:left="340" w:right="200"/>
    </w:pPr>
    <w:rPr>
      <w:color w:val="404040"/>
    </w:rPr>
  </w:style>
  <w:style w:styleId="SourceCode" w:type="paragraph">
    <w:name w:val="Source Code"/>
    <w:basedOn w:val="Normal"/>
    <w:next w:val="BodyText"/>
    <w:qFormat/>
    <w:pPr>
      <w:keepLines/>
      <w:pBdr>
        <w:top w:color="D9D9D9" w:space="4" w:sz="4" w:val="single"/>
        <w:left w:color="D9D9D9" w:space="4" w:sz="4" w:val="single"/>
        <w:bottom w:color="D9D9D9" w:space="4" w:sz="4" w:val="single"/>
        <w:right w:color="D9D9D9" w:space="4" w:sz="4" w:val="single"/>
      </w:pBdr>
      <w:shd w:color="auto" w:fill="F7F7F7" w:val="clear"/>
      <w:spacing w:after="120" w:before="120" w:line="240" w:lineRule="auto"/>
      <w:ind w:left="120" w:right="120"/>
      <w:contextualSpacing/>
    </w:pPr>
    <w:rPr>
      <w:rFonts w:ascii="Consolas" w:cs="Consolas" w:eastAsia="Consolas" w:hAnsi="Consolas"/>
      <w:sz w:val="18"/>
      <w:szCs w:val="18"/>
    </w:rPr>
  </w:style>
  <w:style w:styleId="VerbatimChar" w:type="character">
    <w:name w:val="Verbatim Char"/>
    <w:basedOn w:val="DefaultParagraphFont"/>
    <w:qFormat/>
    <w:rPr>
      <w:rFonts w:ascii="Consolas" w:cs="Consolas" w:eastAsia="Consolas" w:hAnsi="Consolas"/>
      <w:shd w:color="auto" w:fill="F2F2F2" w:val="clear"/>
      <w:sz w:val="18"/>
      <w:szCs w:val="18"/>
    </w:rPr>
  </w:style>
  <w:style w:styleId="Caption" w:type="paragraph">
    <w:name w:val="Caption"/>
    <w:basedOn w:val="Normal"/>
    <w:next w:val="BodyText"/>
    <w:qFormat/>
    <w:pPr>
      <w:spacing w:after="200" w:before="80" w:line="240" w:lineRule="auto"/>
    </w:pPr>
    <w:rPr>
      <w:rFonts w:ascii="Calibri" w:cs="Calibri" w:eastAsia="Calibri" w:hAnsi="Calibri"/>
      <w:color w:val="595959"/>
      <w:sz w:val="18"/>
      <w:szCs w:val="18"/>
    </w:rPr>
  </w:style>
  <w:style w:styleId="ImageCaption" w:type="paragraph">
    <w:name w:val="Image Caption"/>
    <w:basedOn w:val="Caption"/>
    <w:qFormat/>
    <w:pPr>
      <w:jc w:val="center"/>
    </w:pPr>
  </w:style>
  <w:style w:styleId="TableCaption" w:type="paragraph">
    <w:name w:val="Table Caption"/>
    <w:basedOn w:val="Caption"/>
    <w:qFormat/>
    <w:pPr>
      <w:keepNext/>
      <w:spacing w:after="80" w:before="200"/>
    </w:pPr>
  </w:style>
  <w:style w:styleId="CaptionedFigure" w:type="paragraph">
    <w:name w:val="Captioned Figure"/>
    <w:basedOn w:val="Normal"/>
    <w:next w:val="ImageCaption"/>
    <w:qFormat/>
    <w:pPr>
      <w:keepNext/>
      <w:spacing w:after="40" w:before="200"/>
      <w:jc w:val="center"/>
    </w:pPr>
  </w:style>
  <w:style w:styleId="Figure" w:type="paragraph">
    <w:name w:val="Figure"/>
    <w:basedOn w:val="Normal"/>
    <w:next w:val="ImageCaption"/>
    <w:qFormat/>
    <w:pPr>
      <w:keepNext/>
      <w:spacing w:after="40" w:before="200"/>
      <w:jc w:val="center"/>
    </w:pPr>
  </w:style>
  <w:style w:styleId="Hyperlink" w:type="character">
    <w:name w:val="Hyperlink"/>
    <w:basedOn w:val="DefaultParagraphFont"/>
    <w:qFormat/>
    <w:rPr>
      <w:color w:val="2E74B5"/>
      <w:u w:val="single"/>
    </w:rPr>
  </w:style>
  <w:style w:styleId="FootnoteReference" w:type="character">
    <w:name w:val="Footnote Reference"/>
    <w:basedOn w:val="DefaultParagraphFont"/>
    <w:qFormat/>
    <w:rPr>
      <w:vertAlign w:val="superscript"/>
    </w:rPr>
  </w:style>
  <w:style w:styleId="SectionNumber" w:type="character">
    <w:name w:val="Section Number"/>
    <w:basedOn w:val="DefaultParagraphFont"/>
    <w:qFormat/>
    <w:rPr>
      <w:rFonts w:ascii="Calibri" w:cs="Calibri" w:eastAsia="Calibri" w:hAnsi="Calibri"/>
    </w:rPr>
  </w:style>
  <w:style w:styleId="FootnoteText" w:type="paragraph">
    <w:name w:val="Footnote Text"/>
    <w:basedOn w:val="Normal"/>
    <w:link w:val="FootnoteTextChar"/>
    <w:qFormat/>
    <w:pPr>
      <w:spacing w:after="0" w:before="0" w:line="240" w:lineRule="auto"/>
    </w:pPr>
    <w:rPr>
      <w:sz w:val="18"/>
      <w:szCs w:val="18"/>
    </w:rPr>
  </w:style>
  <w:style w:styleId="FootnoteTextChar" w:type="character">
    <w:name w:val="Footnote Text Char"/>
    <w:basedOn w:val="DefaultParagraphFont"/>
    <w:rPr>
      <w:sz w:val="18"/>
    </w:rPr>
  </w:style>
  <w:style w:styleId="FootnoteBlockText" w:type="paragraph">
    <w:name w:val="Footnote Block Text"/>
    <w:basedOn w:val="FootnoteText"/>
    <w:qFormat/>
    <w:pPr>
      <w:ind w:left="340"/>
    </w:pPr>
  </w:style>
  <w:style w:styleId="Bibliography" w:type="paragraph">
    <w:name w:val="Bibliography"/>
    <w:basedOn w:val="Normal"/>
    <w:qFormat/>
    <w:pPr>
      <w:spacing w:after="120" w:before="0" w:line="252" w:lineRule="auto"/>
      <w:ind w:hanging="454" w:left="454"/>
    </w:pPr>
  </w:style>
  <w:style w:styleId="DefinitionTerm" w:type="paragraph">
    <w:name w:val="Definition Term"/>
    <w:basedOn w:val="Normal"/>
    <w:next w:val="Definition"/>
    <w:qFormat/>
    <w:pPr>
      <w:keepNext/>
      <w:spacing w:after="0" w:before="180"/>
    </w:pPr>
    <w:rPr>
      <w:b/>
    </w:rPr>
  </w:style>
  <w:style w:styleId="Definition" w:type="paragraph">
    <w:name w:val="Definition"/>
    <w:basedOn w:val="Normal"/>
    <w:qFormat/>
    <w:pPr>
      <w:spacing w:after="120" w:before="0"/>
      <w:ind w:left="340"/>
    </w:pPr>
  </w:style>
  <w:style w:styleId="Table" w:type="table">
    <w:name w:val="Table"/>
    <w:qFormat/>
    <w:pPr>
      <w:spacing w:after="0" w:before="0" w:line="252" w:lineRule="auto"/>
    </w:pPr>
    <w:rPr>
      <w:rFonts w:ascii="Calibri" w:cs="Calibri" w:eastAsia="Calibri" w:hAnsi="Calibri"/>
      <w:sz w:val="19"/>
      <w:szCs w:val="19"/>
    </w:rPr>
    <w:tblPr>
      <w:tblCellMar>
        <w:top w:type="dxa" w:w="60"/>
        <w:left w:type="dxa" w:w="90"/>
        <w:bottom w:type="dxa" w:w="60"/>
        <w:right w:type="dxa" w:w="90"/>
      </w:tblCellMar>
    </w:tblPr>
    <w:tblStylePr w:type="firstRow">
      <w:rPr>
        <w:b/>
      </w:rPr>
    </w:tblStylePr>
  </w:style>
  <w:style w:customStyle="1" w:styleId="BadgeDraft1" w:type="character">
    <w:name w:val="Badge Draft 1"/>
    <w:basedOn w:val="DefaultParagraphFont"/>
    <w:qFormat/>
    <w:rPr>
      <w:rFonts w:ascii="Calibri" w:cs="Calibri" w:eastAsia="Calibri" w:hAnsi="Calibri"/>
      <w:b/>
      <w:color w:val="8B2A2A"/>
      <w:sz w:val="16"/>
      <w:szCs w:val="16"/>
      <w:shd w:color="auto" w:fill="FDECEA" w:val="clear"/>
    </w:rPr>
  </w:style>
  <w:style w:customStyle="1" w:styleId="BadgeDraft2" w:type="character">
    <w:name w:val="Badge Draft 2"/>
    <w:basedOn w:val="DefaultParagraphFont"/>
    <w:qFormat/>
    <w:rPr>
      <w:rFonts w:ascii="Calibri" w:cs="Calibri" w:eastAsia="Calibri" w:hAnsi="Calibri"/>
      <w:b/>
      <w:color w:val="8B4A1A"/>
      <w:sz w:val="16"/>
      <w:szCs w:val="16"/>
      <w:shd w:color="auto" w:fill="FEF0E6" w:val="clear"/>
    </w:rPr>
  </w:style>
  <w:style w:customStyle="1" w:styleId="BadgeDraft3" w:type="character">
    <w:name w:val="Badge Draft 3"/>
    <w:basedOn w:val="DefaultParagraphFont"/>
    <w:qFormat/>
    <w:rPr>
      <w:rFonts w:ascii="Calibri" w:cs="Calibri" w:eastAsia="Calibri" w:hAnsi="Calibri"/>
      <w:b/>
      <w:color w:val="7A5C00"/>
      <w:sz w:val="16"/>
      <w:szCs w:val="16"/>
      <w:shd w:color="auto" w:fill="FEF9E7" w:val="clear"/>
    </w:rPr>
  </w:style>
  <w:style w:customStyle="1" w:styleId="BadgeComplete" w:type="character">
    <w:name w:val="Badge Complete"/>
    <w:basedOn w:val="DefaultParagraphFont"/>
    <w:qFormat/>
    <w:rPr>
      <w:rFonts w:ascii="Calibri" w:cs="Calibri" w:eastAsia="Calibri" w:hAnsi="Calibri"/>
      <w:b/>
      <w:color w:val="1E6E3A"/>
      <w:sz w:val="16"/>
      <w:szCs w:val="16"/>
      <w:shd w:color="auto" w:fill="E6F4EA" w:val="clear"/>
    </w:rPr>
  </w:style>
  <w:style w:type="character" w:customStyle="1" w:styleId="KeywordTok">
    <w:name w:val="KeywordTok"/>
    <w:basedOn w:val="VerbatimChar"/>
    <w:rPr>
      <w:b/>
      <w:color w:val="1f1c1b"/>
    </w:rPr>
  </w:style>
  <w:style w:type="character" w:customStyle="1" w:styleId="DataTypeTok">
    <w:name w:val="DataTypeTok"/>
    <w:basedOn w:val="VerbatimChar"/>
    <w:rPr>
      <w:color w:val="0057ae"/>
    </w:rPr>
  </w:style>
  <w:style w:type="character" w:customStyle="1" w:styleId="DecValTok">
    <w:name w:val="DecValTok"/>
    <w:basedOn w:val="VerbatimChar"/>
    <w:rPr>
      <w:color w:val="b08000"/>
    </w:rPr>
  </w:style>
  <w:style w:type="character" w:customStyle="1" w:styleId="BaseNTok">
    <w:name w:val="BaseNTok"/>
    <w:basedOn w:val="VerbatimChar"/>
    <w:rPr>
      <w:color w:val="b08000"/>
    </w:rPr>
  </w:style>
  <w:style w:type="character" w:customStyle="1" w:styleId="FloatTok">
    <w:name w:val="FloatTok"/>
    <w:basedOn w:val="VerbatimChar"/>
    <w:rPr>
      <w:color w:val="b08000"/>
    </w:rPr>
  </w:style>
  <w:style w:type="character" w:customStyle="1" w:styleId="ConstantTok">
    <w:name w:val="ConstantTok"/>
    <w:basedOn w:val="VerbatimChar"/>
    <w:rPr>
      <w:color w:val="aa5500"/>
    </w:rPr>
  </w:style>
  <w:style w:type="character" w:customStyle="1" w:styleId="CharTok">
    <w:name w:val="CharTok"/>
    <w:basedOn w:val="VerbatimChar"/>
    <w:rPr>
      <w:color w:val="924c9d"/>
    </w:rPr>
  </w:style>
  <w:style w:type="character" w:customStyle="1" w:styleId="SpecialCharTok">
    <w:name w:val="SpecialCharTok"/>
    <w:basedOn w:val="VerbatimChar"/>
    <w:rPr>
      <w:color w:val="3daee9"/>
    </w:rPr>
  </w:style>
  <w:style w:type="character" w:customStyle="1" w:styleId="StringTok">
    <w:name w:val="StringTok"/>
    <w:basedOn w:val="VerbatimChar"/>
    <w:rPr>
      <w:color w:val="bf0303"/>
    </w:rPr>
  </w:style>
  <w:style w:type="character" w:customStyle="1" w:styleId="VerbatimStringTok">
    <w:name w:val="VerbatimStringTok"/>
    <w:basedOn w:val="VerbatimChar"/>
    <w:rPr>
      <w:color w:val="bf0303"/>
    </w:rPr>
  </w:style>
  <w:style w:type="character" w:customStyle="1" w:styleId="SpecialStringTok">
    <w:name w:val="SpecialStringTok"/>
    <w:basedOn w:val="VerbatimChar"/>
    <w:rPr>
      <w:color w:val="ff5500"/>
    </w:rPr>
  </w:style>
  <w:style w:type="character" w:customStyle="1" w:styleId="ImportTok">
    <w:name w:val="ImportTok"/>
    <w:basedOn w:val="VerbatimChar"/>
    <w:rPr>
      <w:color w:val="ff5500"/>
    </w:rPr>
  </w:style>
  <w:style w:type="character" w:customStyle="1" w:styleId="CommentTok">
    <w:name w:val="CommentTok"/>
    <w:basedOn w:val="VerbatimChar"/>
    <w:rPr>
      <w:color w:val="898887"/>
    </w:rPr>
  </w:style>
  <w:style w:type="character" w:customStyle="1" w:styleId="DocumentationTok">
    <w:name w:val="DocumentationTok"/>
    <w:basedOn w:val="VerbatimChar"/>
    <w:rPr>
      <w:color w:val="607880"/>
    </w:rPr>
  </w:style>
  <w:style w:type="character" w:customStyle="1" w:styleId="AnnotationTok">
    <w:name w:val="AnnotationTok"/>
    <w:basedOn w:val="VerbatimChar"/>
    <w:rPr>
      <w:color w:val="ca60ca"/>
    </w:rPr>
  </w:style>
  <w:style w:type="character" w:customStyle="1" w:styleId="CommentVarTok">
    <w:name w:val="CommentVarTok"/>
    <w:basedOn w:val="VerbatimChar"/>
    <w:rPr>
      <w:color w:val="0095ff"/>
    </w:rPr>
  </w:style>
  <w:style w:type="character" w:customStyle="1" w:styleId="OtherTok">
    <w:name w:val="OtherTok"/>
    <w:basedOn w:val="VerbatimChar"/>
    <w:rPr>
      <w:color w:val="006e28"/>
    </w:rPr>
  </w:style>
  <w:style w:type="character" w:customStyle="1" w:styleId="FunctionTok">
    <w:name w:val="FunctionTok"/>
    <w:basedOn w:val="VerbatimChar"/>
    <w:rPr>
      <w:color w:val="644a9b"/>
    </w:rPr>
  </w:style>
  <w:style w:type="character" w:customStyle="1" w:styleId="VariableTok">
    <w:name w:val="VariableTok"/>
    <w:basedOn w:val="VerbatimChar"/>
    <w:rPr>
      <w:color w:val="0057ae"/>
    </w:rPr>
  </w:style>
  <w:style w:type="character" w:customStyle="1" w:styleId="ControlFlowTok">
    <w:name w:val="ControlFlowTok"/>
    <w:basedOn w:val="VerbatimChar"/>
    <w:rPr>
      <w:b/>
      <w:color w:val="1f1c1b"/>
    </w:rPr>
  </w:style>
  <w:style w:type="character" w:customStyle="1" w:styleId="OperatorTok">
    <w:name w:val="OperatorTok"/>
    <w:basedOn w:val="VerbatimChar"/>
    <w:rPr>
      <w:color w:val="ca60ca"/>
    </w:rPr>
  </w:style>
  <w:style w:type="character" w:customStyle="1" w:styleId="BuiltInTok">
    <w:name w:val="BuiltInTok"/>
    <w:basedOn w:val="VerbatimChar"/>
    <w:rPr>
      <w:b/>
      <w:color w:val="644a9b"/>
    </w:rPr>
  </w:style>
  <w:style w:type="character" w:customStyle="1" w:styleId="ExtensionTok">
    <w:name w:val="ExtensionTok"/>
    <w:basedOn w:val="VerbatimChar"/>
    <w:rPr>
      <w:b/>
      <w:color w:val="0095ff"/>
    </w:rPr>
  </w:style>
  <w:style w:type="character" w:customStyle="1" w:styleId="PreprocessorTok">
    <w:name w:val="PreprocessorTok"/>
    <w:basedOn w:val="VerbatimChar"/>
    <w:rPr>
      <w:color w:val="006e28"/>
    </w:rPr>
  </w:style>
  <w:style w:type="character" w:customStyle="1" w:styleId="AttributeTok">
    <w:name w:val="AttributeTok"/>
    <w:basedOn w:val="VerbatimChar"/>
    <w:rPr>
      <w:color w:val="0057ae"/>
    </w:rPr>
  </w:style>
  <w:style w:type="character" w:customStyle="1" w:styleId="RegionMarkerTok">
    <w:name w:val="RegionMarkerTok"/>
    <w:basedOn w:val="VerbatimChar"/>
    <w:rPr>
      <w:color w:val="0057ae"/>
      <w:shd w:val="clear" w:fill="e0e9f8"/>
    </w:rPr>
  </w:style>
  <w:style w:type="character" w:customStyle="1" w:styleId="InformationTok">
    <w:name w:val="InformationTok"/>
    <w:basedOn w:val="VerbatimChar"/>
    <w:rPr>
      <w:color w:val="b08000"/>
    </w:rPr>
  </w:style>
  <w:style w:type="character" w:customStyle="1" w:styleId="WarningTok">
    <w:name w:val="WarningTok"/>
    <w:basedOn w:val="VerbatimChar"/>
    <w:rPr>
      <w:color w:val="bf0303"/>
    </w:rPr>
  </w:style>
  <w:style w:type="character" w:customStyle="1" w:styleId="AlertTok">
    <w:name w:val="AlertTok"/>
    <w:basedOn w:val="VerbatimChar"/>
    <w:rPr>
      <w:b/>
      <w:color w:val="bf0303"/>
      <w:shd w:val="clear" w:fill="f7e6e6"/>
    </w:rPr>
  </w:style>
  <w:style w:type="character" w:customStyle="1" w:styleId="ErrorTok">
    <w:name w:val="ErrorTok"/>
    <w:basedOn w:val="VerbatimChar"/>
    <w:rPr>
      <w:color w:val="bf0303"/>
      <w:u/>
    </w:rPr>
  </w:style>
  <w:style w:type="character" w:customStyle="1" w:styleId="NormalTok">
    <w:name w:val="NormalTok"/>
    <w:basedOn w:val="VerbatimChar"/>
    <w:rPr>
      <w:color w:val="1f1c1b"/>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Type="http://schemas.openxmlformats.org/officeDocument/2006/relationships/image" Id="rId43" Target="media/rId43.png" /><Relationship Type="http://schemas.openxmlformats.org/officeDocument/2006/relationships/image" Id="rId20" Target="media/rId20.png" /><Relationship Type="http://schemas.openxmlformats.org/officeDocument/2006/relationships/image" Id="rId39" Target="media/rId39.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mbr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INSPECT-SR Guidance</dc:title>
  <dc:creator>Jack Wilkinson, Calvin Heal, Ella Flemyng, Georgios A. Antoniou, Tony Aburrow, Zarko Alfirevic, Alison Avenell, Virginia Barbour, Vincenzo Berghella, Dorothy V. M. Bishop, Esmée M Bordewijk, Nicholas J. L. Brown, Jana Christopher, Mike Clarke, Darren Dahly, Jane Dennis, Patrick Dicker, Jo Dumville, Helen Frankish, Andrew Grey, Steph Grohmann, Lyle C. Gurrin, Jill A. Hayden, James Heathers, Kylie E Hunter, Ian Hussey, Lukas Jung, Emily Lam, Toby J. Lasserson, Sarah Lensen, Tianjing Li, Wentao Li, Jianping Liu, Elizabeth Loder, Andreas Lundh, Gideon Meyerowitz-Katz, Ben W. Mol, Florian Naudet, Anna Noel-Storr, Neil E. O’Connell, Lisa Parker, Rita F. Redberg, Barbara K. Redman, Rachel Richardson, Anna Lene Seidler, Kyle Sheldrick, Emma Sydenham, Madelon van Wely, Colby J. Vorland, Rui Wang, Stephanie Weibel, Matthias Wjst, Lisa Bero, Jamie J. Kirkham</dc:creator>
  <cp:keywords/>
  <dcterms:created xsi:type="dcterms:W3CDTF">2026-08-12T15:28:23Z</dcterms:created>
  <dcterms:modified xsi:type="dcterms:W3CDTF">2026-08-12T15:28:23Z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rossref">
    <vt:lpwstr/>
  </property>
  <property fmtid="{D5CDD505-2E9C-101B-9397-08002B2CF9AE}" pid="5" name="date">
    <vt:lpwstr>Version 1.1.2</vt:lpwstr>
  </property>
  <property fmtid="{D5CDD505-2E9C-101B-9397-08002B2CF9AE}" pid="6" name="date-format">
    <vt:lpwstr>[1.1.2]</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INveStigating ProblEmatic Clinical Trials in Systematic Reviews</vt:lpwstr>
  </property>
  <property fmtid="{D5CDD505-2E9C-101B-9397-08002B2CF9AE}" pid="13" name="template-partials">
    <vt:lpwstr/>
  </property>
  <property fmtid="{D5CDD505-2E9C-101B-9397-08002B2CF9AE}" pid="14" name="toc-title">
    <vt:lpwstr>Table of contents</vt:lpwstr>
  </property>
</Properties>
</file>