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31811A02" w14:textId="3180BED8" w:rsidR="00450A0D" w:rsidRPr="00D63ACE" w:rsidRDefault="00450A0D" w:rsidP="00110D6A">
      <w:pPr>
        <w:pStyle w:val="Heading1"/>
        <w:rPr>
          <w:b w:val="0"/>
        </w:rPr>
      </w:pPr>
      <w:r w:rsidRPr="00D63ACE">
        <w:rPr>
          <w:b w:val="0"/>
        </w:rPr>
        <w:t xml:space="preserve">The IRAP </w:t>
      </w:r>
      <w:r w:rsidR="006A3A94" w:rsidRPr="00D63ACE">
        <w:rPr>
          <w:b w:val="0"/>
        </w:rPr>
        <w:t>has</w:t>
      </w:r>
      <w:r w:rsidRPr="00D63ACE">
        <w:rPr>
          <w:b w:val="0"/>
        </w:rPr>
        <w:t xml:space="preserve"> poor internal consistency and test-retest reliability: </w:t>
      </w:r>
    </w:p>
    <w:p w14:paraId="5D1BBB99" w14:textId="767BCB96" w:rsidR="00F766BD" w:rsidRPr="00D63ACE" w:rsidRDefault="00E546F0" w:rsidP="00110D6A">
      <w:pPr>
        <w:pStyle w:val="Heading1"/>
        <w:rPr>
          <w:b w:val="0"/>
        </w:rPr>
      </w:pPr>
      <w:r w:rsidRPr="00D63ACE">
        <w:rPr>
          <w:b w:val="0"/>
        </w:rPr>
        <w:t>A file-drawer 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0B2AD09F" w:rsidR="00693644" w:rsidRPr="00D63ACE" w:rsidRDefault="002D7CA2" w:rsidP="006A281D">
      <w:r w:rsidRPr="00D63ACE">
        <w:t>Vahey et al.’s (2015)</w:t>
      </w:r>
      <w:r w:rsidR="006A281D" w:rsidRPr="00D63ACE">
        <w:t xml:space="preserve"> meta</w:t>
      </w:r>
      <w:r w:rsidR="00E546F0" w:rsidRPr="00D63ACE">
        <w:t>-</w:t>
      </w:r>
      <w:r w:rsidR="006A281D" w:rsidRPr="00D63ACE">
        <w:t xml:space="preserve">analysis </w:t>
      </w:r>
      <w:r w:rsidRPr="00D63ACE">
        <w:t>argued that the</w:t>
      </w:r>
      <w:r w:rsidR="006A281D" w:rsidRPr="00D63ACE">
        <w:t xml:space="preserve"> I</w:t>
      </w:r>
      <w:r w:rsidR="00E546F0" w:rsidRPr="00D63ACE">
        <w:t xml:space="preserve">mplicit </w:t>
      </w:r>
      <w:r w:rsidR="006A281D" w:rsidRPr="00D63ACE">
        <w:t>R</w:t>
      </w:r>
      <w:r w:rsidR="00E546F0" w:rsidRPr="00D63ACE">
        <w:t xml:space="preserve">elational </w:t>
      </w:r>
      <w:r w:rsidR="006A281D" w:rsidRPr="00D63ACE">
        <w:t>A</w:t>
      </w:r>
      <w:r w:rsidR="00E546F0" w:rsidRPr="00D63ACE">
        <w:t xml:space="preserve">ssessment </w:t>
      </w:r>
      <w:r w:rsidR="006A281D" w:rsidRPr="00D63ACE">
        <w:t>P</w:t>
      </w:r>
      <w:r w:rsidR="00E546F0" w:rsidRPr="00D63ACE">
        <w:t>rocedure (IRAP)</w:t>
      </w:r>
      <w:r w:rsidR="006A281D" w:rsidRPr="00D63ACE">
        <w:t xml:space="preserve"> </w:t>
      </w:r>
      <w:r w:rsidRPr="00D63ACE">
        <w:t xml:space="preserve">has </w:t>
      </w:r>
      <w:r w:rsidR="00F37FA5" w:rsidRPr="00D63ACE">
        <w:t xml:space="preserve">good criterion validity and </w:t>
      </w:r>
      <w:r w:rsidRPr="00D63ACE">
        <w:t>potential for clinical assessment</w:t>
      </w:r>
      <w:r w:rsidR="006A281D" w:rsidRPr="00D63ACE">
        <w:t xml:space="preserve">. </w:t>
      </w:r>
      <w:r w:rsidR="00744D52" w:rsidRPr="00D63ACE">
        <w:t xml:space="preserve">However, </w:t>
      </w:r>
      <w:r w:rsidR="00E57A20" w:rsidRPr="00D63ACE">
        <w:t xml:space="preserve">two </w:t>
      </w:r>
      <w:r w:rsidR="00E53A5D" w:rsidRPr="00D63ACE">
        <w:t xml:space="preserve">other </w:t>
      </w:r>
      <w:r w:rsidR="00744D52" w:rsidRPr="00D63ACE">
        <w:t>m</w:t>
      </w:r>
      <w:bookmarkStart w:id="3" w:name="_GoBack"/>
      <w:bookmarkEnd w:id="3"/>
      <w:r w:rsidR="00744D52" w:rsidRPr="00D63ACE">
        <w:t xml:space="preserve">eta-analyses have shown the IRAP to have very low reliability. Here, we extend this evidence based through </w:t>
      </w:r>
      <w:r w:rsidR="000B4E0A" w:rsidRPr="00D63ACE">
        <w:t>meta-analy</w:t>
      </w:r>
      <w:r w:rsidR="009F3F5C" w:rsidRPr="00D63ACE">
        <w:t xml:space="preserve">ses of file drawer data. Individual participant data from all </w:t>
      </w:r>
      <w:r w:rsidR="00EE17C6" w:rsidRPr="00D63ACE">
        <w:t xml:space="preserve">of our </w:t>
      </w:r>
      <w:r w:rsidR="009F3F5C" w:rsidRPr="00D63ACE">
        <w:t>published and unpublished studies was used to estimate the IRAP’s internal consistency and test-retest reliability across a large number of domains (</w:t>
      </w:r>
      <w:r w:rsidR="009D19CA" w:rsidRPr="00D63ACE">
        <w:rPr>
          <w:i/>
        </w:rPr>
        <w:t>k</w:t>
      </w:r>
      <w:r w:rsidR="009D19CA" w:rsidRPr="00D63ACE">
        <w:t xml:space="preserve"> = </w:t>
      </w:r>
      <w:r w:rsidR="00797435" w:rsidRPr="00D63ACE">
        <w:t>13</w:t>
      </w:r>
      <w:r w:rsidR="009F3F5C" w:rsidRPr="00D63ACE">
        <w:t>) and participants (</w:t>
      </w:r>
      <w:r w:rsidR="00E3468D" w:rsidRPr="00D63ACE">
        <w:rPr>
          <w:i/>
        </w:rPr>
        <w:t>N</w:t>
      </w:r>
      <w:r w:rsidR="00E3468D" w:rsidRPr="00D63ACE">
        <w:t>s</w:t>
      </w:r>
      <w:r w:rsidR="009F3F5C" w:rsidRPr="00D63ACE">
        <w:t xml:space="preserve"> = </w:t>
      </w:r>
      <w:r w:rsidR="00635C7E" w:rsidRPr="00D63ACE">
        <w:t>890</w:t>
      </w:r>
      <w:r w:rsidR="00E3468D" w:rsidRPr="00D63ACE">
        <w:t xml:space="preserve"> &amp;</w:t>
      </w:r>
      <w:r w:rsidR="00816D05" w:rsidRPr="00D63ACE">
        <w:t xml:space="preserve"> 3</w:t>
      </w:r>
      <w:r w:rsidR="00635C7E" w:rsidRPr="00D63ACE">
        <w:t>4</w:t>
      </w:r>
      <w:r w:rsidR="00816D05" w:rsidRPr="00D63ACE">
        <w:t>0</w:t>
      </w:r>
      <w:r w:rsidR="00E3468D" w:rsidRPr="00D63ACE">
        <w:t xml:space="preserve"> respectively</w:t>
      </w:r>
      <w:r w:rsidR="009F3F5C" w:rsidRPr="00D63ACE">
        <w:t>).</w:t>
      </w:r>
      <w:r w:rsidR="006A281D" w:rsidRPr="00D63ACE">
        <w:t xml:space="preserve"> </w:t>
      </w:r>
      <w:r w:rsidR="00B26AF0" w:rsidRPr="00D63ACE">
        <w:t xml:space="preserve">Results suggest that internal consistency </w:t>
      </w:r>
      <w:r w:rsidR="00C37241" w:rsidRPr="00D63ACE">
        <w:t xml:space="preserve">is poor </w:t>
      </w:r>
      <w:r w:rsidR="00B26AF0" w:rsidRPr="00D63ACE">
        <w:t>(</w:t>
      </w:r>
      <w:r w:rsidR="00816D05" w:rsidRPr="00D63ACE">
        <w:t xml:space="preserve">α </w:t>
      </w:r>
      <w:r w:rsidR="00B26AF0" w:rsidRPr="00D63ACE">
        <w:t xml:space="preserve">= </w:t>
      </w:r>
      <w:r w:rsidR="00E30509" w:rsidRPr="00D63ACE">
        <w:t>.53, 95% CI [.46, .59]</w:t>
      </w:r>
      <w:r w:rsidR="00C37241" w:rsidRPr="00D63ACE">
        <w:t xml:space="preserve">) </w:t>
      </w:r>
      <w:r w:rsidR="00B26AF0" w:rsidRPr="00D63ACE">
        <w:t xml:space="preserve">and test-retest reliability </w:t>
      </w:r>
      <w:r w:rsidR="00C37241" w:rsidRPr="00D63ACE">
        <w:t xml:space="preserve">is very poor </w:t>
      </w:r>
      <w:r w:rsidR="00B26AF0" w:rsidRPr="00D63ACE">
        <w:t>(ICC =</w:t>
      </w:r>
      <w:r w:rsidR="00B01946" w:rsidRPr="00D63ACE">
        <w:t xml:space="preserve"> .18, 95% CI [.05, .30]</w:t>
      </w:r>
      <w:r w:rsidR="00B26AF0" w:rsidRPr="00D63ACE">
        <w:t>)</w:t>
      </w:r>
      <w:r w:rsidR="00EF3D1E" w:rsidRPr="00D63ACE">
        <w:t xml:space="preserve">. This </w:t>
      </w:r>
      <w:r w:rsidR="00D6275E" w:rsidRPr="00D63ACE">
        <w:t>severely limit</w:t>
      </w:r>
      <w:r w:rsidR="00F450E2" w:rsidRPr="00D63ACE">
        <w:t>s</w:t>
      </w:r>
      <w:r w:rsidR="00D6275E" w:rsidRPr="00D63ACE">
        <w:t xml:space="preserve"> </w:t>
      </w:r>
      <w:r w:rsidR="00EF3D1E" w:rsidRPr="00D63ACE">
        <w:t>the IRAP’s ability to function as a useful measure, for clinical use or otherwise, especially at the individual level</w:t>
      </w:r>
      <w:r w:rsidR="00D6275E" w:rsidRPr="00D63ACE">
        <w:t>.</w:t>
      </w:r>
      <w:r w:rsidR="00EF3D1E" w:rsidRPr="00D63ACE">
        <w:t xml:space="preserve"> </w:t>
      </w:r>
      <w:r w:rsidR="00343AE9" w:rsidRPr="00D63ACE">
        <w:t>We</w:t>
      </w:r>
      <w:r w:rsidR="00D879AA" w:rsidRPr="00D63ACE">
        <w:t xml:space="preserve"> conclude that </w:t>
      </w:r>
      <w:r w:rsidR="00304A89" w:rsidRPr="00D63ACE">
        <w:t>researchers</w:t>
      </w:r>
      <w:r w:rsidR="00D879AA" w:rsidRPr="00D63ACE">
        <w:t xml:space="preserve"> should be </w:t>
      </w:r>
      <w:r w:rsidR="005D42E4" w:rsidRPr="00D63ACE">
        <w:t xml:space="preserve">very </w:t>
      </w:r>
      <w:r w:rsidR="00D879AA" w:rsidRPr="00D63ACE">
        <w:t xml:space="preserve">cautious about choosing </w:t>
      </w:r>
      <w:r w:rsidR="00E47FA1" w:rsidRPr="00D63ACE">
        <w:t>to</w:t>
      </w:r>
      <w:r w:rsidR="00D879AA" w:rsidRPr="00D63ACE">
        <w:t xml:space="preserve"> employ </w:t>
      </w:r>
      <w:r w:rsidR="00E47FA1" w:rsidRPr="00D63ACE">
        <w:t>the IRAP</w:t>
      </w:r>
      <w:r w:rsidR="00D879AA" w:rsidRPr="00D63ACE">
        <w:t xml:space="preserve"> or when interpreting its results.</w:t>
      </w:r>
      <w:r w:rsidR="00693644" w:rsidRPr="00D63ACE">
        <w:br w:type="page"/>
      </w:r>
    </w:p>
    <w:p w14:paraId="5D4882B4" w14:textId="7C8FA3EE" w:rsidR="002D7CA2" w:rsidRPr="00D63ACE" w:rsidRDefault="002D7CA2" w:rsidP="002D7CA2">
      <w:pPr>
        <w:pStyle w:val="Heading1"/>
        <w:rPr>
          <w:b w:val="0"/>
        </w:rPr>
      </w:pPr>
      <w:r w:rsidRPr="00D63ACE">
        <w:rPr>
          <w:b w:val="0"/>
        </w:rPr>
        <w:lastRenderedPageBreak/>
        <w:t xml:space="preserve">The IRAP </w:t>
      </w:r>
      <w:r w:rsidR="008A2CDD" w:rsidRPr="00D63ACE">
        <w:rPr>
          <w:b w:val="0"/>
        </w:rPr>
        <w:t xml:space="preserve">demonstrates </w:t>
      </w:r>
      <w:r w:rsidRPr="00D63ACE">
        <w:rPr>
          <w:b w:val="0"/>
        </w:rPr>
        <w:t xml:space="preserve">very poor internal consistency and test-retest reliability: </w:t>
      </w:r>
    </w:p>
    <w:p w14:paraId="41CB1852" w14:textId="77777777" w:rsidR="002D7CA2" w:rsidRPr="00D63ACE" w:rsidRDefault="002D7CA2" w:rsidP="002D7CA2">
      <w:pPr>
        <w:pStyle w:val="Heading1"/>
        <w:rPr>
          <w:b w:val="0"/>
        </w:rPr>
      </w:pPr>
      <w:r w:rsidRPr="00D63ACE">
        <w:rPr>
          <w:b w:val="0"/>
        </w:rPr>
        <w:t>A file-drawer meta-analysis</w:t>
      </w:r>
    </w:p>
    <w:p w14:paraId="5B9EC6AA" w14:textId="77777777" w:rsidR="00693644" w:rsidRPr="00D63ACE" w:rsidRDefault="00693644" w:rsidP="00E95696">
      <w:pPr>
        <w:ind w:firstLine="0"/>
      </w:pPr>
    </w:p>
    <w:p w14:paraId="5B8AC73D" w14:textId="0EDD85C1" w:rsidR="00B8029B" w:rsidRPr="00D63ACE" w:rsidRDefault="00BC3240" w:rsidP="00DC00E1">
      <w:r w:rsidRPr="00D63ACE">
        <w:t xml:space="preserve">The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a computer</w:t>
      </w:r>
      <w:r w:rsidR="00731FBC" w:rsidRPr="00D63ACE">
        <w:t xml:space="preserve"> </w:t>
      </w:r>
      <w:r w:rsidRPr="00D63ACE">
        <w:t>based reaction</w:t>
      </w:r>
      <w:r w:rsidR="00D830E5" w:rsidRPr="00D63ACE">
        <w:t>-</w:t>
      </w:r>
      <w:r w:rsidRPr="00D63ACE">
        <w:t xml:space="preserve">time task designed to capture automatic relational responding. It has been used extensively as a measure of implicit attitudes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rsidRPr="00D63ACE">
        <w:t>(Gawronski &amp; De Houwer, 2011)</w:t>
      </w:r>
      <w:r w:rsidRPr="00D63ACE">
        <w:fldChar w:fldCharType="end"/>
      </w:r>
      <w:r w:rsidRPr="00D63ACE">
        <w:t xml:space="preserve"> and within Contextual Behavioral Science due to its historic ties to Relational Frame Theory </w:t>
      </w:r>
      <w:r w:rsidRPr="00D63ACE">
        <w:fldChar w:fldCharType="begin"/>
      </w:r>
      <w:r w:rsidR="00241F51" w:rsidRPr="00D63ACE">
        <w:instrText xml:space="preserve"> ADDIN ZOTERO_ITEM CSL_CITATION {"citationID":"gljLa0zv","properties":{"formattedCitation":"(Hussey, Barnes-Holmes, et al., 2015)","plainCitation":"(Hussey,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D63ACE">
        <w:fldChar w:fldCharType="separate"/>
      </w:r>
      <w:r w:rsidR="00241F51" w:rsidRPr="00D63ACE">
        <w:t>(Hussey, Barnes-Holmes, et al., 2015)</w:t>
      </w:r>
      <w:r w:rsidRPr="00D63ACE">
        <w:fldChar w:fldCharType="end"/>
      </w:r>
      <w:r w:rsidRPr="00D63ACE">
        <w:t>.</w:t>
      </w:r>
      <w:r w:rsidR="00DC00E1" w:rsidRPr="00D63ACE">
        <w:t xml:space="preserve"> </w:t>
      </w:r>
      <w:r w:rsidR="00344CB3" w:rsidRPr="00D63ACE">
        <w:t>In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Pr="00D63ACE">
        <w:t>has potential as a tool for clinical assessment</w:t>
      </w:r>
      <w:r w:rsidR="00D82D77" w:rsidRPr="00D63ACE">
        <w:t xml:space="preserve">. This aspiration </w:t>
      </w:r>
      <w:r w:rsidRPr="00D63ACE">
        <w:t xml:space="preserve">that </w:t>
      </w:r>
      <w:r w:rsidR="00D82D77" w:rsidRPr="00D63ACE">
        <w:t xml:space="preserve">the IRAP </w:t>
      </w:r>
      <w:r w:rsidRPr="00D63ACE">
        <w:t xml:space="preserve">might be used in applied contexts is long-standing. However,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241F51" w:rsidRPr="00D63ACE">
        <w:instrText xml:space="preserve"> ADDIN ZOTERO_ITEM CSL_CITATION {"citationID":"Pa8o99Am","properties":{"formattedCitation":"(meta-analyses by Golijani-Moghaddam et al., 2013; Greenwald &amp; Lai, 2020)","plainCitation":"(meta-analyses by 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L."}],"issued":{"date-parts":[["2013",10]]}},"prefix":"meta-analyses by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241F51" w:rsidRPr="00D63ACE">
        <w:t>(meta-analyses by Golijani-Moghaddam et al., 2013; Greenwald &amp; Lai, 2020)</w:t>
      </w:r>
      <w:r w:rsidR="006A679F" w:rsidRPr="00D63ACE">
        <w:fldChar w:fldCharType="end"/>
      </w:r>
      <w:r w:rsidR="00F74C4F" w:rsidRPr="00D63ACE">
        <w:t xml:space="preserve"> 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Together, these suggest that </w:t>
      </w:r>
      <w:r w:rsidR="00576198" w:rsidRPr="00D63ACE">
        <w:t xml:space="preserve">Vahey et al.’s </w:t>
      </w:r>
      <w:r w:rsidR="00576198" w:rsidRPr="00D63ACE">
        <w:fldChar w:fldCharType="begin"/>
      </w:r>
      <w:r w:rsidR="00B44169" w:rsidRPr="00D63ACE">
        <w:instrText xml:space="preserve"> ADDIN ZOTERO_ITEM CSL_CITATION {"citationID":"ryETN7BC","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576198" w:rsidRPr="00D63ACE">
        <w:fldChar w:fldCharType="separate"/>
      </w:r>
      <w:r w:rsidR="00576198" w:rsidRPr="00D63ACE">
        <w:t>(2015)</w:t>
      </w:r>
      <w:r w:rsidR="00576198" w:rsidRPr="00D63ACE">
        <w:fldChar w:fldCharType="end"/>
      </w:r>
      <w:r w:rsidR="00576198" w:rsidRPr="00D63ACE">
        <w:t xml:space="preserve"> conclusions are overly optimistic, and that the </w:t>
      </w:r>
      <w:r w:rsidR="004B6E7B" w:rsidRPr="00D63ACE">
        <w:t xml:space="preserve">IRAP’s utility in research </w:t>
      </w:r>
      <w:r w:rsidR="00F05C0B" w:rsidRPr="00D63ACE">
        <w:t>or</w:t>
      </w:r>
      <w:r w:rsidR="004B6E7B" w:rsidRPr="00D63ACE">
        <w:t xml:space="preserve"> applied settings is likely to be</w:t>
      </w:r>
      <w:r w:rsidR="00576198" w:rsidRPr="00D63ACE">
        <w:t xml:space="preserve"> limited</w:t>
      </w:r>
      <w:r w:rsidR="004B6E7B" w:rsidRPr="00D63ACE">
        <w:t>.</w:t>
      </w:r>
    </w:p>
    <w:p w14:paraId="3B8AFF0C" w14:textId="54BE832D" w:rsidR="00AA58DF" w:rsidRPr="00D63ACE" w:rsidRDefault="00B8029B" w:rsidP="00F04995">
      <w:r w:rsidRPr="00D63ACE">
        <w:t xml:space="preserve">The importance of precise measurement has received renewed attention </w:t>
      </w:r>
      <w:r w:rsidR="00B332D2" w:rsidRPr="00D63ACE">
        <w:t xml:space="preserve">within psychology </w:t>
      </w:r>
      <w:r w:rsidRPr="00D63ACE">
        <w:t xml:space="preserve">in recent years. For example, multiple authors have recently noted that poor reliability can result in experimental effects that are highly replicable that nonetheless lead to false or invalid conclusions </w:t>
      </w:r>
      <w:r w:rsidR="00AF1889" w:rsidRPr="00D63ACE">
        <w:fldChar w:fldCharType="begin"/>
      </w:r>
      <w:r w:rsidR="00E12FB3"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AF1889" w:rsidRPr="00D63ACE">
        <w:fldChar w:fldCharType="separate"/>
      </w:r>
      <w:r w:rsidR="00E37B6B" w:rsidRPr="00D63ACE">
        <w:t>(Devezer et al., 2020; Hussey &amp; Hughes, 2020)</w:t>
      </w:r>
      <w:r w:rsidR="00AF1889" w:rsidRPr="00D63ACE">
        <w:fldChar w:fldCharType="end"/>
      </w:r>
      <w:r w:rsidRPr="00D63ACE">
        <w:t xml:space="preserve">. </w:t>
      </w:r>
      <w:r w:rsidR="00F04995" w:rsidRPr="00D63ACE">
        <w:t>There is mutual consensus</w:t>
      </w:r>
      <w:r w:rsidR="003B6D96" w:rsidRPr="00D63ACE">
        <w:t xml:space="preserve"> that measurement is a cornerstone of the </w:t>
      </w:r>
      <w:r w:rsidR="003B6D96" w:rsidRPr="00D63ACE">
        <w:lastRenderedPageBreak/>
        <w:t>scientific method</w:t>
      </w:r>
      <w:r w:rsidR="00F04995" w:rsidRPr="00D63ACE">
        <w:t xml:space="preserve">, even </w:t>
      </w:r>
      <w:r w:rsidR="00100AD2" w:rsidRPr="00D63ACE">
        <w:t xml:space="preserve">in </w:t>
      </w:r>
      <w:r w:rsidR="00F04995" w:rsidRPr="00D63ACE">
        <w:t>field</w:t>
      </w:r>
      <w:r w:rsidR="00100AD2" w:rsidRPr="00D63ACE">
        <w:t>s</w:t>
      </w:r>
      <w:r w:rsidR="00F04995" w:rsidRPr="00D63ACE">
        <w:t xml:space="preserve"> of research that have at times been skeptical of the utility of psychometric methods (</w:t>
      </w:r>
      <w:r w:rsidR="00AF1889" w:rsidRPr="00D63ACE">
        <w:t xml:space="preserve">e.g., </w:t>
      </w:r>
      <w:r w:rsidR="00F04995" w:rsidRPr="00D63ACE">
        <w:t>behaviorism)</w:t>
      </w:r>
      <w:r w:rsidRPr="00D63ACE">
        <w:t xml:space="preserve">. </w:t>
      </w:r>
      <w:r w:rsidR="00F04995" w:rsidRPr="00D63ACE">
        <w:t>For example, e</w:t>
      </w:r>
      <w:r w:rsidRPr="00D63ACE">
        <w:t xml:space="preserve">ven </w:t>
      </w:r>
      <w:r w:rsidR="00F04995" w:rsidRPr="00D63ACE">
        <w:t>an</w:t>
      </w:r>
      <w:r w:rsidRPr="00D63ACE">
        <w:t xml:space="preserve"> animal-behaviorist working with rats in </w:t>
      </w:r>
      <w:r w:rsidR="00F04995" w:rsidRPr="00D63ACE">
        <w:t>S</w:t>
      </w:r>
      <w:r w:rsidRPr="00D63ACE">
        <w:t xml:space="preserve">kinner boxes </w:t>
      </w:r>
      <w:r w:rsidR="002714A9" w:rsidRPr="00D63ACE">
        <w:t>is</w:t>
      </w:r>
      <w:r w:rsidR="00F04995" w:rsidRPr="00D63ACE">
        <w:t xml:space="preserve"> </w:t>
      </w:r>
      <w:r w:rsidRPr="00D63ACE">
        <w:t xml:space="preserve">concerned with whether the levers function </w:t>
      </w:r>
      <w:r w:rsidR="00F04995" w:rsidRPr="00D63ACE">
        <w:t xml:space="preserve">well as </w:t>
      </w:r>
      <w:r w:rsidR="003A64D6" w:rsidRPr="00D63ACE">
        <w:t xml:space="preserve">a </w:t>
      </w:r>
      <w:r w:rsidRPr="00D63ACE">
        <w:t xml:space="preserve">measure of the animal’s emitted behaviour: if the lever is too heavy or too stiff, </w:t>
      </w:r>
      <w:r w:rsidR="00E31C8F" w:rsidRPr="00D63ACE">
        <w:t>the</w:t>
      </w:r>
      <w:r w:rsidRPr="00D63ACE">
        <w:t xml:space="preserve"> acquisition curve </w:t>
      </w:r>
      <w:r w:rsidR="00E31C8F" w:rsidRPr="00D63ACE">
        <w:t xml:space="preserve">recorded </w:t>
      </w:r>
      <w:r w:rsidRPr="00D63ACE">
        <w:t xml:space="preserve">will not accurately reflect the animal’s </w:t>
      </w:r>
      <w:r w:rsidR="00AA58DF" w:rsidRPr="00D63ACE">
        <w:t xml:space="preserve">lever-pressing </w:t>
      </w:r>
      <w:r w:rsidRPr="00D63ACE">
        <w:t xml:space="preserve">behaviour, and </w:t>
      </w:r>
      <w:r w:rsidR="00AA58DF" w:rsidRPr="00D63ACE">
        <w:t xml:space="preserve">will </w:t>
      </w:r>
      <w:r w:rsidRPr="00D63ACE">
        <w:t xml:space="preserve">hinder the researcher’s analysis. </w:t>
      </w:r>
      <w:r w:rsidR="00AA58DF" w:rsidRPr="00D63ACE">
        <w:t xml:space="preserve">As such, although the IRAP has often been employed by behaviorally orientated researchers interested who identify as engaging in function analytic-abstractive research </w:t>
      </w:r>
      <w:r w:rsidR="00AA58DF" w:rsidRPr="00D63ACE">
        <w:fldChar w:fldCharType="begin"/>
      </w:r>
      <w:r w:rsidR="00774C8F" w:rsidRPr="00D63ACE">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rsidRPr="00D63ACE">
        <w:fldChar w:fldCharType="separate"/>
      </w:r>
      <w:r w:rsidR="00774C8F" w:rsidRPr="00D63ACE">
        <w:t>(see Barnes-Holmes &amp; Hussey, 2016; Hayes &amp; Brownstein, 1986)</w:t>
      </w:r>
      <w:r w:rsidR="00AA58DF" w:rsidRPr="00D63ACE">
        <w:fldChar w:fldCharType="end"/>
      </w:r>
      <w:r w:rsidR="00774C8F" w:rsidRPr="00D63ACE">
        <w:t xml:space="preserve">, </w:t>
      </w:r>
      <w:r w:rsidR="007D6E0A" w:rsidRPr="00D63ACE">
        <w:t xml:space="preserve">issues of psychometric reliability cannot be ignored. </w:t>
      </w:r>
    </w:p>
    <w:p w14:paraId="7FFAACAB" w14:textId="7EDC73DB" w:rsidR="00FD5599" w:rsidRPr="00D63ACE" w:rsidRDefault="00B03976" w:rsidP="00B03976">
      <w:pPr>
        <w:pStyle w:val="Heading2"/>
      </w:pPr>
      <w:r w:rsidRPr="00D63ACE">
        <w:t>Previous meta-analyses of the IRAP’s reliability</w:t>
      </w:r>
    </w:p>
    <w:p w14:paraId="4EE5E6A9" w14:textId="660B2C84"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(Note that c</w:t>
      </w:r>
      <w:r w:rsidR="005F6BB7" w:rsidRPr="00D63ACE">
        <w:t xml:space="preserve">onfidence intervals were not reported in the </w:t>
      </w:r>
      <w:r w:rsidR="000E6B82" w:rsidRPr="00D63ACE">
        <w:t>original article,</w:t>
      </w:r>
      <w:r w:rsidR="005F6BB7" w:rsidRPr="00D63ACE">
        <w:t xml:space="preserve"> but were calculated </w:t>
      </w:r>
      <w:r w:rsidR="000E6B82" w:rsidRPr="00D63ACE">
        <w:t xml:space="preserve">here </w:t>
      </w:r>
      <w:r w:rsidR="005F6BB7" w:rsidRPr="00D63ACE">
        <w:t>using the total sample size</w:t>
      </w:r>
      <w:r w:rsidR="005F6BB7" w:rsidRPr="00D63ACE">
        <w:t>)</w:t>
      </w:r>
      <w:r w:rsidR="008820AA" w:rsidRPr="00D63ACE">
        <w:t>.</w:t>
      </w:r>
    </w:p>
    <w:p w14:paraId="3BC3018C" w14:textId="78A83D26" w:rsidR="001A0C99" w:rsidRPr="00D63ACE" w:rsidRDefault="00CA587E" w:rsidP="001A0C99">
      <w:pPr>
        <w:ind w:firstLine="0"/>
        <w:rPr>
          <w:color w:val="FF0000"/>
        </w:rPr>
      </w:pPr>
      <w:r w:rsidRPr="00D63ACE">
        <w:lastRenderedPageBreak/>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two</w:t>
      </w:r>
      <w:r w:rsidR="003D30C6" w:rsidRPr="00D63ACE">
        <w:t xml:space="preserve"> </w:t>
      </w:r>
      <w:r w:rsidR="001514B1" w:rsidRPr="00D63ACE">
        <w:t xml:space="preserve">studies </w:t>
      </w:r>
      <w:r w:rsidR="00EC2BA7" w:rsidRPr="00D63ACE">
        <w:t>with a total of</w:t>
      </w:r>
      <w:r w:rsidR="001514B1" w:rsidRPr="00D63ACE">
        <w:t xml:space="preserve"> 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 c</w:t>
      </w:r>
      <w:r w:rsidR="004264D8" w:rsidRPr="00D63ACE">
        <w:t xml:space="preserve">omputationally reproduced </w:t>
      </w:r>
      <w:r w:rsidR="003D30C6" w:rsidRPr="00D63ACE">
        <w:t xml:space="preserve">estimates of </w:t>
      </w:r>
      <w:r w:rsidR="007D20D0" w:rsidRPr="00D63ACE">
        <w:t>internal consistency</w:t>
      </w:r>
      <w:r w:rsidR="003D30C6" w:rsidRPr="00D63ACE">
        <w:t xml:space="preserve"> </w:t>
      </w:r>
      <w:r w:rsidR="000B17F8" w:rsidRPr="00D63ACE">
        <w:t xml:space="preserve">data </w:t>
      </w:r>
      <w:r w:rsidR="0059659E" w:rsidRPr="00D63ACE">
        <w:t xml:space="preserve">were </w:t>
      </w:r>
      <w:r w:rsidR="00BB1C30" w:rsidRPr="00D63ACE">
        <w:t xml:space="preserve">Cronbach’s α </w:t>
      </w:r>
      <w:r w:rsidR="003D30C6" w:rsidRPr="00D63ACE">
        <w:t xml:space="preserve">= </w:t>
      </w:r>
      <w:r w:rsidR="001A0C99" w:rsidRPr="00D63ACE">
        <w:t>.56, 95% CI [.46, .65], 95% CR [.03, .85]</w:t>
      </w:r>
      <w:r w:rsidR="002338E3" w:rsidRPr="00D63ACE">
        <w:t xml:space="preserve">, and </w:t>
      </w:r>
      <w:r w:rsidR="001A0C99" w:rsidRPr="00D63ACE">
        <w:t xml:space="preserve">test-retest reliability </w:t>
      </w:r>
      <w:r w:rsidR="002338E3" w:rsidRPr="00D63ACE">
        <w:t xml:space="preserve">was </w:t>
      </w:r>
      <w:r w:rsidR="00DC4104" w:rsidRPr="00D63ACE">
        <w:t xml:space="preserve">Pearson’s </w:t>
      </w:r>
      <w:r w:rsidR="001A0C99" w:rsidRPr="00D63ACE">
        <w:rPr>
          <w:i/>
        </w:rPr>
        <w:t>r</w:t>
      </w:r>
      <w:r w:rsidR="001A0C99" w:rsidRPr="00D63ACE">
        <w:t xml:space="preserve"> = .45, 95% CI [.33, .55].</w:t>
      </w:r>
    </w:p>
    <w:p w14:paraId="542F4873" w14:textId="616C771A"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idea </w:t>
      </w:r>
      <w:r w:rsidR="00073B57" w:rsidRPr="00D63ACE">
        <w:t xml:space="preserve">that the IRAP’s reliability is </w:t>
      </w:r>
      <w:r w:rsidR="00DF01D4" w:rsidRPr="00D63ACE">
        <w:t xml:space="preserve">problematically </w:t>
      </w:r>
      <w:r w:rsidR="00073B57" w:rsidRPr="00D63ACE">
        <w:t xml:space="preserve">low, </w:t>
      </w:r>
      <w:r w:rsidR="00E5220C" w:rsidRPr="00D63ACE">
        <w:t xml:space="preserve">both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B44169" w:rsidRPr="00D63ACE">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63ACE">
        <w:fldChar w:fldCharType="separate"/>
      </w:r>
      <w:r w:rsidR="00B44169" w:rsidRPr="00D63ACE">
        <w:t>(Post, 2016)</w:t>
      </w:r>
      <w:r w:rsidR="00B44169" w:rsidRPr="00D63ACE">
        <w:fldChar w:fldCharType="end"/>
      </w:r>
      <w:r w:rsidR="00E5220C" w:rsidRPr="00D63ACE">
        <w:t xml:space="preserve">, and also lower than other implicit measures such as the Implicit Association Test </w:t>
      </w:r>
      <w:r w:rsidR="00AC636E" w:rsidRPr="00D63ACE">
        <w:fldChar w:fldCharType="begin"/>
      </w:r>
      <w:r w:rsidR="00374B30" w:rsidRPr="00D63ACE">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63ACE">
        <w:fldChar w:fldCharType="separate"/>
      </w:r>
      <w:r w:rsidR="00374B30" w:rsidRPr="00D63ACE">
        <w:rPr>
          <w:rFonts w:cs="CMU Serif Roman"/>
        </w:rPr>
        <w:t xml:space="preserve">(IAT: Greenwald et al., 1998; internal consistency α = 0.50, test-retest </w:t>
      </w:r>
      <w:r w:rsidR="00374B30" w:rsidRPr="00D63ACE">
        <w:rPr>
          <w:rFonts w:cs="CMU Serif Roman"/>
          <w:i/>
        </w:rPr>
        <w:t>r</w:t>
      </w:r>
      <w:r w:rsidR="00374B30" w:rsidRPr="00D63ACE">
        <w:rPr>
          <w:rFonts w:cs="CMU Serif Roman"/>
        </w:rPr>
        <w:t xml:space="preserve"> = 0.50: Greenwald &amp; Lai, 2020)</w:t>
      </w:r>
      <w:r w:rsidR="00AC636E" w:rsidRPr="00D63ACE">
        <w:fldChar w:fldCharType="end"/>
      </w:r>
      <w:r w:rsidR="00073B57" w:rsidRPr="00D63ACE">
        <w:t>. 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lastRenderedPageBreak/>
        <w:t>The current research</w:t>
      </w:r>
    </w:p>
    <w:p w14:paraId="3EA2707B" w14:textId="4A7B77FD"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that demonstrated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76283AE9"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a measure of ‘Absolute Agreement’ such as Intraclass Correlation Coefficients (ICC) should instead be reported (specifically ICC[2,1]: see Parsons et al., 2019).</w:t>
      </w:r>
    </w:p>
    <w:p w14:paraId="16AF6CAB" w14:textId="11D30385" w:rsidR="00A17460" w:rsidRPr="00D63ACE" w:rsidRDefault="007F372F" w:rsidP="00E20289">
      <w:r w:rsidRPr="00D63ACE">
        <w:lastRenderedPageBreak/>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 xml:space="preserve">and calculating </w:t>
      </w:r>
      <w:r w:rsidR="00E81708" w:rsidRPr="00D63ACE">
        <w:t xml:space="preserve"> </w:t>
      </w:r>
      <w:r w:rsidR="00D920DE" w:rsidRPr="00D63ACE">
        <w:t>reliability for each, then taking this mean of this distribution of reliabilities. Importantly, this method approximates Cronbach’s alpha</w:t>
      </w:r>
      <w:r w:rsidR="00EA2434" w:rsidRPr="00D63ACE">
        <w:t xml:space="preserve"> 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55C6CB7C" w:rsidR="001F5DB0" w:rsidRPr="00D63ACE" w:rsidRDefault="00A17460" w:rsidP="00507B61">
      <w:r w:rsidRPr="00D63ACE">
        <w:t xml:space="preserve">Both of the above factors were 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or 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pooled data for all 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352FEED7" w:rsidR="00820FBD" w:rsidRPr="00D63ACE"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1D47FAA8" w14:textId="043FA9C3" w:rsidR="00024935" w:rsidRPr="00D63ACE" w:rsidRDefault="00024935" w:rsidP="00DB1D67">
      <w:r w:rsidRPr="00D63ACE">
        <w:lastRenderedPageBreak/>
        <w:t xml:space="preserve">Internal consistency data came from </w:t>
      </w:r>
      <w:r w:rsidR="00886DF3" w:rsidRPr="00D63ACE">
        <w:t>2</w:t>
      </w:r>
      <w:r w:rsidR="00AB0EF1" w:rsidRPr="00D63ACE">
        <w:t>6</w:t>
      </w:r>
      <w:r w:rsidRPr="00D63ACE">
        <w:t xml:space="preserve"> different IRA</w:t>
      </w:r>
      <w:r w:rsidR="00886DF3" w:rsidRPr="00D63ACE">
        <w:t>Ps in 13 different domains</w:t>
      </w:r>
      <w:r w:rsidR="0000440C" w:rsidRPr="00D63ACE">
        <w:t xml:space="preserve"> </w:t>
      </w:r>
      <w:r w:rsidR="00C41C01" w:rsidRPr="00D63ACE">
        <w:t xml:space="preserve">(see Figure 2) </w:t>
      </w:r>
      <w:r w:rsidR="0000440C" w:rsidRPr="00D63ACE">
        <w:t xml:space="preserve">with a total of </w:t>
      </w:r>
      <w:r w:rsidR="007E6771" w:rsidRPr="00D63ACE">
        <w:t>964</w:t>
      </w:r>
      <w:r w:rsidRPr="00D63ACE">
        <w:t xml:space="preserve"> participants. </w:t>
      </w:r>
      <w:r w:rsidR="007071DB" w:rsidRPr="00D63ACE">
        <w:t>Test-retest data came from IRAPs in 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and Lincoln-Hitler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available, </w:t>
      </w:r>
      <w:r w:rsidR="008E3ABF" w:rsidRPr="00D63ACE">
        <w:t>a majority of participants</w:t>
      </w:r>
      <w:r w:rsidR="00245872" w:rsidRPr="00D63ACE">
        <w:t xml:space="preserve"> were </w:t>
      </w:r>
      <w:r w:rsidR="008E3ABF" w:rsidRPr="00D63ACE">
        <w:t>women (6</w:t>
      </w:r>
      <w:r w:rsidR="0074435B" w:rsidRPr="00D63ACE">
        <w:t>2.9</w:t>
      </w:r>
      <w:r w:rsidR="008E3ABF" w:rsidRPr="00D63ACE">
        <w:t>% female, 3</w:t>
      </w:r>
      <w:r w:rsidR="0074435B" w:rsidRPr="00D63ACE">
        <w:t>6.8</w:t>
      </w:r>
      <w:r w:rsidR="008E3ABF" w:rsidRPr="00D63ACE">
        <w:t>% male, 0.2% non-binary</w:t>
      </w:r>
      <w:r w:rsidR="000701B6" w:rsidRPr="00D63ACE">
        <w:t xml:space="preserve">; </w:t>
      </w:r>
      <w:r w:rsidR="000701B6" w:rsidRPr="00D63ACE">
        <w:rPr>
          <w:i/>
        </w:rPr>
        <w:t>M</w:t>
      </w:r>
      <w:r w:rsidR="000701B6" w:rsidRPr="00D63ACE">
        <w:rPr>
          <w:rFonts w:cs="Times New Roman (Body CS)"/>
          <w:vertAlign w:val="subscript"/>
        </w:rPr>
        <w:t>age</w:t>
      </w:r>
      <w:r w:rsidR="000701B6" w:rsidRPr="00D63ACE">
        <w:t xml:space="preserve"> = 21.0, </w:t>
      </w:r>
      <w:r w:rsidR="000701B6" w:rsidRPr="00D63ACE">
        <w:rPr>
          <w:i/>
        </w:rPr>
        <w:t>SD</w:t>
      </w:r>
      <w:r w:rsidR="000701B6" w:rsidRPr="00D63ACE">
        <w:t xml:space="preserve"> = 5.</w:t>
      </w:r>
      <w:r w:rsidR="0074435B" w:rsidRPr="00D63ACE">
        <w:t>8</w:t>
      </w:r>
      <w:r w:rsidR="008E3ABF" w:rsidRPr="00D63ACE">
        <w:t>)</w:t>
      </w:r>
      <w:r w:rsidR="000701B6" w:rsidRPr="00D63ACE">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5F39B2B7" w14:textId="3F7E31F7" w:rsidR="008343DE" w:rsidRPr="00D63ACE" w:rsidRDefault="00697EA5" w:rsidP="002B4D54">
      <w:pPr>
        <w:ind w:firstLine="0"/>
      </w:pPr>
      <w:r w:rsidRPr="00D63ACE">
        <w:tab/>
      </w:r>
      <w:r w:rsidR="002B4D54" w:rsidRPr="00D63ACE">
        <w:t xml:space="preserve">The IRAP is a computer-based reaction time task. Its procedural parameters have been discussed in great detail in many other papers </w:t>
      </w:r>
      <w:r w:rsidR="002B4D54" w:rsidRPr="00D63ACE">
        <w:fldChar w:fldCharType="begin"/>
      </w:r>
      <w:r w:rsidR="002B4D54"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63ACE">
        <w:fldChar w:fldCharType="separate"/>
      </w:r>
      <w:r w:rsidR="002B4D54" w:rsidRPr="00D63ACE">
        <w:t>(Barnes-Holmes et al., 2010; Hussey, Thompson, et al., 2015)</w:t>
      </w:r>
      <w:r w:rsidR="002B4D54" w:rsidRPr="00D63ACE">
        <w:fldChar w:fldCharType="end"/>
      </w:r>
      <w:r w:rsidR="002B4D54" w:rsidRPr="00D63ACE">
        <w:t xml:space="preserve">, and so only a brief overview will be provided here </w:t>
      </w:r>
      <w:r w:rsidR="002B4D54" w:rsidRPr="00D63ACE">
        <w:fldChar w:fldCharType="begin"/>
      </w:r>
      <w:r w:rsidR="00E12FB3" w:rsidRPr="00D63ACE">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2B4D54" w:rsidRPr="00D63ACE">
        <w:fldChar w:fldCharType="separate"/>
      </w:r>
      <w:r w:rsidR="002B4D54" w:rsidRPr="00D63ACE">
        <w:t>(see Hussey, 2020)</w:t>
      </w:r>
      <w:r w:rsidR="002B4D54" w:rsidRPr="00D63ACE">
        <w:fldChar w:fldCharType="end"/>
      </w:r>
      <w:r w:rsidR="002B4D54" w:rsidRPr="00D63ACE">
        <w:t xml:space="preserve">. On each block of trials, participants are presents with images or words at the top of the screen and in the middle of the screen. Response options are </w:t>
      </w:r>
      <w:r w:rsidR="002B4D54" w:rsidRPr="00D63ACE">
        <w:lastRenderedPageBreak/>
        <w:t>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w:t>
      </w:r>
      <w:r w:rsidR="008343DE" w:rsidRPr="00D63ACE">
        <w:t xml:space="preserve">. This was </w:t>
      </w:r>
      <w:r w:rsidR="002B4D54" w:rsidRPr="00D63ACE">
        <w:t xml:space="preserve">typically </w:t>
      </w:r>
      <w:r w:rsidR="008343DE" w:rsidRPr="00D63ACE">
        <w:t>a</w:t>
      </w:r>
      <w:r w:rsidR="002B4D54" w:rsidRPr="00D63ACE">
        <w:t xml:space="preserve"> median reaction time &lt; 2000 ms and percentage accuracy &gt; 80%</w:t>
      </w:r>
      <w:r w:rsidR="008343DE" w:rsidRPr="00D63ACE">
        <w:t xml:space="preserve">, however this varied slightly between IRAPs. </w:t>
      </w:r>
      <w:r w:rsidR="002B4D54" w:rsidRPr="00D63ACE">
        <w:t xml:space="preserve">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 </w:t>
      </w:r>
      <w:r w:rsidR="002B4D54" w:rsidRPr="00D63ACE">
        <w:fldChar w:fldCharType="begin"/>
      </w:r>
      <w:r w:rsidR="002B4D54" w:rsidRPr="00D63ACE">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63ACE">
        <w:fldChar w:fldCharType="separate"/>
      </w:r>
      <w:r w:rsidR="002B4D54" w:rsidRPr="00D63ACE">
        <w:t>(Hussey, Thompson, et al., 2015)</w:t>
      </w:r>
      <w:r w:rsidR="002B4D54" w:rsidRPr="00D63ACE">
        <w:fldChar w:fldCharType="end"/>
      </w:r>
      <w:r w:rsidR="008343DE" w:rsidRPr="00D63ACE">
        <w:t>.</w:t>
      </w:r>
      <w:r w:rsidR="00305E43" w:rsidRPr="00D63ACE">
        <w:t xml:space="preserve"> As noted previously, all word and image stimuli, instructions, responding rules, and task parameters such as practice criteria can be found in the Supplementary Materials (</w:t>
      </w:r>
      <w:hyperlink r:id="rId12" w:history="1">
        <w:r w:rsidR="00305E43" w:rsidRPr="00D63ACE">
          <w:rPr>
            <w:rStyle w:val="Hyperlink"/>
          </w:rPr>
          <w:t>osf.io/v3twe</w:t>
        </w:r>
      </w:hyperlink>
      <w:r w:rsidR="00305E43" w:rsidRPr="00D63ACE">
        <w:t>).</w:t>
      </w:r>
    </w:p>
    <w:p w14:paraId="4CBBDEAE" w14:textId="55A6CF6A" w:rsidR="00061147" w:rsidRPr="00D63ACE" w:rsidRDefault="00061147" w:rsidP="00061147">
      <w:pPr>
        <w:pStyle w:val="Heading2"/>
      </w:pPr>
      <w:r w:rsidRPr="00D63ACE">
        <w:t>Data processing</w:t>
      </w:r>
    </w:p>
    <w:p w14:paraId="7C1AAF5E" w14:textId="705413EC" w:rsidR="00AF5A3C" w:rsidRPr="00D63ACE" w:rsidRDefault="00061147" w:rsidP="0095352F">
      <w:r w:rsidRPr="00D63ACE">
        <w:t xml:space="preserve">IRAP studies typically using the </w:t>
      </w:r>
      <w:r w:rsidRPr="00D63ACE">
        <w:rPr>
          <w:i/>
        </w:rPr>
        <w:t>D</w:t>
      </w:r>
      <w:r w:rsidRPr="00D63ACE">
        <w:t xml:space="preserve"> scoring method to convert each participant’s reaction times into analyzable values.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The specifics of the </w:t>
      </w:r>
      <w:r w:rsidRPr="00D63ACE">
        <w:rPr>
          <w:i/>
        </w:rPr>
        <w:t>D</w:t>
      </w:r>
      <w:r w:rsidRPr="00D63ACE">
        <w:t xml:space="preserve"> score have been discussed </w:t>
      </w:r>
      <w:r w:rsidRPr="00D63ACE">
        <w:lastRenderedPageBreak/>
        <w:t xml:space="preserve">in precise detail in other publications </w:t>
      </w:r>
      <w:r w:rsidRPr="00D63ACE">
        <w:fldChar w:fldCharType="begin"/>
      </w:r>
      <w:r w:rsidRPr="00D63ACE">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rsidRPr="00D63ACE">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9B4182" w:rsidRPr="00D63ACE">
        <w:t>74</w:t>
      </w:r>
      <w:r w:rsidR="000E6223" w:rsidRPr="00D63ACE">
        <w:t xml:space="preserve"> participants (</w:t>
      </w:r>
      <w:r w:rsidR="009B4182" w:rsidRPr="00D63ACE">
        <w:t>7.8</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w:t>
      </w:r>
      <w:r w:rsidR="007245A6" w:rsidRPr="00D63ACE">
        <w:t xml:space="preserve"> from the test-retest.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lastRenderedPageBreak/>
        <w:t>Internal consistency</w:t>
      </w:r>
    </w:p>
    <w:p w14:paraId="31FB617F" w14:textId="16C30439"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 comparisons with other implicit measures, and to provide the most accurate estimate of internal consistency.</w:t>
      </w:r>
    </w:p>
    <w:p w14:paraId="18EAF417" w14:textId="2CBBA687"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8765A7" w:rsidRPr="00D63ACE">
        <w:t>.57, 95% CI [.47, .65], 95% CR [.10, .79].</w:t>
      </w:r>
    </w:p>
    <w:p w14:paraId="72F2B2C9" w14:textId="17FF24B5"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w:t>
      </w:r>
      <w:r w:rsidR="00D3423E" w:rsidRPr="00D63ACE">
        <w:lastRenderedPageBreak/>
        <w:t xml:space="preserve">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EF0743" w:rsidRPr="00D63ACE">
        <w:t xml:space="preserve"> .49, 95% CI [.42, .56], 95% CR [.42, .56]</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77777777"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spits should be computed (e.g., 2000</w:t>
      </w:r>
      <w:r w:rsidR="00160C18" w:rsidRPr="00D63ACE">
        <w:t>)</w:t>
      </w:r>
      <w:r w:rsidR="006D5892" w:rsidRPr="00D63ACE">
        <w:t xml:space="preserve">. </w:t>
      </w:r>
      <w:r w:rsidR="0043272C" w:rsidRPr="00D63ACE">
        <w:t xml:space="preserve">In each permutation, the 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w:t>
      </w:r>
      <w:r w:rsidR="00CE3993" w:rsidRPr="00D63ACE">
        <w:lastRenderedPageBreak/>
        <w:t xml:space="preserve">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r w:rsidR="004762D2" w:rsidRPr="00D63ACE">
        <w:t>T</w:t>
      </w:r>
      <w:r w:rsidR="008567E3" w:rsidRPr="00D63ACE">
        <w:t>h</w:t>
      </w:r>
      <w:r w:rsidR="002A57BE" w:rsidRPr="00D63ACE">
        <w:t xml:space="preserve">e permutation method was </w:t>
      </w:r>
      <w:r w:rsidR="004762D2" w:rsidRPr="00D63ACE">
        <w:t xml:space="preserve">therefore </w:t>
      </w:r>
      <w:r w:rsidR="002A57BE" w:rsidRPr="00D63ACE">
        <w:t xml:space="preserve">deemed to be </w:t>
      </w:r>
      <w:r w:rsidR="004762D2" w:rsidRPr="00D63ACE">
        <w:t xml:space="preserve">the most appropriate </w:t>
      </w:r>
      <w:r w:rsidR="002A57BE" w:rsidRPr="00D63ACE">
        <w:t xml:space="preserve">strategy </w:t>
      </w:r>
      <w:r w:rsidR="004762D2" w:rsidRPr="00D63ACE">
        <w:t xml:space="preserve">to </w:t>
      </w:r>
      <w:r w:rsidR="0033591E" w:rsidRPr="00D63ACE">
        <w:t xml:space="preserve">accurately </w:t>
      </w:r>
      <w:r w:rsidR="004762D2" w:rsidRPr="00D63ACE">
        <w:t xml:space="preserve">estimate the IRAP’s internal consistency, and its results </w:t>
      </w:r>
      <w:r w:rsidR="002A57BE" w:rsidRPr="00D63ACE">
        <w:t xml:space="preserve">were used for conclusions. </w:t>
      </w:r>
    </w:p>
    <w:p w14:paraId="29AA00F4" w14:textId="06800A01" w:rsidR="004D7445" w:rsidRPr="00D63ACE" w:rsidRDefault="00204685" w:rsidP="003A67B3">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684F88" w:rsidRPr="00D63ACE">
        <w:t>.55, 95% CI [.47, .62], 95% CR [.28, .72]</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2</w:t>
      </w:r>
      <w:r w:rsidR="00357C7F" w:rsidRPr="00D63ACE">
        <w:t>5</w:t>
      </w:r>
      <w:r w:rsidR="002A57BE" w:rsidRPr="00D63ACE">
        <w:t xml:space="preserve">) = </w:t>
      </w:r>
      <w:r w:rsidR="00357C7F" w:rsidRPr="00D63ACE">
        <w:t>3</w:t>
      </w:r>
      <w:r w:rsidR="003A67B3" w:rsidRPr="00D63ACE">
        <w:t>5.14</w:t>
      </w:r>
      <w:r w:rsidR="002A57BE" w:rsidRPr="00D63ACE">
        <w:t xml:space="preserve">, </w:t>
      </w:r>
      <w:r w:rsidR="002A57BE" w:rsidRPr="00D63ACE">
        <w:rPr>
          <w:i/>
        </w:rPr>
        <w:t>p</w:t>
      </w:r>
      <w:r w:rsidR="002A57BE" w:rsidRPr="00D63ACE">
        <w:t xml:space="preserve"> = .0</w:t>
      </w:r>
      <w:r w:rsidR="003A67B3" w:rsidRPr="00D63ACE">
        <w:t>86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357C7F" w:rsidRPr="00D63ACE">
        <w:t>5</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9C6C6F" w:rsidRPr="00D63ACE">
        <w:t>2</w:t>
      </w:r>
      <w:r w:rsidR="00357C7F" w:rsidRPr="00D63ACE">
        <w:t>8</w:t>
      </w:r>
      <w:r w:rsidR="009C6C6F" w:rsidRPr="00D63ACE">
        <w:t>.</w:t>
      </w:r>
      <w:r w:rsidR="003A67B3" w:rsidRPr="00D63ACE">
        <w:t>6</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357C7F" w:rsidRPr="00D63ACE">
        <w:t>4</w:t>
      </w:r>
      <w:r w:rsidR="002A57BE" w:rsidRPr="00D63ACE">
        <w:t>.</w:t>
      </w:r>
      <w:r w:rsidR="001909A9" w:rsidRPr="00D63ACE">
        <w:t xml:space="preserve"> </w:t>
      </w:r>
      <w:r w:rsidR="000A6958" w:rsidRPr="00D63ACE">
        <w:t xml:space="preserve">A GOSH plot </w:t>
      </w:r>
      <w:r w:rsidR="000A6958" w:rsidRPr="00D63ACE">
        <w:fldChar w:fldCharType="begin"/>
      </w:r>
      <w:r w:rsidR="000A6958" w:rsidRPr="00D63ACE">
        <w:instrText xml:space="preserve"> ADDIN ZOTERO_ITEM CSL_CITATION {"citationID":"mqFN4Ygj","properties":{"formattedCitation":"(Olkin et al., 2012)","plainCitation":"(Olkin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A."}],"issued":{"date-parts":[["2012",9]]}}}],"schema":"https://github.com/citation-style-language/schema/raw/master/csl-citation.json"} </w:instrText>
      </w:r>
      <w:r w:rsidR="000A6958" w:rsidRPr="00D63ACE">
        <w:fldChar w:fldCharType="separate"/>
      </w:r>
      <w:r w:rsidR="000A6958" w:rsidRPr="00D63ACE">
        <w:t>(Olkin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α =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CD2E7B" w:rsidRPr="00D63ACE">
        <w:t>.53, 95% CI [.46, .59], 95% CR [.43, .61]</w:t>
      </w:r>
      <w:r w:rsidR="00D30626" w:rsidRPr="00D63ACE">
        <w:t xml:space="preserve">, but now with no heterogeneity, </w:t>
      </w:r>
      <w:r w:rsidR="00D30626" w:rsidRPr="00D63ACE">
        <w:rPr>
          <w:i/>
        </w:rPr>
        <w:t>Q</w:t>
      </w:r>
      <w:r w:rsidR="00D30626" w:rsidRPr="00D63ACE">
        <w:t>(</w:t>
      </w:r>
      <w:r w:rsidR="00D30626" w:rsidRPr="00D63ACE">
        <w:rPr>
          <w:i/>
        </w:rPr>
        <w:t>df</w:t>
      </w:r>
      <w:r w:rsidR="00D30626" w:rsidRPr="00D63ACE">
        <w:t xml:space="preserve"> = 24) = 19.</w:t>
      </w:r>
      <w:r w:rsidR="00A25CA3" w:rsidRPr="00D63ACE">
        <w:t>84</w:t>
      </w:r>
      <w:r w:rsidR="00D30626" w:rsidRPr="00D63ACE">
        <w:t xml:space="preserve">, </w:t>
      </w:r>
      <w:r w:rsidR="00D30626" w:rsidRPr="00D63ACE">
        <w:rPr>
          <w:i/>
        </w:rPr>
        <w:t>p</w:t>
      </w:r>
      <w:r w:rsidR="00D30626" w:rsidRPr="00D63ACE">
        <w:t xml:space="preserve"> = .7</w:t>
      </w:r>
      <w:r w:rsidR="00A25CA3" w:rsidRPr="00D63ACE">
        <w:t>06</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lastRenderedPageBreak/>
        <w:t xml:space="preserve">the most </w:t>
      </w:r>
      <w:r w:rsidR="00681883" w:rsidRPr="00D63ACE">
        <w:t>appropriate estimate of the IRAP’s internal consistency</w:t>
      </w:r>
      <w:r w:rsidR="000B0840" w:rsidRPr="00D63ACE">
        <w:t xml:space="preserve"> among those reported here.</w:t>
      </w:r>
    </w:p>
    <w:p w14:paraId="3D515376" w14:textId="73FBA331" w:rsidR="002C6E72" w:rsidRPr="00D63ACE" w:rsidRDefault="002C6E72" w:rsidP="005C2458"/>
    <w:p w14:paraId="17B07A07" w14:textId="6D2F466D" w:rsidR="002C6E72" w:rsidRPr="00D63ACE" w:rsidRDefault="000F79F9" w:rsidP="000F79F9">
      <w:pPr>
        <w:ind w:firstLine="0"/>
        <w:jc w:val="center"/>
      </w:pPr>
      <w:r w:rsidRPr="00D63ACE">
        <w:drawing>
          <wp:inline distT="0" distB="0" distL="0" distR="0" wp14:anchorId="49ADB783" wp14:editId="6AABABA1">
            <wp:extent cx="54864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internalconsistency.pdf"/>
                    <pic:cNvPicPr/>
                  </pic:nvPicPr>
                  <pic:blipFill>
                    <a:blip r:embed="rId13"/>
                    <a:stretch>
                      <a:fillRect/>
                    </a:stretch>
                  </pic:blipFill>
                  <pic:spPr>
                    <a:xfrm>
                      <a:off x="0" y="0"/>
                      <a:ext cx="5486400" cy="5486400"/>
                    </a:xfrm>
                    <a:prstGeom prst="rect">
                      <a:avLst/>
                    </a:prstGeom>
                  </pic:spPr>
                </pic:pic>
              </a:graphicData>
            </a:graphic>
          </wp:inline>
        </w:drawing>
      </w:r>
    </w:p>
    <w:p w14:paraId="21A99CD5" w14:textId="56E43F3D" w:rsidR="004D7445" w:rsidRPr="00D63ACE" w:rsidRDefault="00E760CE" w:rsidP="002C6E72">
      <w:pPr>
        <w:ind w:firstLine="0"/>
      </w:pPr>
      <w:r w:rsidRPr="00D63ACE">
        <w:rPr>
          <w:b/>
        </w:rPr>
        <w:t>Figure 1.</w:t>
      </w:r>
      <w:r w:rsidRPr="00D63ACE">
        <w:t xml:space="preserve"> GOSH plot for internal consistency.</w:t>
      </w:r>
    </w:p>
    <w:p w14:paraId="23D158EB" w14:textId="1A979CC7" w:rsidR="002548D2" w:rsidRPr="00D63ACE" w:rsidRDefault="002548D2" w:rsidP="00FD2754">
      <w:r w:rsidRPr="00D63ACE">
        <w:br w:type="page"/>
      </w:r>
    </w:p>
    <w:p w14:paraId="0CD811F2" w14:textId="198850C3" w:rsidR="00D53786" w:rsidRPr="00D63ACE" w:rsidRDefault="00314F8D" w:rsidP="00155BF4">
      <w:pPr>
        <w:ind w:firstLine="0"/>
        <w:jc w:val="center"/>
      </w:pPr>
      <w:r w:rsidRPr="00D63ACE">
        <w:lastRenderedPageBreak/>
        <w:drawing>
          <wp:inline distT="0" distB="0" distL="0" distR="0" wp14:anchorId="1D8F03BC" wp14:editId="279D1C74">
            <wp:extent cx="5427594" cy="756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_plots_ic_sensitivity_and_trt.pdf"/>
                    <pic:cNvPicPr/>
                  </pic:nvPicPr>
                  <pic:blipFill>
                    <a:blip r:embed="rId14"/>
                    <a:stretch>
                      <a:fillRect/>
                    </a:stretch>
                  </pic:blipFill>
                  <pic:spPr>
                    <a:xfrm>
                      <a:off x="0" y="0"/>
                      <a:ext cx="5429484" cy="7569505"/>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315F995C"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[.05, .30],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18.5, </w:t>
      </w:r>
      <w:r w:rsidRPr="00D63ACE">
        <w:rPr>
          <w:i/>
        </w:rPr>
        <w:t>p</w:t>
      </w:r>
      <w:r w:rsidRPr="00D63ACE">
        <w:t xml:space="preserve"> = .010,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60.4%, </w:t>
      </w:r>
      <w:r w:rsidRPr="00D63ACE">
        <w:rPr>
          <w:i/>
        </w:rPr>
        <w:t>H</w:t>
      </w:r>
      <w:r w:rsidRPr="00D63ACE">
        <w:rPr>
          <w:rFonts w:cs="Times New Roman (Body CS)"/>
          <w:vertAlign w:val="superscript"/>
        </w:rPr>
        <w:t>2</w:t>
      </w:r>
      <w:r w:rsidRPr="00D63ACE">
        <w:t xml:space="preserve"> = 2.5.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765F162B" w:rsidR="004B3A6F" w:rsidRPr="00D63ACE" w:rsidRDefault="000F79F9" w:rsidP="00807084">
      <w:pPr>
        <w:ind w:firstLine="0"/>
        <w:jc w:val="center"/>
      </w:pPr>
      <w:r w:rsidRPr="00D63ACE">
        <w:lastRenderedPageBreak/>
        <w:drawing>
          <wp:inline distT="0" distB="0" distL="0" distR="0" wp14:anchorId="38E26363" wp14:editId="37F45690">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sh_plot_testretestreliability.pdf"/>
                    <pic:cNvPicPr/>
                  </pic:nvPicPr>
                  <pic:blipFill>
                    <a:blip r:embed="rId15"/>
                    <a:stretch>
                      <a:fillRect/>
                    </a:stretch>
                  </pic:blipFill>
                  <pic:spPr>
                    <a:xfrm>
                      <a:off x="0" y="0"/>
                      <a:ext cx="5486400" cy="5486400"/>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69E5996" w14:textId="2057552F" w:rsidR="004574EA" w:rsidRPr="00D63ACE" w:rsidRDefault="00905A69" w:rsidP="004574EA">
      <w:r w:rsidRPr="00D63ACE">
        <w:t xml:space="preserve">Results suggest that the IRAP’s internal consistency is poor and its test-retest reliability is </w:t>
      </w:r>
      <w:r w:rsidR="006501DB" w:rsidRPr="00D63ACE">
        <w:t>unacceptably low</w:t>
      </w:r>
      <w:r w:rsidRPr="00D63ACE">
        <w:t xml:space="preserve">. </w:t>
      </w:r>
      <w:r w:rsidR="006A4D62" w:rsidRPr="00D63ACE">
        <w:t>Compared to previous meta-analys</w:t>
      </w:r>
      <w:r w:rsidR="00AB6931" w:rsidRPr="00D63ACE">
        <w:t>es</w:t>
      </w:r>
      <w:r w:rsidR="006A4D62" w:rsidRPr="00D63ACE">
        <w:t xml:space="preserve">, this work has the dual benefits of (a) being based on our complete file drawer data, which is not subject to publication bias, (b) uses more optimal analytic methods, and (c) is </w:t>
      </w:r>
      <w:r w:rsidR="00F41F7F" w:rsidRPr="00D63ACE">
        <w:t xml:space="preserve">fully </w:t>
      </w:r>
      <w:r w:rsidR="006A4D62" w:rsidRPr="00D63ACE">
        <w:t xml:space="preserve">computationally reproducible as we share our data and code. </w:t>
      </w:r>
    </w:p>
    <w:p w14:paraId="74B81BCF" w14:textId="61FC2128" w:rsidR="00AB6931" w:rsidRPr="00D63ACE" w:rsidRDefault="00A903A4" w:rsidP="001D3937">
      <w:pPr>
        <w:rPr>
          <w:color w:val="000000" w:themeColor="text1"/>
        </w:rPr>
      </w:pPr>
      <w:r w:rsidRPr="00D63ACE">
        <w:lastRenderedPageBreak/>
        <w:t xml:space="preserve">Our estimate of internal consistency </w:t>
      </w:r>
      <w:r w:rsidR="00DA71E9" w:rsidRPr="00D63ACE">
        <w:t xml:space="preserve">(α = </w:t>
      </w:r>
      <w:r w:rsidR="00E30509" w:rsidRPr="00D63ACE">
        <w:t>.53, 95% CI [.46, .59]</w:t>
      </w:r>
      <w:r w:rsidR="00DA71E9" w:rsidRPr="00D63ACE">
        <w:t xml:space="preserve">) </w:t>
      </w:r>
      <w:r w:rsidR="008E54C4" w:rsidRPr="00D63ACE">
        <w:t xml:space="preserve">was </w:t>
      </w:r>
      <w:r w:rsidR="002A378C" w:rsidRPr="00D63ACE">
        <w:t xml:space="preserve">smaller than that </w:t>
      </w:r>
      <w:r w:rsidR="008E54C4" w:rsidRPr="00D63ACE">
        <w:t xml:space="preserve">reported by </w:t>
      </w:r>
      <w:r w:rsidR="002A378C" w:rsidRPr="00D63ACE">
        <w:t xml:space="preserve">in one </w:t>
      </w:r>
      <w:r w:rsidR="008E54C4" w:rsidRPr="00D63ACE">
        <w:t>previously published meta-analysis</w:t>
      </w:r>
      <w:r w:rsidR="00581FB2" w:rsidRPr="00D63ACE">
        <w:t xml:space="preserve"> </w:t>
      </w:r>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527F94" w:rsidRPr="00D63ACE">
        <w:rPr>
          <w:rFonts w:cs="CMU Serif Roman"/>
        </w:rPr>
        <w:t xml:space="preserve"> = .65, 95% CI [.54,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the 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[.05, .30]</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r w:rsidR="007F7C99" w:rsidRPr="00D63ACE">
        <w:t>Differences</w:t>
      </w:r>
      <w:r w:rsidR="00906B76" w:rsidRPr="00D63ACE">
        <w:t xml:space="preserve"> </w:t>
      </w:r>
      <w:r w:rsidR="007F7C99" w:rsidRPr="00D63ACE">
        <w:t xml:space="preserve">in results </w:t>
      </w:r>
      <w:r w:rsidR="00906B76" w:rsidRPr="00D63ACE">
        <w:t xml:space="preserve">may be due one or more </w:t>
      </w:r>
      <w:r w:rsidR="00156191" w:rsidRPr="00D63ACE">
        <w:t>features of our work relative to previous research</w:t>
      </w:r>
      <w:r w:rsidR="00906B76" w:rsidRPr="00D63ACE">
        <w:t xml:space="preserve">: </w:t>
      </w:r>
      <w:r w:rsidR="00984F69" w:rsidRPr="00D63ACE">
        <w:t xml:space="preserve">our larger </w:t>
      </w:r>
      <w:r w:rsidR="00156191" w:rsidRPr="00D63ACE">
        <w:t xml:space="preserve">test-retest </w:t>
      </w:r>
      <w:r w:rsidR="00984F69" w:rsidRPr="00D63ACE">
        <w:t>sample</w:t>
      </w:r>
      <w:r w:rsidR="00156191" w:rsidRPr="00D63ACE">
        <w:t xml:space="preserve">, </w:t>
      </w:r>
      <w:r w:rsidR="00984F69" w:rsidRPr="00D63ACE">
        <w:t xml:space="preserve"> </w:t>
      </w:r>
      <w:r w:rsidR="00156191" w:rsidRPr="00D63ACE">
        <w:t xml:space="preserve">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w:t>
      </w:r>
      <w:r w:rsidR="00262275" w:rsidRPr="00D63ACE">
        <w:lastRenderedPageBreak/>
        <w:t xml:space="preserve">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0E6223"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6D73AA3C"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No one form of reliability fully captures a measure 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C022D5" w:rsidRPr="00D63ACE">
        <w:t>and internal consistency</w:t>
      </w:r>
      <w:r w:rsidR="0087159C" w:rsidRPr="00D63ACE">
        <w:t xml:space="preserve"> (α = </w:t>
      </w:r>
      <w:r w:rsidR="00E30509" w:rsidRPr="00D63ACE">
        <w:t>.53</w:t>
      </w:r>
      <w:r w:rsidR="0087159C" w:rsidRPr="00D63ACE">
        <w:t>)</w:t>
      </w:r>
      <w:r w:rsidR="00790448" w:rsidRPr="00D63ACE">
        <w:t xml:space="preserve">. Maximum correlations with the IRAP </w:t>
      </w:r>
      <w:r w:rsidR="00741481" w:rsidRPr="00D63ACE">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D63ACE">
        <w:t xml:space="preserve"> = 1) was </w:t>
      </w:r>
      <w:r w:rsidR="00790448" w:rsidRPr="00D63ACE">
        <w:t xml:space="preserve">estimated to be </w:t>
      </w:r>
      <w:r w:rsidR="00790448" w:rsidRPr="00D63ACE">
        <w:rPr>
          <w:i/>
        </w:rPr>
        <w:t>r</w:t>
      </w:r>
      <w:r w:rsidR="00790448" w:rsidRPr="00D63ACE">
        <w:t xml:space="preserve"> = </w:t>
      </w:r>
      <w:r w:rsidR="00887CC8" w:rsidRPr="00D63ACE">
        <w:t>.4</w:t>
      </w:r>
      <w:r w:rsidR="0084500C" w:rsidRPr="00D63ACE">
        <w:t>2</w:t>
      </w:r>
      <w:r w:rsidR="00887CC8" w:rsidRPr="00D63ACE">
        <w:t xml:space="preserve"> </w:t>
      </w:r>
      <w:r w:rsidR="00E25376" w:rsidRPr="00D63ACE">
        <w:t>and</w:t>
      </w:r>
      <w:r w:rsidR="00887CC8" w:rsidRPr="00D63ACE">
        <w:t xml:space="preserve"> </w:t>
      </w:r>
      <w:r w:rsidR="00790448" w:rsidRPr="00D63ACE">
        <w:t>.7</w:t>
      </w:r>
      <w:r w:rsidR="0084500C" w:rsidRPr="00D63ACE">
        <w:t>3</w:t>
      </w:r>
      <w:r w:rsidR="00790448" w:rsidRPr="00D63ACE">
        <w:t>, respectively.</w:t>
      </w:r>
      <w:r w:rsidR="00741481" w:rsidRPr="00D63ACE">
        <w:t xml:space="preserve"> Smaller true correlations </w:t>
      </w:r>
      <w:r w:rsidR="00C022D5" w:rsidRPr="00D63ACE">
        <w:t>would also be scaled downward to a comparable degree.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rsidRPr="00D63ACE">
        <w:t xml:space="preserve"> = .5) would imply maximum observable correlations of </w:t>
      </w:r>
      <w:r w:rsidR="00C022D5" w:rsidRPr="00D63ACE">
        <w:rPr>
          <w:i/>
        </w:rPr>
        <w:t>r</w:t>
      </w:r>
      <w:r w:rsidR="00C022D5" w:rsidRPr="00D63ACE">
        <w:t xml:space="preserve"> = </w:t>
      </w:r>
      <w:r w:rsidR="00887CC8" w:rsidRPr="00D63ACE">
        <w:t>.2</w:t>
      </w:r>
      <w:r w:rsidR="00647023" w:rsidRPr="00D63ACE">
        <w:t>0</w:t>
      </w:r>
      <w:r w:rsidR="00887CC8" w:rsidRPr="00D63ACE">
        <w:t xml:space="preserve"> </w:t>
      </w:r>
      <w:r w:rsidR="00E25376" w:rsidRPr="00D63ACE">
        <w:t>and</w:t>
      </w:r>
      <w:r w:rsidR="00887CC8" w:rsidRPr="00D63ACE">
        <w:t xml:space="preserve"> .</w:t>
      </w:r>
      <w:r w:rsidR="00C022D5" w:rsidRPr="00D63ACE">
        <w:t>3</w:t>
      </w:r>
      <w:r w:rsidR="00CA6BA9" w:rsidRPr="00D63ACE">
        <w:t>6</w:t>
      </w:r>
      <w:r w:rsidR="00C022D5" w:rsidRPr="00D63ACE">
        <w:t xml:space="preserve">, respectively.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3A7829F4"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E30509" w:rsidRPr="00D63ACE">
        <w:t>.53</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E95860" w:rsidRPr="00D63ACE">
        <w:t>1</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1B01EB" w:rsidRPr="00D63ACE">
        <w:t>0</w:t>
      </w:r>
      <w:r w:rsidR="00134C4C" w:rsidRPr="00D63ACE">
        <w:t xml:space="preserve"> minutes and </w:t>
      </w:r>
      <w:r w:rsidR="006B68F3" w:rsidRPr="00D63ACE">
        <w:t>2.5 hours</w:t>
      </w:r>
      <w:r w:rsidR="00134C4C" w:rsidRPr="00D63ACE">
        <w:t xml:space="preserve"> 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C211018" w14:textId="77777777" w:rsidR="00C85250"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wield better stimulus control </w:t>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 xml:space="preserve">the dimension along which the two category stimuli are related, even though the task never requires the participant to </w:t>
      </w:r>
      <w:r w:rsidR="00381C18" w:rsidRPr="00D63ACE">
        <w:t xml:space="preserve">emit this relational response </w:t>
      </w:r>
      <w:r w:rsidR="00381C18" w:rsidRPr="00D63ACE">
        <w:fldChar w:fldCharType="begin"/>
      </w:r>
      <w:r w:rsidR="00381C18" w:rsidRPr="00D63ACE">
        <w:instrText xml:space="preserve"> ADDIN ZOTERO_ITEM CSL_CITATION {"citationID":"XczvTQ6V","properties":{"formattedCitation":"(Hussey et al., 2016)","plainCitation":"(Hussey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schema":"https://github.com/citation-style-language/schema/raw/master/csl-citation.json"} </w:instrText>
      </w:r>
      <w:r w:rsidR="00381C18" w:rsidRPr="00D63ACE">
        <w:fldChar w:fldCharType="separate"/>
      </w:r>
      <w:r w:rsidR="00381C18" w:rsidRPr="00D63ACE">
        <w:t>(Hussey et al., 2016)</w:t>
      </w:r>
      <w:r w:rsidR="00381C18" w:rsidRPr="00D63ACE">
        <w:fldChar w:fldCharType="end"/>
      </w:r>
      <w:r w:rsidR="00381C18" w:rsidRPr="00D63ACE">
        <w:t xml:space="preserve">; </w:t>
      </w:r>
      <w:r w:rsidR="000901D4" w:rsidRPr="00D63ACE">
        <w:t xml:space="preserve">or </w:t>
      </w:r>
      <w:r w:rsidR="00381C18" w:rsidRPr="00D63ACE">
        <w:t xml:space="preserve">the rules presented before each block that indicate how the participant should respond, even though they merely specify the responding rule within that block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While these and other sources of stimulus control have been demonstrated, no work has used these to increase the reliability of behaviour within the IRAP.</w:t>
      </w:r>
    </w:p>
    <w:p w14:paraId="30FAE22F" w14:textId="623A0859" w:rsidR="00C85250" w:rsidRPr="00D63ACE" w:rsidRDefault="00C85250" w:rsidP="003451D7">
      <w:pPr>
        <w:pStyle w:val="Heading2"/>
      </w:pPr>
      <w:r w:rsidRPr="00D63ACE">
        <w:t>Conclusion</w:t>
      </w:r>
      <w:r w:rsidR="001D3937" w:rsidRPr="00D63ACE">
        <w:t>s</w:t>
      </w:r>
    </w:p>
    <w:p w14:paraId="13AF3F8E" w14:textId="3B4C5089" w:rsidR="001D3937" w:rsidRPr="00D63ACE" w:rsidRDefault="001D3937" w:rsidP="001D3937">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prerequisite for validity </w:t>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BE0270" w:rsidRPr="00D63ACE">
        <w:rPr>
          <w:color w:val="000000" w:themeColor="text1"/>
        </w:rPr>
        <w:lastRenderedPageBreak/>
        <w:t xml:space="preserve">other </w:t>
      </w:r>
      <w:r w:rsidRPr="00D63ACE">
        <w:rPr>
          <w:color w:val="000000" w:themeColor="text1"/>
        </w:rPr>
        <w:t>meta-analyses of reliability</w:t>
      </w:r>
      <w:r w:rsidR="00BE0270" w:rsidRPr="00D63ACE">
        <w:rPr>
          <w:color w:val="000000" w:themeColor="text1"/>
        </w:rPr>
        <w:t xml:space="preserve"> </w:t>
      </w:r>
      <w:r w:rsidRPr="00D63ACE">
        <w:rPr>
          <w:color w:val="000000" w:themeColor="text1"/>
        </w:rPr>
        <w:t xml:space="preserve">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exceptionally cautious when choosing to use the IRAP in their research, or when interpreting the results of IRAP studies. </w:t>
      </w:r>
    </w:p>
    <w:p w14:paraId="70B631FC" w14:textId="77777777" w:rsidR="001D3937" w:rsidRPr="00D63ACE" w:rsidRDefault="001D3937" w:rsidP="001D3937"/>
    <w:p w14:paraId="1904BA03" w14:textId="77777777" w:rsidR="003451D7" w:rsidRPr="00D63ACE" w:rsidRDefault="003451D7" w:rsidP="003451D7"/>
    <w:p w14:paraId="7362C058" w14:textId="587EF187" w:rsidR="001F34C8" w:rsidRPr="00D63ACE" w:rsidRDefault="00C85250" w:rsidP="003451D7">
      <w:r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7EA909B3" w14:textId="77777777" w:rsidR="00070122" w:rsidRPr="00070122" w:rsidRDefault="004559D9" w:rsidP="00070122">
      <w:pPr>
        <w:pStyle w:val="Bibliography"/>
        <w:rPr>
          <w:rFonts w:cs="CMU Serif Roman"/>
        </w:rPr>
      </w:pPr>
      <w:r w:rsidRPr="00D63ACE">
        <w:fldChar w:fldCharType="begin"/>
      </w:r>
      <w:r w:rsidR="00070122">
        <w:instrText xml:space="preserve"> ADDIN ZOTERO_BIBL {"uncited":[],"omitted":[],"custom":[]} CSL_BIBLIOGRAPHY </w:instrText>
      </w:r>
      <w:r w:rsidRPr="00D63ACE">
        <w:fldChar w:fldCharType="separate"/>
      </w:r>
      <w:r w:rsidR="00070122" w:rsidRPr="00070122">
        <w:rPr>
          <w:rFonts w:cs="CMU Serif Roman"/>
        </w:rPr>
        <w:t xml:space="preserve">Barnes-Holmes, D., Barnes-Holmes, Y., Stewart, I., &amp; Boles, S. (2010). A sketch of the Implicit Relational Assessment Procedure (IRAP) and the Relational Elaboration and Coherence (REC) model. </w:t>
      </w:r>
      <w:r w:rsidR="00070122" w:rsidRPr="00070122">
        <w:rPr>
          <w:rFonts w:cs="CMU Serif Roman"/>
          <w:i/>
          <w:iCs/>
        </w:rPr>
        <w:t>The Psychological Record</w:t>
      </w:r>
      <w:r w:rsidR="00070122" w:rsidRPr="00070122">
        <w:rPr>
          <w:rFonts w:cs="CMU Serif Roman"/>
        </w:rPr>
        <w:t xml:space="preserve">, </w:t>
      </w:r>
      <w:r w:rsidR="00070122" w:rsidRPr="00070122">
        <w:rPr>
          <w:rFonts w:cs="CMU Serif Roman"/>
          <w:i/>
          <w:iCs/>
        </w:rPr>
        <w:t>60</w:t>
      </w:r>
      <w:r w:rsidR="00070122" w:rsidRPr="00070122">
        <w:rPr>
          <w:rFonts w:cs="CMU Serif Roman"/>
        </w:rPr>
        <w:t>, 527–542.</w:t>
      </w:r>
    </w:p>
    <w:p w14:paraId="35E6239F" w14:textId="77777777" w:rsidR="00070122" w:rsidRPr="00070122" w:rsidRDefault="00070122" w:rsidP="00070122">
      <w:pPr>
        <w:pStyle w:val="Bibliography"/>
        <w:rPr>
          <w:rFonts w:cs="CMU Serif Roman"/>
        </w:rPr>
      </w:pPr>
      <w:r w:rsidRPr="00070122">
        <w:rPr>
          <w:rFonts w:cs="CMU Serif Roman"/>
        </w:rPr>
        <w:t xml:space="preserve">Barnes-Holmes, D., &amp; Hussey, I. (2016). The functional-cognitive meta-theoretical framework: Reflections, possible clarifications and how to move forward. </w:t>
      </w:r>
      <w:r w:rsidRPr="00070122">
        <w:rPr>
          <w:rFonts w:cs="CMU Serif Roman"/>
          <w:i/>
          <w:iCs/>
        </w:rPr>
        <w:t>International Journal of Psychology</w:t>
      </w:r>
      <w:r w:rsidRPr="00070122">
        <w:rPr>
          <w:rFonts w:cs="CMU Serif Roman"/>
        </w:rPr>
        <w:t xml:space="preserve">, </w:t>
      </w:r>
      <w:r w:rsidRPr="00070122">
        <w:rPr>
          <w:rFonts w:cs="CMU Serif Roman"/>
          <w:i/>
          <w:iCs/>
        </w:rPr>
        <w:t>51</w:t>
      </w:r>
      <w:r w:rsidRPr="00070122">
        <w:rPr>
          <w:rFonts w:cs="CMU Serif Roman"/>
        </w:rPr>
        <w:t>(1), 50–57. https://doi.org/10.1002/ijop.12166</w:t>
      </w:r>
    </w:p>
    <w:p w14:paraId="58F14D86" w14:textId="77777777" w:rsidR="00070122" w:rsidRPr="00070122" w:rsidRDefault="00070122" w:rsidP="00070122">
      <w:pPr>
        <w:pStyle w:val="Bibliography"/>
        <w:rPr>
          <w:rFonts w:cs="CMU Serif Roman"/>
        </w:rPr>
      </w:pPr>
      <w:r w:rsidRPr="00070122">
        <w:rPr>
          <w:rFonts w:cs="CMU Serif Roman"/>
        </w:rPr>
        <w:t xml:space="preserve">De Schryver, M., Hussey, I., De Neve, J., Cartwright, A., &amp; Barnes-Holmes, D. (2018). The PIIRAP: An alternative scoring algorithm for the IRAP using a probabilistic semiparametric effect size measure. </w:t>
      </w:r>
      <w:r w:rsidRPr="00070122">
        <w:rPr>
          <w:rFonts w:cs="CMU Serif Roman"/>
          <w:i/>
          <w:iCs/>
        </w:rPr>
        <w:t>Journal of Contextual Behavioral Science</w:t>
      </w:r>
      <w:r w:rsidRPr="00070122">
        <w:rPr>
          <w:rFonts w:cs="CMU Serif Roman"/>
        </w:rPr>
        <w:t xml:space="preserve">, </w:t>
      </w:r>
      <w:r w:rsidRPr="00070122">
        <w:rPr>
          <w:rFonts w:cs="CMU Serif Roman"/>
          <w:i/>
          <w:iCs/>
        </w:rPr>
        <w:t>7</w:t>
      </w:r>
      <w:r w:rsidRPr="00070122">
        <w:rPr>
          <w:rFonts w:cs="CMU Serif Roman"/>
        </w:rPr>
        <w:t>, 97–103. https://doi.org/10.1016/j.jcbs.2018.01.001</w:t>
      </w:r>
    </w:p>
    <w:p w14:paraId="3C37E173" w14:textId="77777777" w:rsidR="00070122" w:rsidRPr="00070122" w:rsidRDefault="00070122" w:rsidP="00070122">
      <w:pPr>
        <w:pStyle w:val="Bibliography"/>
        <w:rPr>
          <w:rFonts w:cs="CMU Serif Roman"/>
        </w:rPr>
      </w:pPr>
      <w:r w:rsidRPr="00070122">
        <w:rPr>
          <w:rFonts w:cs="CMU Serif Roman"/>
        </w:rPr>
        <w:t xml:space="preserve">Devezer, B., Navarro, D. J., Vandekerckhove, J., &amp; Buzbas, E. O. (2020). The case for formal methodology in scientific reform. </w:t>
      </w:r>
      <w:r w:rsidRPr="00070122">
        <w:rPr>
          <w:rFonts w:cs="CMU Serif Roman"/>
          <w:i/>
          <w:iCs/>
        </w:rPr>
        <w:t>Preprint</w:t>
      </w:r>
      <w:r w:rsidRPr="00070122">
        <w:rPr>
          <w:rFonts w:cs="CMU Serif Roman"/>
        </w:rPr>
        <w:t>. https://doi.org/10.1101/2020.04.26.048306</w:t>
      </w:r>
    </w:p>
    <w:p w14:paraId="46D0D577" w14:textId="77777777" w:rsidR="00070122" w:rsidRPr="00070122" w:rsidRDefault="00070122" w:rsidP="00070122">
      <w:pPr>
        <w:pStyle w:val="Bibliography"/>
        <w:rPr>
          <w:rFonts w:cs="CMU Serif Roman"/>
        </w:rPr>
      </w:pPr>
      <w:r w:rsidRPr="00070122">
        <w:rPr>
          <w:rFonts w:cs="CMU Serif Roman"/>
        </w:rPr>
        <w:t xml:space="preserve">Drake, C. E., Kramer, S., Sain, T., Swiatek, R., Kohn, K., &amp; Murphy, M. (2015). Exploring the reliability and convergent validity of implicit racial evaluations. </w:t>
      </w:r>
      <w:r w:rsidRPr="00070122">
        <w:rPr>
          <w:rFonts w:cs="CMU Serif Roman"/>
          <w:i/>
          <w:iCs/>
        </w:rPr>
        <w:t>Behavior and Social Issues</w:t>
      </w:r>
      <w:r w:rsidRPr="00070122">
        <w:rPr>
          <w:rFonts w:cs="CMU Serif Roman"/>
        </w:rPr>
        <w:t xml:space="preserve">, </w:t>
      </w:r>
      <w:r w:rsidRPr="00070122">
        <w:rPr>
          <w:rFonts w:cs="CMU Serif Roman"/>
          <w:i/>
          <w:iCs/>
        </w:rPr>
        <w:t>24</w:t>
      </w:r>
      <w:r w:rsidRPr="00070122">
        <w:rPr>
          <w:rFonts w:cs="CMU Serif Roman"/>
        </w:rPr>
        <w:t>. https://doi.org/10.5210/bsi.v24i0.5496</w:t>
      </w:r>
    </w:p>
    <w:p w14:paraId="549A0428" w14:textId="77777777" w:rsidR="00070122" w:rsidRPr="00070122" w:rsidRDefault="00070122" w:rsidP="00070122">
      <w:pPr>
        <w:pStyle w:val="Bibliography"/>
        <w:rPr>
          <w:rFonts w:cs="CMU Serif Roman"/>
        </w:rPr>
      </w:pPr>
      <w:r w:rsidRPr="00070122">
        <w:rPr>
          <w:rFonts w:cs="CMU Serif Roman"/>
        </w:rPr>
        <w:t xml:space="preserve">Drake, C. E., </w:t>
      </w:r>
      <w:proofErr w:type="spellStart"/>
      <w:r w:rsidRPr="00070122">
        <w:rPr>
          <w:rFonts w:cs="CMU Serif Roman"/>
        </w:rPr>
        <w:t>Primeaux</w:t>
      </w:r>
      <w:proofErr w:type="spellEnd"/>
      <w:r w:rsidRPr="00070122">
        <w:rPr>
          <w:rFonts w:cs="CMU Serif Roman"/>
        </w:rPr>
        <w:t xml:space="preserve">, S., &amp; Thomas, J. (2018). Comparing Implicit Gender Stereotypes Between Women and Men with the Implicit Relational </w:t>
      </w:r>
      <w:r w:rsidRPr="00070122">
        <w:rPr>
          <w:rFonts w:cs="CMU Serif Roman"/>
        </w:rPr>
        <w:lastRenderedPageBreak/>
        <w:t xml:space="preserve">Assessment Procedure. </w:t>
      </w:r>
      <w:r w:rsidRPr="00070122">
        <w:rPr>
          <w:rFonts w:cs="CMU Serif Roman"/>
          <w:i/>
          <w:iCs/>
        </w:rPr>
        <w:t>Gender Issues</w:t>
      </w:r>
      <w:r w:rsidRPr="00070122">
        <w:rPr>
          <w:rFonts w:cs="CMU Serif Roman"/>
        </w:rPr>
        <w:t xml:space="preserve">, </w:t>
      </w:r>
      <w:r w:rsidRPr="00070122">
        <w:rPr>
          <w:rFonts w:cs="CMU Serif Roman"/>
          <w:i/>
          <w:iCs/>
        </w:rPr>
        <w:t>35</w:t>
      </w:r>
      <w:r w:rsidRPr="00070122">
        <w:rPr>
          <w:rFonts w:cs="CMU Serif Roman"/>
        </w:rPr>
        <w:t>(1), 3–20. https://doi.org/10.1007/s12147-017-9189-6</w:t>
      </w:r>
    </w:p>
    <w:p w14:paraId="339E48C6" w14:textId="77777777" w:rsidR="00070122" w:rsidRPr="00070122" w:rsidRDefault="00070122" w:rsidP="00070122">
      <w:pPr>
        <w:pStyle w:val="Bibliography"/>
        <w:rPr>
          <w:rFonts w:cs="CMU Serif Roman"/>
        </w:rPr>
      </w:pPr>
      <w:r w:rsidRPr="00070122">
        <w:rPr>
          <w:rFonts w:cs="CMU Serif Roman"/>
        </w:rPr>
        <w:t xml:space="preserve">Drake, C. E., Seymour, K. H., &amp; Habib, R. (2016). Testing the IRAP: Exploring the Reliability and Fakability of an Idiographic Approach to Interpersonal Attitudes. </w:t>
      </w:r>
      <w:r w:rsidRPr="00070122">
        <w:rPr>
          <w:rFonts w:cs="CMU Serif Roman"/>
          <w:i/>
          <w:iCs/>
        </w:rPr>
        <w:t>The Psychological Record</w:t>
      </w:r>
      <w:r w:rsidRPr="00070122">
        <w:rPr>
          <w:rFonts w:cs="CMU Serif Roman"/>
        </w:rPr>
        <w:t xml:space="preserve">, </w:t>
      </w:r>
      <w:r w:rsidRPr="00070122">
        <w:rPr>
          <w:rFonts w:cs="CMU Serif Roman"/>
          <w:i/>
          <w:iCs/>
        </w:rPr>
        <w:t>66</w:t>
      </w:r>
      <w:r w:rsidRPr="00070122">
        <w:rPr>
          <w:rFonts w:cs="CMU Serif Roman"/>
        </w:rPr>
        <w:t>(1), 153–163. https://doi.org/10.1007/s40732-015-0160-1</w:t>
      </w:r>
    </w:p>
    <w:p w14:paraId="5A5AB064" w14:textId="77777777" w:rsidR="00070122" w:rsidRPr="00070122" w:rsidRDefault="00070122" w:rsidP="00070122">
      <w:pPr>
        <w:pStyle w:val="Bibliography"/>
        <w:rPr>
          <w:rFonts w:cs="CMU Serif Roman"/>
        </w:rPr>
      </w:pPr>
      <w:r w:rsidRPr="00070122">
        <w:rPr>
          <w:rFonts w:cs="CMU Serif Roman"/>
        </w:rPr>
        <w:t xml:space="preserve">Finn, M., Barnes-Holmes, D., Hussey, I., &amp; Graddy, J. (2016). Exploring the Behavioral Dynamics of the Implicit Relational Assessment Procedure: The Impact of Three Types of Introductory Rules. </w:t>
      </w:r>
      <w:r w:rsidRPr="00070122">
        <w:rPr>
          <w:rFonts w:cs="CMU Serif Roman"/>
          <w:i/>
          <w:iCs/>
        </w:rPr>
        <w:t>The Psychological Record</w:t>
      </w:r>
      <w:r w:rsidRPr="00070122">
        <w:rPr>
          <w:rFonts w:cs="CMU Serif Roman"/>
        </w:rPr>
        <w:t>, 1–13.</w:t>
      </w:r>
    </w:p>
    <w:p w14:paraId="642DCBB6" w14:textId="77777777" w:rsidR="00070122" w:rsidRPr="00070122" w:rsidRDefault="00070122" w:rsidP="00070122">
      <w:pPr>
        <w:pStyle w:val="Bibliography"/>
        <w:rPr>
          <w:rFonts w:cs="CMU Serif Roman"/>
        </w:rPr>
      </w:pPr>
      <w:r w:rsidRPr="00070122">
        <w:rPr>
          <w:rFonts w:cs="CMU Serif Roman"/>
        </w:rPr>
        <w:t xml:space="preserve">Gawronski, B., &amp; De Houwer, J. (2011). Implicit measures in social and personality psychology. In C. M. Judd (Ed.), </w:t>
      </w:r>
      <w:r w:rsidRPr="00070122">
        <w:rPr>
          <w:rFonts w:cs="CMU Serif Roman"/>
          <w:i/>
          <w:iCs/>
        </w:rPr>
        <w:t>Handbook of research methods in social and personality psychology</w:t>
      </w:r>
      <w:r w:rsidRPr="00070122">
        <w:rPr>
          <w:rFonts w:cs="CMU Serif Roman"/>
        </w:rPr>
        <w:t xml:space="preserve"> (Vol. 2). Cambridge University Press. 10.1017/CBO9780511996481.016</w:t>
      </w:r>
    </w:p>
    <w:p w14:paraId="4BECE7B9" w14:textId="77777777" w:rsidR="00070122" w:rsidRPr="00070122" w:rsidRDefault="00070122" w:rsidP="00070122">
      <w:pPr>
        <w:pStyle w:val="Bibliography"/>
        <w:rPr>
          <w:rFonts w:cs="CMU Serif Roman"/>
        </w:rPr>
      </w:pPr>
      <w:r w:rsidRPr="00070122">
        <w:rPr>
          <w:rFonts w:cs="CMU Serif Roman"/>
        </w:rPr>
        <w:t xml:space="preserve">Golijani-Moghaddam, N., Hart, A., &amp; Dawson, D. L. (2013). The Implicit Relational Assessment Procedure: Emerging reliability and validity data. </w:t>
      </w:r>
      <w:r w:rsidRPr="00070122">
        <w:rPr>
          <w:rFonts w:cs="CMU Serif Roman"/>
          <w:i/>
          <w:iCs/>
        </w:rPr>
        <w:t>Journal of Contextual Behavioral Science</w:t>
      </w:r>
      <w:r w:rsidRPr="00070122">
        <w:rPr>
          <w:rFonts w:cs="CMU Serif Roman"/>
        </w:rPr>
        <w:t xml:space="preserve">, </w:t>
      </w:r>
      <w:r w:rsidRPr="00070122">
        <w:rPr>
          <w:rFonts w:cs="CMU Serif Roman"/>
          <w:i/>
          <w:iCs/>
        </w:rPr>
        <w:t>2</w:t>
      </w:r>
      <w:r w:rsidRPr="00070122">
        <w:rPr>
          <w:rFonts w:cs="CMU Serif Roman"/>
        </w:rPr>
        <w:t>(3–4), 105–119. https://doi.org/10.1016/j.jcbs.2013.05.002</w:t>
      </w:r>
    </w:p>
    <w:p w14:paraId="5A827F8B" w14:textId="77777777" w:rsidR="00070122" w:rsidRPr="00070122" w:rsidRDefault="00070122" w:rsidP="00070122">
      <w:pPr>
        <w:pStyle w:val="Bibliography"/>
        <w:rPr>
          <w:rFonts w:cs="CMU Serif Roman"/>
        </w:rPr>
      </w:pPr>
      <w:r w:rsidRPr="00070122">
        <w:rPr>
          <w:rFonts w:cs="CMU Serif Roman"/>
        </w:rPr>
        <w:t xml:space="preserve">Greenwald, A. G., &amp; Lai, C. K. (2020). Implicit Social Cognition. </w:t>
      </w:r>
      <w:r w:rsidRPr="00070122">
        <w:rPr>
          <w:rFonts w:cs="CMU Serif Roman"/>
          <w:i/>
          <w:iCs/>
        </w:rPr>
        <w:t>Annual Review of Psychology</w:t>
      </w:r>
      <w:r w:rsidRPr="00070122">
        <w:rPr>
          <w:rFonts w:cs="CMU Serif Roman"/>
        </w:rPr>
        <w:t xml:space="preserve">, </w:t>
      </w:r>
      <w:r w:rsidRPr="00070122">
        <w:rPr>
          <w:rFonts w:cs="CMU Serif Roman"/>
          <w:i/>
          <w:iCs/>
        </w:rPr>
        <w:t>71</w:t>
      </w:r>
      <w:r w:rsidRPr="00070122">
        <w:rPr>
          <w:rFonts w:cs="CMU Serif Roman"/>
        </w:rPr>
        <w:t>(1), 419–445. https://doi.org/10.1146/annurev-psych-010419-050837</w:t>
      </w:r>
    </w:p>
    <w:p w14:paraId="5B63E171" w14:textId="77777777" w:rsidR="00070122" w:rsidRPr="00070122" w:rsidRDefault="00070122" w:rsidP="00070122">
      <w:pPr>
        <w:pStyle w:val="Bibliography"/>
        <w:rPr>
          <w:rFonts w:cs="CMU Serif Roman"/>
        </w:rPr>
      </w:pPr>
      <w:r w:rsidRPr="00070122">
        <w:rPr>
          <w:rFonts w:cs="CMU Serif Roman"/>
        </w:rPr>
        <w:lastRenderedPageBreak/>
        <w:t xml:space="preserve">Greenwald, A. G., McGhee, D. E., &amp; Schwartz, J. L. (1998). Measuring individual differences in implicit cognition: The Implicit Association Test. </w:t>
      </w:r>
      <w:r w:rsidRPr="00070122">
        <w:rPr>
          <w:rFonts w:cs="CMU Serif Roman"/>
          <w:i/>
          <w:iCs/>
        </w:rPr>
        <w:t>Journal of Personality and Social Psychology</w:t>
      </w:r>
      <w:r w:rsidRPr="00070122">
        <w:rPr>
          <w:rFonts w:cs="CMU Serif Roman"/>
        </w:rPr>
        <w:t xml:space="preserve">, </w:t>
      </w:r>
      <w:r w:rsidRPr="00070122">
        <w:rPr>
          <w:rFonts w:cs="CMU Serif Roman"/>
          <w:i/>
          <w:iCs/>
        </w:rPr>
        <w:t>74</w:t>
      </w:r>
      <w:r w:rsidRPr="00070122">
        <w:rPr>
          <w:rFonts w:cs="CMU Serif Roman"/>
        </w:rPr>
        <w:t>(6), 1464–1480. https://doi.org/10.1037/0022-3514.74.6.1464</w:t>
      </w:r>
    </w:p>
    <w:p w14:paraId="21CCA61C" w14:textId="77777777" w:rsidR="00070122" w:rsidRPr="00070122" w:rsidRDefault="00070122" w:rsidP="00070122">
      <w:pPr>
        <w:pStyle w:val="Bibliography"/>
        <w:rPr>
          <w:rFonts w:cs="CMU Serif Roman"/>
        </w:rPr>
      </w:pPr>
      <w:r w:rsidRPr="00070122">
        <w:rPr>
          <w:rFonts w:cs="CMU Serif Roman"/>
        </w:rPr>
        <w:t xml:space="preserve">Hayes, S. C., &amp; Brownstein, A. J. (1986). Mentalism, behavior-behavior relations and a behavior-analytic view of the purposes of science. </w:t>
      </w:r>
      <w:r w:rsidRPr="00070122">
        <w:rPr>
          <w:rFonts w:cs="CMU Serif Roman"/>
          <w:i/>
          <w:iCs/>
        </w:rPr>
        <w:t>The Behavior Analyst</w:t>
      </w:r>
      <w:r w:rsidRPr="00070122">
        <w:rPr>
          <w:rFonts w:cs="CMU Serif Roman"/>
        </w:rPr>
        <w:t xml:space="preserve">, </w:t>
      </w:r>
      <w:r w:rsidRPr="00070122">
        <w:rPr>
          <w:rFonts w:cs="CMU Serif Roman"/>
          <w:i/>
          <w:iCs/>
        </w:rPr>
        <w:t>9</w:t>
      </w:r>
      <w:r w:rsidRPr="00070122">
        <w:rPr>
          <w:rFonts w:cs="CMU Serif Roman"/>
        </w:rPr>
        <w:t>, 175–190.</w:t>
      </w:r>
    </w:p>
    <w:p w14:paraId="430D55E4" w14:textId="77777777" w:rsidR="00070122" w:rsidRPr="00070122" w:rsidRDefault="00070122" w:rsidP="00070122">
      <w:pPr>
        <w:pStyle w:val="Bibliography"/>
        <w:rPr>
          <w:rFonts w:cs="CMU Serif Roman"/>
        </w:rPr>
      </w:pPr>
      <w:r w:rsidRPr="00070122">
        <w:rPr>
          <w:rFonts w:cs="CMU Serif Roman"/>
        </w:rPr>
        <w:t xml:space="preserve">Hussey, I. (2020). The IRAP is not suitable for individual use due to very wide confidence intervals around D scores. </w:t>
      </w:r>
      <w:r w:rsidRPr="00070122">
        <w:rPr>
          <w:rFonts w:cs="CMU Serif Roman"/>
          <w:i/>
          <w:iCs/>
        </w:rPr>
        <w:t>Preprint</w:t>
      </w:r>
      <w:r w:rsidRPr="00070122">
        <w:rPr>
          <w:rFonts w:cs="CMU Serif Roman"/>
        </w:rPr>
        <w:t>. https://doi.org/10.31234/osf.io/w2ygr</w:t>
      </w:r>
    </w:p>
    <w:p w14:paraId="71A4DDDF" w14:textId="77777777" w:rsidR="00070122" w:rsidRPr="00070122" w:rsidRDefault="00070122" w:rsidP="00070122">
      <w:pPr>
        <w:pStyle w:val="Bibliography"/>
        <w:rPr>
          <w:rFonts w:cs="CMU Serif Roman"/>
        </w:rPr>
      </w:pPr>
      <w:r w:rsidRPr="00070122">
        <w:rPr>
          <w:rFonts w:cs="CMU Serif Roman"/>
        </w:rPr>
        <w:t xml:space="preserve">Hussey, I., Barnes-Holmes, D., &amp; Barnes-Holmes, Y. (2015). From Relational Frame Theory to implicit attitudes and back again: Clarifying the link between RFT and IRAP research. </w:t>
      </w:r>
      <w:r w:rsidRPr="00070122">
        <w:rPr>
          <w:rFonts w:cs="CMU Serif Roman"/>
          <w:i/>
          <w:iCs/>
        </w:rPr>
        <w:t>Current Opinion in Psychology</w:t>
      </w:r>
      <w:r w:rsidRPr="00070122">
        <w:rPr>
          <w:rFonts w:cs="CMU Serif Roman"/>
        </w:rPr>
        <w:t xml:space="preserve">, </w:t>
      </w:r>
      <w:r w:rsidRPr="00070122">
        <w:rPr>
          <w:rFonts w:cs="CMU Serif Roman"/>
          <w:i/>
          <w:iCs/>
        </w:rPr>
        <w:t>2</w:t>
      </w:r>
      <w:r w:rsidRPr="00070122">
        <w:rPr>
          <w:rFonts w:cs="CMU Serif Roman"/>
        </w:rPr>
        <w:t>, 11–15. https://doi.org/10.1016/j.copsyc.2014.12.009</w:t>
      </w:r>
    </w:p>
    <w:p w14:paraId="5CE0B03E" w14:textId="77777777" w:rsidR="00070122" w:rsidRPr="00070122" w:rsidRDefault="00070122" w:rsidP="00070122">
      <w:pPr>
        <w:pStyle w:val="Bibliography"/>
        <w:rPr>
          <w:rFonts w:cs="CMU Serif Roman"/>
        </w:rPr>
      </w:pPr>
      <w:r w:rsidRPr="00070122">
        <w:rPr>
          <w:rFonts w:cs="CMU Serif Roman"/>
        </w:rPr>
        <w:t xml:space="preserve">Hussey, I., Daly, T., &amp; Barnes-Holmes, D. (2015). Life is Good, But Death Ain’t Bad Either: Counter-Intuitive Implicit Biases to Death in a Normative Population. </w:t>
      </w:r>
      <w:r w:rsidRPr="00070122">
        <w:rPr>
          <w:rFonts w:cs="CMU Serif Roman"/>
          <w:i/>
          <w:iCs/>
        </w:rPr>
        <w:t>The Psychological Record</w:t>
      </w:r>
      <w:r w:rsidRPr="00070122">
        <w:rPr>
          <w:rFonts w:cs="CMU Serif Roman"/>
        </w:rPr>
        <w:t xml:space="preserve">, </w:t>
      </w:r>
      <w:r w:rsidRPr="00070122">
        <w:rPr>
          <w:rFonts w:cs="CMU Serif Roman"/>
          <w:i/>
          <w:iCs/>
        </w:rPr>
        <w:t>65</w:t>
      </w:r>
      <w:r w:rsidRPr="00070122">
        <w:rPr>
          <w:rFonts w:cs="CMU Serif Roman"/>
        </w:rPr>
        <w:t>(4), 731–742. https://doi.org/10.1007/s40732-015-0142-3</w:t>
      </w:r>
    </w:p>
    <w:p w14:paraId="32D61AA8" w14:textId="77777777" w:rsidR="00070122" w:rsidRPr="00070122" w:rsidRDefault="00070122" w:rsidP="00070122">
      <w:pPr>
        <w:pStyle w:val="Bibliography"/>
        <w:rPr>
          <w:rFonts w:cs="CMU Serif Roman"/>
        </w:rPr>
      </w:pPr>
      <w:r w:rsidRPr="00070122">
        <w:rPr>
          <w:rFonts w:cs="CMU Serif Roman"/>
        </w:rPr>
        <w:t xml:space="preserve">Hussey, I., &amp; Hughes, S. (2020). Hidden Invalidity Among 15 Commonly Used Measures in Social and Personality Psychology. </w:t>
      </w:r>
      <w:r w:rsidRPr="00070122">
        <w:rPr>
          <w:rFonts w:cs="CMU Serif Roman"/>
          <w:i/>
          <w:iCs/>
        </w:rPr>
        <w:t xml:space="preserve">Advances in Methods and </w:t>
      </w:r>
      <w:r w:rsidRPr="00070122">
        <w:rPr>
          <w:rFonts w:cs="CMU Serif Roman"/>
          <w:i/>
          <w:iCs/>
        </w:rPr>
        <w:lastRenderedPageBreak/>
        <w:t>Practices in Psychological Science</w:t>
      </w:r>
      <w:r w:rsidRPr="00070122">
        <w:rPr>
          <w:rFonts w:cs="CMU Serif Roman"/>
        </w:rPr>
        <w:t>, 2515245919882903. https://doi.org/10.1177/2515245919882903</w:t>
      </w:r>
    </w:p>
    <w:p w14:paraId="5AC97A98" w14:textId="77777777" w:rsidR="00070122" w:rsidRPr="00070122" w:rsidRDefault="00070122" w:rsidP="00070122">
      <w:pPr>
        <w:pStyle w:val="Bibliography"/>
        <w:rPr>
          <w:rFonts w:cs="CMU Serif Roman"/>
        </w:rPr>
      </w:pPr>
      <w:r w:rsidRPr="00070122">
        <w:rPr>
          <w:rFonts w:cs="CMU Serif Roman"/>
        </w:rPr>
        <w:t xml:space="preserve">Hussey, I., Mhaoileoin, D. N., Barnes-Holmes, D., Ohtsuki, T., Kishita, N., Hughes, S., &amp; Murphy, C. (2016). The IRAP Is Nonrelative but not </w:t>
      </w:r>
      <w:proofErr w:type="spellStart"/>
      <w:r w:rsidRPr="00070122">
        <w:rPr>
          <w:rFonts w:cs="CMU Serif Roman"/>
        </w:rPr>
        <w:t>Acontextual</w:t>
      </w:r>
      <w:proofErr w:type="spellEnd"/>
      <w:r w:rsidRPr="00070122">
        <w:rPr>
          <w:rFonts w:cs="CMU Serif Roman"/>
        </w:rPr>
        <w:t xml:space="preserve">: Changes to the Contrast Category Influence Men’s Dehumanization of Women. </w:t>
      </w:r>
      <w:r w:rsidRPr="00070122">
        <w:rPr>
          <w:rFonts w:cs="CMU Serif Roman"/>
          <w:i/>
          <w:iCs/>
        </w:rPr>
        <w:t>The Psychological Record</w:t>
      </w:r>
      <w:r w:rsidRPr="00070122">
        <w:rPr>
          <w:rFonts w:cs="CMU Serif Roman"/>
        </w:rPr>
        <w:t xml:space="preserve">, </w:t>
      </w:r>
      <w:r w:rsidRPr="00070122">
        <w:rPr>
          <w:rFonts w:cs="CMU Serif Roman"/>
          <w:i/>
          <w:iCs/>
        </w:rPr>
        <w:t>66</w:t>
      </w:r>
      <w:r w:rsidRPr="00070122">
        <w:rPr>
          <w:rFonts w:cs="CMU Serif Roman"/>
        </w:rPr>
        <w:t>(2), 291–299. https://doi.org/10.1007/s40732-016-0171-6</w:t>
      </w:r>
    </w:p>
    <w:p w14:paraId="7E70F1B5" w14:textId="77777777" w:rsidR="00070122" w:rsidRPr="00070122" w:rsidRDefault="00070122" w:rsidP="00070122">
      <w:pPr>
        <w:pStyle w:val="Bibliography"/>
        <w:rPr>
          <w:rFonts w:cs="CMU Serif Roman"/>
        </w:rPr>
      </w:pPr>
      <w:r w:rsidRPr="00070122">
        <w:rPr>
          <w:rFonts w:cs="CMU Serif Roman"/>
        </w:rPr>
        <w:t xml:space="preserve">Hussey, I., Thompson, M., McEnteggart, C., Barnes-Holmes, D., &amp; Barnes-Holmes, Y. (2015). Interpreting and inverting with less cursing: A guide to interpreting IRAP data. </w:t>
      </w:r>
      <w:r w:rsidRPr="00070122">
        <w:rPr>
          <w:rFonts w:cs="CMU Serif Roman"/>
          <w:i/>
          <w:iCs/>
        </w:rPr>
        <w:t>Journal of Contextual Behavioral Science</w:t>
      </w:r>
      <w:r w:rsidRPr="00070122">
        <w:rPr>
          <w:rFonts w:cs="CMU Serif Roman"/>
        </w:rPr>
        <w:t xml:space="preserve">, </w:t>
      </w:r>
      <w:r w:rsidRPr="00070122">
        <w:rPr>
          <w:rFonts w:cs="CMU Serif Roman"/>
          <w:i/>
          <w:iCs/>
        </w:rPr>
        <w:t>4</w:t>
      </w:r>
      <w:r w:rsidRPr="00070122">
        <w:rPr>
          <w:rFonts w:cs="CMU Serif Roman"/>
        </w:rPr>
        <w:t>(3), 157–162. https://doi.org/10.1016/j.jcbs.2015.05.001</w:t>
      </w:r>
    </w:p>
    <w:p w14:paraId="4DF59A73" w14:textId="77777777" w:rsidR="00070122" w:rsidRPr="00070122" w:rsidRDefault="00070122" w:rsidP="00070122">
      <w:pPr>
        <w:pStyle w:val="Bibliography"/>
        <w:rPr>
          <w:rFonts w:cs="CMU Serif Roman"/>
        </w:rPr>
      </w:pPr>
      <w:r w:rsidRPr="00070122">
        <w:rPr>
          <w:rFonts w:cs="CMU Serif Roman"/>
        </w:rPr>
        <w:t xml:space="preserve">Loevinger, J. (1957). Objective Tests as Instruments of Psychological Theory. </w:t>
      </w:r>
      <w:r w:rsidRPr="00070122">
        <w:rPr>
          <w:rFonts w:cs="CMU Serif Roman"/>
          <w:i/>
          <w:iCs/>
        </w:rPr>
        <w:t>Psychological Reports</w:t>
      </w:r>
      <w:r w:rsidRPr="00070122">
        <w:rPr>
          <w:rFonts w:cs="CMU Serif Roman"/>
        </w:rPr>
        <w:t xml:space="preserve">, </w:t>
      </w:r>
      <w:r w:rsidRPr="00070122">
        <w:rPr>
          <w:rFonts w:cs="CMU Serif Roman"/>
          <w:i/>
          <w:iCs/>
        </w:rPr>
        <w:t>3</w:t>
      </w:r>
      <w:r w:rsidRPr="00070122">
        <w:rPr>
          <w:rFonts w:cs="CMU Serif Roman"/>
        </w:rPr>
        <w:t>(3), 635–694. https://doi.org/10.2466/pr0.1957.3.3.635</w:t>
      </w:r>
    </w:p>
    <w:p w14:paraId="6233049E" w14:textId="77777777" w:rsidR="00070122" w:rsidRPr="00070122" w:rsidRDefault="00070122" w:rsidP="00070122">
      <w:pPr>
        <w:pStyle w:val="Bibliography"/>
        <w:rPr>
          <w:rFonts w:cs="CMU Serif Roman"/>
        </w:rPr>
      </w:pPr>
      <w:r w:rsidRPr="00070122">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070122">
        <w:rPr>
          <w:rFonts w:cs="CMU Serif Roman"/>
          <w:i/>
          <w:iCs/>
        </w:rPr>
        <w:t>Journal of Behavior Therapy and Experimental Psychiatry</w:t>
      </w:r>
      <w:r w:rsidRPr="00070122">
        <w:rPr>
          <w:rFonts w:cs="CMU Serif Roman"/>
        </w:rPr>
        <w:t xml:space="preserve">, </w:t>
      </w:r>
      <w:r w:rsidRPr="00070122">
        <w:rPr>
          <w:rFonts w:cs="CMU Serif Roman"/>
          <w:i/>
          <w:iCs/>
        </w:rPr>
        <w:t>43</w:t>
      </w:r>
      <w:r w:rsidRPr="00070122">
        <w:rPr>
          <w:rFonts w:cs="CMU Serif Roman"/>
        </w:rPr>
        <w:t>(3), 922–930. https://doi.org/10.1016/j.jbtep.2012.02.001</w:t>
      </w:r>
    </w:p>
    <w:p w14:paraId="5A450F3E" w14:textId="77777777" w:rsidR="00070122" w:rsidRPr="00070122" w:rsidRDefault="00070122" w:rsidP="00070122">
      <w:pPr>
        <w:pStyle w:val="Bibliography"/>
        <w:rPr>
          <w:rFonts w:cs="CMU Serif Roman"/>
        </w:rPr>
      </w:pPr>
      <w:r w:rsidRPr="00070122">
        <w:rPr>
          <w:rFonts w:cs="CMU Serif Roman"/>
        </w:rPr>
        <w:t xml:space="preserve">Nosek, B. A., Bar-Anan, Y., Sriram, N., &amp; Greenwald, A. G. (2013). </w:t>
      </w:r>
      <w:r w:rsidRPr="00070122">
        <w:rPr>
          <w:rFonts w:cs="CMU Serif Roman"/>
          <w:i/>
          <w:iCs/>
        </w:rPr>
        <w:t>Understanding and using the Brief Implicit Association Test: Recommended scoring procedures</w:t>
      </w:r>
      <w:r w:rsidRPr="00070122">
        <w:rPr>
          <w:rFonts w:cs="CMU Serif Roman"/>
        </w:rPr>
        <w:t xml:space="preserve"> [Unpublished manuscript.]. http://ssrn.com/abstract=2196002</w:t>
      </w:r>
    </w:p>
    <w:p w14:paraId="2666A24E" w14:textId="77777777" w:rsidR="00070122" w:rsidRPr="00070122" w:rsidRDefault="00070122" w:rsidP="00070122">
      <w:pPr>
        <w:pStyle w:val="Bibliography"/>
        <w:rPr>
          <w:rFonts w:cs="CMU Serif Roman"/>
        </w:rPr>
      </w:pPr>
      <w:r w:rsidRPr="00070122">
        <w:rPr>
          <w:rFonts w:cs="CMU Serif Roman"/>
        </w:rPr>
        <w:lastRenderedPageBreak/>
        <w:t xml:space="preserve">Olkin, I., </w:t>
      </w:r>
      <w:proofErr w:type="spellStart"/>
      <w:r w:rsidRPr="00070122">
        <w:rPr>
          <w:rFonts w:cs="CMU Serif Roman"/>
        </w:rPr>
        <w:t>Dahabreh</w:t>
      </w:r>
      <w:proofErr w:type="spellEnd"/>
      <w:r w:rsidRPr="00070122">
        <w:rPr>
          <w:rFonts w:cs="CMU Serif Roman"/>
        </w:rPr>
        <w:t xml:space="preserve">, I. J., &amp; </w:t>
      </w:r>
      <w:proofErr w:type="spellStart"/>
      <w:r w:rsidRPr="00070122">
        <w:rPr>
          <w:rFonts w:cs="CMU Serif Roman"/>
        </w:rPr>
        <w:t>Trikalinos</w:t>
      </w:r>
      <w:proofErr w:type="spellEnd"/>
      <w:r w:rsidRPr="00070122">
        <w:rPr>
          <w:rFonts w:cs="CMU Serif Roman"/>
        </w:rPr>
        <w:t xml:space="preserve">, T. A. (2012). GOSH - a graphical display of study heterogeneity. </w:t>
      </w:r>
      <w:r w:rsidRPr="00070122">
        <w:rPr>
          <w:rFonts w:cs="CMU Serif Roman"/>
          <w:i/>
          <w:iCs/>
        </w:rPr>
        <w:t>Research Synthesis Methods</w:t>
      </w:r>
      <w:r w:rsidRPr="00070122">
        <w:rPr>
          <w:rFonts w:cs="CMU Serif Roman"/>
        </w:rPr>
        <w:t xml:space="preserve">, </w:t>
      </w:r>
      <w:r w:rsidRPr="00070122">
        <w:rPr>
          <w:rFonts w:cs="CMU Serif Roman"/>
          <w:i/>
          <w:iCs/>
        </w:rPr>
        <w:t>3</w:t>
      </w:r>
      <w:r w:rsidRPr="00070122">
        <w:rPr>
          <w:rFonts w:cs="CMU Serif Roman"/>
        </w:rPr>
        <w:t>(3), 214–223. https://doi.org/10.1002/jrsm.1053</w:t>
      </w:r>
    </w:p>
    <w:p w14:paraId="4A6D4993" w14:textId="77777777" w:rsidR="00070122" w:rsidRPr="00070122" w:rsidRDefault="00070122" w:rsidP="00070122">
      <w:pPr>
        <w:pStyle w:val="Bibliography"/>
        <w:rPr>
          <w:rFonts w:cs="CMU Serif Roman"/>
        </w:rPr>
      </w:pPr>
      <w:r w:rsidRPr="00070122">
        <w:rPr>
          <w:rFonts w:cs="CMU Serif Roman"/>
        </w:rPr>
        <w:t xml:space="preserve">Parsons, S. (2018). </w:t>
      </w:r>
      <w:proofErr w:type="spellStart"/>
      <w:r w:rsidRPr="00070122">
        <w:rPr>
          <w:rFonts w:cs="CMU Serif Roman"/>
          <w:i/>
          <w:iCs/>
        </w:rPr>
        <w:t>Visualising</w:t>
      </w:r>
      <w:proofErr w:type="spellEnd"/>
      <w:r w:rsidRPr="00070122">
        <w:rPr>
          <w:rFonts w:cs="CMU Serif Roman"/>
          <w:i/>
          <w:iCs/>
        </w:rPr>
        <w:t xml:space="preserve"> two approaches to explore reliability-power relationships</w:t>
      </w:r>
      <w:r w:rsidRPr="00070122">
        <w:rPr>
          <w:rFonts w:cs="CMU Serif Roman"/>
        </w:rPr>
        <w:t>. https://doi.org/10.31234/osf.io/qh5mf</w:t>
      </w:r>
    </w:p>
    <w:p w14:paraId="5DAC71EE" w14:textId="77777777" w:rsidR="00070122" w:rsidRPr="00070122" w:rsidRDefault="00070122" w:rsidP="00070122">
      <w:pPr>
        <w:pStyle w:val="Bibliography"/>
        <w:rPr>
          <w:rFonts w:cs="CMU Serif Roman"/>
        </w:rPr>
      </w:pPr>
      <w:r w:rsidRPr="00070122">
        <w:rPr>
          <w:rFonts w:cs="CMU Serif Roman"/>
        </w:rPr>
        <w:t xml:space="preserve">Parsons, S., </w:t>
      </w:r>
      <w:proofErr w:type="spellStart"/>
      <w:r w:rsidRPr="00070122">
        <w:rPr>
          <w:rFonts w:cs="CMU Serif Roman"/>
        </w:rPr>
        <w:t>Kruijt</w:t>
      </w:r>
      <w:proofErr w:type="spellEnd"/>
      <w:r w:rsidRPr="00070122">
        <w:rPr>
          <w:rFonts w:cs="CMU Serif Roman"/>
        </w:rPr>
        <w:t xml:space="preserve">, A.-W., &amp; Fox, E. (2019). Psychological Science Needs a Standard Practice of Reporting the Reliability of Cognitive-Behavioral Measurements. </w:t>
      </w:r>
      <w:r w:rsidRPr="00070122">
        <w:rPr>
          <w:rFonts w:cs="CMU Serif Roman"/>
          <w:i/>
          <w:iCs/>
        </w:rPr>
        <w:t>Advances in Methods and Practices in Psychological Science</w:t>
      </w:r>
      <w:r w:rsidRPr="00070122">
        <w:rPr>
          <w:rFonts w:cs="CMU Serif Roman"/>
        </w:rPr>
        <w:t xml:space="preserve">, </w:t>
      </w:r>
      <w:r w:rsidRPr="00070122">
        <w:rPr>
          <w:rFonts w:cs="CMU Serif Roman"/>
          <w:i/>
          <w:iCs/>
        </w:rPr>
        <w:t>2</w:t>
      </w:r>
      <w:r w:rsidRPr="00070122">
        <w:rPr>
          <w:rFonts w:cs="CMU Serif Roman"/>
        </w:rPr>
        <w:t>(4), 378–395. https://doi.org/10.1177/2515245919879695</w:t>
      </w:r>
    </w:p>
    <w:p w14:paraId="3B9B9605" w14:textId="77777777" w:rsidR="00070122" w:rsidRPr="00070122" w:rsidRDefault="00070122" w:rsidP="00070122">
      <w:pPr>
        <w:pStyle w:val="Bibliography"/>
        <w:rPr>
          <w:rFonts w:cs="CMU Serif Roman"/>
        </w:rPr>
      </w:pPr>
      <w:r w:rsidRPr="00070122">
        <w:rPr>
          <w:rFonts w:cs="CMU Serif Roman"/>
        </w:rPr>
        <w:t xml:space="preserve">Post, M. W. (2016). What to Do With “Moderate” Reliability and Validity Coefficients? </w:t>
      </w:r>
      <w:r w:rsidRPr="00070122">
        <w:rPr>
          <w:rFonts w:cs="CMU Serif Roman"/>
          <w:i/>
          <w:iCs/>
        </w:rPr>
        <w:t>Archives of Physical Medicine and Rehabilitation</w:t>
      </w:r>
      <w:r w:rsidRPr="00070122">
        <w:rPr>
          <w:rFonts w:cs="CMU Serif Roman"/>
        </w:rPr>
        <w:t xml:space="preserve">, </w:t>
      </w:r>
      <w:r w:rsidRPr="00070122">
        <w:rPr>
          <w:rFonts w:cs="CMU Serif Roman"/>
          <w:i/>
          <w:iCs/>
        </w:rPr>
        <w:t>97</w:t>
      </w:r>
      <w:r w:rsidRPr="00070122">
        <w:rPr>
          <w:rFonts w:cs="CMU Serif Roman"/>
        </w:rPr>
        <w:t>(7), 1051–1052. https://doi.org/10.1016/j.apmr.2016.04.001</w:t>
      </w:r>
    </w:p>
    <w:p w14:paraId="5AD7207F" w14:textId="77777777" w:rsidR="00070122" w:rsidRPr="00070122" w:rsidRDefault="00070122" w:rsidP="00070122">
      <w:pPr>
        <w:pStyle w:val="Bibliography"/>
        <w:rPr>
          <w:rFonts w:cs="CMU Serif Roman"/>
        </w:rPr>
      </w:pPr>
      <w:r w:rsidRPr="00070122">
        <w:rPr>
          <w:rFonts w:cs="CMU Serif Roman"/>
        </w:rPr>
        <w:t xml:space="preserve">R Core Team. (2020). </w:t>
      </w:r>
      <w:r w:rsidRPr="00070122">
        <w:rPr>
          <w:rFonts w:cs="CMU Serif Roman"/>
          <w:i/>
          <w:iCs/>
        </w:rPr>
        <w:t>R: A language and environment for statistical computing</w:t>
      </w:r>
      <w:r w:rsidRPr="00070122">
        <w:rPr>
          <w:rFonts w:cs="CMU Serif Roman"/>
        </w:rPr>
        <w:t xml:space="preserve"> (Version 4.0) [Computer software]. R Foundation for Statistical Computing. https://www.R-project.org/</w:t>
      </w:r>
    </w:p>
    <w:p w14:paraId="0A068A72" w14:textId="77777777" w:rsidR="00070122" w:rsidRPr="00070122" w:rsidRDefault="00070122" w:rsidP="00070122">
      <w:pPr>
        <w:pStyle w:val="Bibliography"/>
        <w:rPr>
          <w:rFonts w:cs="CMU Serif Roman"/>
        </w:rPr>
      </w:pPr>
      <w:r w:rsidRPr="00070122">
        <w:rPr>
          <w:rFonts w:cs="CMU Serif Roman"/>
        </w:rPr>
        <w:t xml:space="preserve">Revelle, W. (2016). </w:t>
      </w:r>
      <w:r w:rsidRPr="00070122">
        <w:rPr>
          <w:rFonts w:cs="CMU Serif Roman"/>
          <w:i/>
          <w:iCs/>
        </w:rPr>
        <w:t>psych: Procedures for Psychological, Psychometric, and Personality Research</w:t>
      </w:r>
      <w:r w:rsidRPr="00070122">
        <w:rPr>
          <w:rFonts w:cs="CMU Serif Roman"/>
        </w:rPr>
        <w:t>. Northwestern University. http://CRAN.R-project.org/package=psych</w:t>
      </w:r>
    </w:p>
    <w:p w14:paraId="37F9F6E1" w14:textId="77777777" w:rsidR="00070122" w:rsidRPr="00070122" w:rsidRDefault="00070122" w:rsidP="00070122">
      <w:pPr>
        <w:pStyle w:val="Bibliography"/>
        <w:rPr>
          <w:rFonts w:cs="CMU Serif Roman"/>
        </w:rPr>
      </w:pPr>
      <w:r w:rsidRPr="00070122">
        <w:rPr>
          <w:rFonts w:cs="CMU Serif Roman"/>
        </w:rPr>
        <w:t xml:space="preserve">Vahey, N. A., Nicholson, E., &amp; Barnes-Holmes, D. (2015). A meta-analysis of criterion effects for the Implicit Relational Assessment Procedure (IRAP) in </w:t>
      </w:r>
      <w:r w:rsidRPr="00070122">
        <w:rPr>
          <w:rFonts w:cs="CMU Serif Roman"/>
        </w:rPr>
        <w:lastRenderedPageBreak/>
        <w:t xml:space="preserve">the clinical domain. </w:t>
      </w:r>
      <w:r w:rsidRPr="00070122">
        <w:rPr>
          <w:rFonts w:cs="CMU Serif Roman"/>
          <w:i/>
          <w:iCs/>
        </w:rPr>
        <w:t>Journal of Behavior Therapy and Experimental Psychiatry</w:t>
      </w:r>
      <w:r w:rsidRPr="00070122">
        <w:rPr>
          <w:rFonts w:cs="CMU Serif Roman"/>
        </w:rPr>
        <w:t xml:space="preserve">, </w:t>
      </w:r>
      <w:r w:rsidRPr="00070122">
        <w:rPr>
          <w:rFonts w:cs="CMU Serif Roman"/>
          <w:i/>
          <w:iCs/>
        </w:rPr>
        <w:t>48</w:t>
      </w:r>
      <w:r w:rsidRPr="00070122">
        <w:rPr>
          <w:rFonts w:cs="CMU Serif Roman"/>
        </w:rPr>
        <w:t>, 59–65. https://doi.org/10.1016/j.jbtep.2015.01.004</w:t>
      </w:r>
    </w:p>
    <w:p w14:paraId="0B80E9D0" w14:textId="77777777" w:rsidR="00070122" w:rsidRPr="00070122" w:rsidRDefault="00070122" w:rsidP="00070122">
      <w:pPr>
        <w:pStyle w:val="Bibliography"/>
        <w:rPr>
          <w:rFonts w:cs="CMU Serif Roman"/>
        </w:rPr>
      </w:pPr>
      <w:r w:rsidRPr="00070122">
        <w:rPr>
          <w:rFonts w:cs="CMU Serif Roman"/>
        </w:rPr>
        <w:t xml:space="preserve">Viechtbauer, W. (2010). Conducting Meta-Analyses in R with the metafor Package. </w:t>
      </w:r>
      <w:r w:rsidRPr="00070122">
        <w:rPr>
          <w:rFonts w:cs="CMU Serif Roman"/>
          <w:i/>
          <w:iCs/>
        </w:rPr>
        <w:t>Journal of Statistical Software</w:t>
      </w:r>
      <w:r w:rsidRPr="00070122">
        <w:rPr>
          <w:rFonts w:cs="CMU Serif Roman"/>
        </w:rPr>
        <w:t xml:space="preserve">, </w:t>
      </w:r>
      <w:r w:rsidRPr="00070122">
        <w:rPr>
          <w:rFonts w:cs="CMU Serif Roman"/>
          <w:i/>
          <w:iCs/>
        </w:rPr>
        <w:t>36</w:t>
      </w:r>
      <w:r w:rsidRPr="00070122">
        <w:rPr>
          <w:rFonts w:cs="CMU Serif Roman"/>
        </w:rPr>
        <w:t>(3). https://doi.org/10.18637/jss.v036.i03</w:t>
      </w:r>
    </w:p>
    <w:p w14:paraId="61BE35A5" w14:textId="57805139" w:rsidR="004559D9" w:rsidRPr="00D63ACE" w:rsidRDefault="004559D9" w:rsidP="00061147">
      <w:pPr>
        <w:ind w:firstLine="0"/>
      </w:pPr>
      <w:r w:rsidRPr="00D63ACE">
        <w:fldChar w:fldCharType="end"/>
      </w:r>
    </w:p>
    <w:sectPr w:rsidR="004559D9" w:rsidRPr="00D63ACE" w:rsidSect="00D63ACE">
      <w:headerReference w:type="default" r:id="rId16"/>
      <w:headerReference w:type="first" r:id="rId17"/>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0C29" w14:textId="77777777" w:rsidR="00581FF3" w:rsidRDefault="00581FF3">
      <w:pPr>
        <w:spacing w:line="240" w:lineRule="auto"/>
      </w:pPr>
      <w:r>
        <w:separator/>
      </w:r>
    </w:p>
  </w:endnote>
  <w:endnote w:type="continuationSeparator" w:id="0">
    <w:p w14:paraId="44E7D882" w14:textId="77777777" w:rsidR="00581FF3" w:rsidRDefault="00581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17A48" w14:textId="77777777" w:rsidR="00581FF3" w:rsidRDefault="00581FF3">
      <w:pPr>
        <w:spacing w:line="240" w:lineRule="auto"/>
      </w:pPr>
      <w:r>
        <w:separator/>
      </w:r>
    </w:p>
  </w:footnote>
  <w:footnote w:type="continuationSeparator" w:id="0">
    <w:p w14:paraId="6051AE26" w14:textId="77777777" w:rsidR="00581FF3" w:rsidRDefault="00581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0E6223">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0317"/>
    <w:rsid w:val="000019AA"/>
    <w:rsid w:val="00001B0F"/>
    <w:rsid w:val="00002318"/>
    <w:rsid w:val="0000440C"/>
    <w:rsid w:val="0000486E"/>
    <w:rsid w:val="00011177"/>
    <w:rsid w:val="00011F38"/>
    <w:rsid w:val="000129B1"/>
    <w:rsid w:val="00013419"/>
    <w:rsid w:val="0001363C"/>
    <w:rsid w:val="00015268"/>
    <w:rsid w:val="00020D4D"/>
    <w:rsid w:val="00022908"/>
    <w:rsid w:val="00023216"/>
    <w:rsid w:val="00024935"/>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1AB4"/>
    <w:rsid w:val="000F79F9"/>
    <w:rsid w:val="00100AD2"/>
    <w:rsid w:val="00101406"/>
    <w:rsid w:val="00104062"/>
    <w:rsid w:val="00110D6A"/>
    <w:rsid w:val="00114B45"/>
    <w:rsid w:val="001170E4"/>
    <w:rsid w:val="001205AE"/>
    <w:rsid w:val="00120A8C"/>
    <w:rsid w:val="001214B0"/>
    <w:rsid w:val="00121914"/>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5444"/>
    <w:rsid w:val="00155BF4"/>
    <w:rsid w:val="00156191"/>
    <w:rsid w:val="00160C18"/>
    <w:rsid w:val="00163676"/>
    <w:rsid w:val="001644C7"/>
    <w:rsid w:val="00165502"/>
    <w:rsid w:val="001666E1"/>
    <w:rsid w:val="0016684D"/>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37CE"/>
    <w:rsid w:val="001E39A8"/>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5726"/>
    <w:rsid w:val="002865CC"/>
    <w:rsid w:val="00291858"/>
    <w:rsid w:val="00291CAF"/>
    <w:rsid w:val="0029310E"/>
    <w:rsid w:val="00295676"/>
    <w:rsid w:val="002971FC"/>
    <w:rsid w:val="00297E66"/>
    <w:rsid w:val="002A1BD8"/>
    <w:rsid w:val="002A34C3"/>
    <w:rsid w:val="002A378C"/>
    <w:rsid w:val="002A3C7C"/>
    <w:rsid w:val="002A45EB"/>
    <w:rsid w:val="002A57BE"/>
    <w:rsid w:val="002A5BD2"/>
    <w:rsid w:val="002B0463"/>
    <w:rsid w:val="002B2A33"/>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1C18"/>
    <w:rsid w:val="003832C8"/>
    <w:rsid w:val="00384814"/>
    <w:rsid w:val="00384E07"/>
    <w:rsid w:val="00385DD4"/>
    <w:rsid w:val="003876F7"/>
    <w:rsid w:val="003877DB"/>
    <w:rsid w:val="00387B3F"/>
    <w:rsid w:val="003916A4"/>
    <w:rsid w:val="003929DF"/>
    <w:rsid w:val="003943BB"/>
    <w:rsid w:val="003963AD"/>
    <w:rsid w:val="0039652D"/>
    <w:rsid w:val="003966C3"/>
    <w:rsid w:val="003A20D5"/>
    <w:rsid w:val="003A2284"/>
    <w:rsid w:val="003A6054"/>
    <w:rsid w:val="003A64D6"/>
    <w:rsid w:val="003A67B3"/>
    <w:rsid w:val="003A7F3F"/>
    <w:rsid w:val="003B10DC"/>
    <w:rsid w:val="003B11AF"/>
    <w:rsid w:val="003B16FC"/>
    <w:rsid w:val="003B3B5B"/>
    <w:rsid w:val="003B3D03"/>
    <w:rsid w:val="003B6D96"/>
    <w:rsid w:val="003C1C21"/>
    <w:rsid w:val="003C26CE"/>
    <w:rsid w:val="003C53B5"/>
    <w:rsid w:val="003D0444"/>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4241"/>
    <w:rsid w:val="004264D8"/>
    <w:rsid w:val="0042744C"/>
    <w:rsid w:val="004275BF"/>
    <w:rsid w:val="004316D7"/>
    <w:rsid w:val="0043272C"/>
    <w:rsid w:val="004408F8"/>
    <w:rsid w:val="00441AE6"/>
    <w:rsid w:val="00442A82"/>
    <w:rsid w:val="00442E5C"/>
    <w:rsid w:val="004430F3"/>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634D7"/>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C7E"/>
    <w:rsid w:val="00492FAC"/>
    <w:rsid w:val="0049398C"/>
    <w:rsid w:val="00494B9E"/>
    <w:rsid w:val="00497392"/>
    <w:rsid w:val="004A3B72"/>
    <w:rsid w:val="004A4DC3"/>
    <w:rsid w:val="004A628A"/>
    <w:rsid w:val="004A6B56"/>
    <w:rsid w:val="004B113C"/>
    <w:rsid w:val="004B2635"/>
    <w:rsid w:val="004B2C95"/>
    <w:rsid w:val="004B3A6F"/>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7B61"/>
    <w:rsid w:val="0051500F"/>
    <w:rsid w:val="005224F0"/>
    <w:rsid w:val="005231D3"/>
    <w:rsid w:val="00527F94"/>
    <w:rsid w:val="00530FA9"/>
    <w:rsid w:val="005319E2"/>
    <w:rsid w:val="005323BD"/>
    <w:rsid w:val="005356AC"/>
    <w:rsid w:val="00540900"/>
    <w:rsid w:val="00545F36"/>
    <w:rsid w:val="00547A47"/>
    <w:rsid w:val="005502C5"/>
    <w:rsid w:val="005540A9"/>
    <w:rsid w:val="00554FCC"/>
    <w:rsid w:val="00556D87"/>
    <w:rsid w:val="00562050"/>
    <w:rsid w:val="00571150"/>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5E3B"/>
    <w:rsid w:val="00620FB1"/>
    <w:rsid w:val="00624483"/>
    <w:rsid w:val="0062490C"/>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0669"/>
    <w:rsid w:val="006F16BE"/>
    <w:rsid w:val="006F192B"/>
    <w:rsid w:val="006F1D62"/>
    <w:rsid w:val="006F1F98"/>
    <w:rsid w:val="006F2FEB"/>
    <w:rsid w:val="006F4051"/>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435B"/>
    <w:rsid w:val="00744D52"/>
    <w:rsid w:val="00744FCF"/>
    <w:rsid w:val="00745FBF"/>
    <w:rsid w:val="007518F6"/>
    <w:rsid w:val="00751CCA"/>
    <w:rsid w:val="007520C6"/>
    <w:rsid w:val="00753896"/>
    <w:rsid w:val="00754369"/>
    <w:rsid w:val="00754CAE"/>
    <w:rsid w:val="007611B2"/>
    <w:rsid w:val="007634DA"/>
    <w:rsid w:val="007638D2"/>
    <w:rsid w:val="00763975"/>
    <w:rsid w:val="007662B1"/>
    <w:rsid w:val="007729BB"/>
    <w:rsid w:val="00773906"/>
    <w:rsid w:val="00774C8F"/>
    <w:rsid w:val="007832A2"/>
    <w:rsid w:val="0078364A"/>
    <w:rsid w:val="007836BE"/>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20D0"/>
    <w:rsid w:val="007D3257"/>
    <w:rsid w:val="007D349B"/>
    <w:rsid w:val="007D507C"/>
    <w:rsid w:val="007D6E0A"/>
    <w:rsid w:val="007D7BD9"/>
    <w:rsid w:val="007E1CEA"/>
    <w:rsid w:val="007E1DC8"/>
    <w:rsid w:val="007E23C7"/>
    <w:rsid w:val="007E36D2"/>
    <w:rsid w:val="007E6771"/>
    <w:rsid w:val="007E79B1"/>
    <w:rsid w:val="007F0845"/>
    <w:rsid w:val="007F372F"/>
    <w:rsid w:val="007F39C9"/>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43DE"/>
    <w:rsid w:val="008346EA"/>
    <w:rsid w:val="0083499E"/>
    <w:rsid w:val="00843C18"/>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F39"/>
    <w:rsid w:val="00922C11"/>
    <w:rsid w:val="00925188"/>
    <w:rsid w:val="00925D5A"/>
    <w:rsid w:val="00926376"/>
    <w:rsid w:val="00933AF4"/>
    <w:rsid w:val="0093723D"/>
    <w:rsid w:val="00941EE5"/>
    <w:rsid w:val="00942940"/>
    <w:rsid w:val="00943D78"/>
    <w:rsid w:val="0095063F"/>
    <w:rsid w:val="00951152"/>
    <w:rsid w:val="0095352F"/>
    <w:rsid w:val="0095653C"/>
    <w:rsid w:val="00956633"/>
    <w:rsid w:val="0095746A"/>
    <w:rsid w:val="00957D39"/>
    <w:rsid w:val="009609F7"/>
    <w:rsid w:val="0096231B"/>
    <w:rsid w:val="00966169"/>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9CA"/>
    <w:rsid w:val="009D4C86"/>
    <w:rsid w:val="009D533E"/>
    <w:rsid w:val="009D59E8"/>
    <w:rsid w:val="009D6828"/>
    <w:rsid w:val="009E49FD"/>
    <w:rsid w:val="009E5B8E"/>
    <w:rsid w:val="009E5DB6"/>
    <w:rsid w:val="009E6A7E"/>
    <w:rsid w:val="009F05D6"/>
    <w:rsid w:val="009F09BE"/>
    <w:rsid w:val="009F2194"/>
    <w:rsid w:val="009F3112"/>
    <w:rsid w:val="009F33E3"/>
    <w:rsid w:val="009F3F5C"/>
    <w:rsid w:val="009F4070"/>
    <w:rsid w:val="009F6EA2"/>
    <w:rsid w:val="009F6F7C"/>
    <w:rsid w:val="00A023C5"/>
    <w:rsid w:val="00A03D8C"/>
    <w:rsid w:val="00A04316"/>
    <w:rsid w:val="00A06F3B"/>
    <w:rsid w:val="00A11453"/>
    <w:rsid w:val="00A12B46"/>
    <w:rsid w:val="00A1375E"/>
    <w:rsid w:val="00A1378B"/>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6AF0"/>
    <w:rsid w:val="00B270FA"/>
    <w:rsid w:val="00B27C62"/>
    <w:rsid w:val="00B332D2"/>
    <w:rsid w:val="00B33A25"/>
    <w:rsid w:val="00B35D84"/>
    <w:rsid w:val="00B41FBF"/>
    <w:rsid w:val="00B43474"/>
    <w:rsid w:val="00B44169"/>
    <w:rsid w:val="00B458EC"/>
    <w:rsid w:val="00B45904"/>
    <w:rsid w:val="00B50DA9"/>
    <w:rsid w:val="00B522E0"/>
    <w:rsid w:val="00B54669"/>
    <w:rsid w:val="00B552F0"/>
    <w:rsid w:val="00B61683"/>
    <w:rsid w:val="00B61A7C"/>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6828"/>
    <w:rsid w:val="00BF25E7"/>
    <w:rsid w:val="00BF3492"/>
    <w:rsid w:val="00BF5723"/>
    <w:rsid w:val="00BF5A7E"/>
    <w:rsid w:val="00BF700A"/>
    <w:rsid w:val="00C01140"/>
    <w:rsid w:val="00C012E9"/>
    <w:rsid w:val="00C016AD"/>
    <w:rsid w:val="00C022D5"/>
    <w:rsid w:val="00C0447D"/>
    <w:rsid w:val="00C07E46"/>
    <w:rsid w:val="00C10457"/>
    <w:rsid w:val="00C11024"/>
    <w:rsid w:val="00C11E40"/>
    <w:rsid w:val="00C11E50"/>
    <w:rsid w:val="00C12A15"/>
    <w:rsid w:val="00C13C03"/>
    <w:rsid w:val="00C20D18"/>
    <w:rsid w:val="00C24E30"/>
    <w:rsid w:val="00C26741"/>
    <w:rsid w:val="00C354FC"/>
    <w:rsid w:val="00C3640A"/>
    <w:rsid w:val="00C36626"/>
    <w:rsid w:val="00C37241"/>
    <w:rsid w:val="00C37C32"/>
    <w:rsid w:val="00C417EC"/>
    <w:rsid w:val="00C41C01"/>
    <w:rsid w:val="00C4697F"/>
    <w:rsid w:val="00C47094"/>
    <w:rsid w:val="00C537AE"/>
    <w:rsid w:val="00C54F08"/>
    <w:rsid w:val="00C54FDA"/>
    <w:rsid w:val="00C57D68"/>
    <w:rsid w:val="00C622E6"/>
    <w:rsid w:val="00C672B2"/>
    <w:rsid w:val="00C74948"/>
    <w:rsid w:val="00C74D7E"/>
    <w:rsid w:val="00C7548E"/>
    <w:rsid w:val="00C75FE9"/>
    <w:rsid w:val="00C76714"/>
    <w:rsid w:val="00C76AC9"/>
    <w:rsid w:val="00C8135F"/>
    <w:rsid w:val="00C8349B"/>
    <w:rsid w:val="00C846E3"/>
    <w:rsid w:val="00C85250"/>
    <w:rsid w:val="00C8679F"/>
    <w:rsid w:val="00C86E0D"/>
    <w:rsid w:val="00C87157"/>
    <w:rsid w:val="00C90EC7"/>
    <w:rsid w:val="00CA0BE2"/>
    <w:rsid w:val="00CA1417"/>
    <w:rsid w:val="00CA18DF"/>
    <w:rsid w:val="00CA49E2"/>
    <w:rsid w:val="00CA587E"/>
    <w:rsid w:val="00CA5E76"/>
    <w:rsid w:val="00CA6BA9"/>
    <w:rsid w:val="00CB135B"/>
    <w:rsid w:val="00CB2042"/>
    <w:rsid w:val="00CB26F8"/>
    <w:rsid w:val="00CB55D3"/>
    <w:rsid w:val="00CB69FF"/>
    <w:rsid w:val="00CD0C1B"/>
    <w:rsid w:val="00CD0C29"/>
    <w:rsid w:val="00CD1069"/>
    <w:rsid w:val="00CD2E7B"/>
    <w:rsid w:val="00CD6EDE"/>
    <w:rsid w:val="00CD79CF"/>
    <w:rsid w:val="00CE04F6"/>
    <w:rsid w:val="00CE14CB"/>
    <w:rsid w:val="00CE188A"/>
    <w:rsid w:val="00CE3948"/>
    <w:rsid w:val="00CE3993"/>
    <w:rsid w:val="00CE3EEB"/>
    <w:rsid w:val="00CE46D7"/>
    <w:rsid w:val="00CE48E2"/>
    <w:rsid w:val="00CF0161"/>
    <w:rsid w:val="00CF0434"/>
    <w:rsid w:val="00CF0991"/>
    <w:rsid w:val="00CF1323"/>
    <w:rsid w:val="00CF2951"/>
    <w:rsid w:val="00CF4CCE"/>
    <w:rsid w:val="00CF4F5C"/>
    <w:rsid w:val="00D003D6"/>
    <w:rsid w:val="00D05A84"/>
    <w:rsid w:val="00D0702B"/>
    <w:rsid w:val="00D100E7"/>
    <w:rsid w:val="00D10DCD"/>
    <w:rsid w:val="00D13321"/>
    <w:rsid w:val="00D15AF9"/>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60751"/>
    <w:rsid w:val="00D6275E"/>
    <w:rsid w:val="00D63953"/>
    <w:rsid w:val="00D63ACE"/>
    <w:rsid w:val="00D65448"/>
    <w:rsid w:val="00D700AA"/>
    <w:rsid w:val="00D70177"/>
    <w:rsid w:val="00D71FEB"/>
    <w:rsid w:val="00D72D36"/>
    <w:rsid w:val="00D731BC"/>
    <w:rsid w:val="00D74AC9"/>
    <w:rsid w:val="00D75363"/>
    <w:rsid w:val="00D75BD7"/>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A5F1D"/>
    <w:rsid w:val="00DA71E9"/>
    <w:rsid w:val="00DB047A"/>
    <w:rsid w:val="00DB1D67"/>
    <w:rsid w:val="00DB2A21"/>
    <w:rsid w:val="00DB4D17"/>
    <w:rsid w:val="00DC00E1"/>
    <w:rsid w:val="00DC16AE"/>
    <w:rsid w:val="00DC1861"/>
    <w:rsid w:val="00DC25C4"/>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A4E"/>
    <w:rsid w:val="00E0211D"/>
    <w:rsid w:val="00E03F5F"/>
    <w:rsid w:val="00E045A2"/>
    <w:rsid w:val="00E0673D"/>
    <w:rsid w:val="00E06F94"/>
    <w:rsid w:val="00E10C56"/>
    <w:rsid w:val="00E11443"/>
    <w:rsid w:val="00E1162E"/>
    <w:rsid w:val="00E12FB3"/>
    <w:rsid w:val="00E13C97"/>
    <w:rsid w:val="00E20289"/>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3721"/>
    <w:rsid w:val="00EF0150"/>
    <w:rsid w:val="00EF0743"/>
    <w:rsid w:val="00EF11FF"/>
    <w:rsid w:val="00EF154C"/>
    <w:rsid w:val="00EF3D1E"/>
    <w:rsid w:val="00EF6290"/>
    <w:rsid w:val="00F0254A"/>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72698"/>
    <w:rsid w:val="00F72C58"/>
    <w:rsid w:val="00F74C4F"/>
    <w:rsid w:val="00F74F33"/>
    <w:rsid w:val="00F75363"/>
    <w:rsid w:val="00F766BD"/>
    <w:rsid w:val="00F77C23"/>
    <w:rsid w:val="00F77E56"/>
    <w:rsid w:val="00F80072"/>
    <w:rsid w:val="00F8054B"/>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https://osf.io/v3tw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51803AB8-341E-3343-AAED-F00B0CAC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1629</TotalTime>
  <Pages>28</Pages>
  <Words>17626</Words>
  <Characters>100471</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1502</cp:revision>
  <dcterms:created xsi:type="dcterms:W3CDTF">2018-12-22T13:44:00Z</dcterms:created>
  <dcterms:modified xsi:type="dcterms:W3CDTF">2020-06-16T23:01:00Z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id="zQwOY12F"/&gt;&lt;style id="http://www.zotero.org/styles/apa" locale="en-US" hasBibliography="1" bibliographyStyleHasBeenSet="1"/&gt;&lt;prefs&gt;&lt;pref name="fieldType" value="Field"/&gt;&lt;/prefs&gt;&lt;/data&gt;</vt:lpwstr>
  </property>
</Properties>
</file>