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5D1BBB99" w14:textId="7EF5FD6B" w:rsidR="00F766BD" w:rsidRPr="00D63ACE" w:rsidRDefault="00450A0D" w:rsidP="00B50F4B">
      <w:pPr>
        <w:pStyle w:val="Heading1"/>
        <w:rPr>
          <w:b w:val="0"/>
        </w:rPr>
      </w:pPr>
      <w:r w:rsidRPr="00D63ACE">
        <w:rPr>
          <w:b w:val="0"/>
        </w:rPr>
        <w:t>The I</w:t>
      </w:r>
      <w:r w:rsidR="00B50F4B">
        <w:rPr>
          <w:b w:val="0"/>
        </w:rPr>
        <w:t xml:space="preserve">mplicit </w:t>
      </w:r>
      <w:r w:rsidRPr="00D63ACE">
        <w:rPr>
          <w:b w:val="0"/>
        </w:rPr>
        <w:t>R</w:t>
      </w:r>
      <w:r w:rsidR="00B50F4B">
        <w:rPr>
          <w:b w:val="0"/>
        </w:rPr>
        <w:t xml:space="preserve">elational </w:t>
      </w:r>
      <w:r w:rsidRPr="00D63ACE">
        <w:rPr>
          <w:b w:val="0"/>
        </w:rPr>
        <w:t>A</w:t>
      </w:r>
      <w:r w:rsidR="00B50F4B">
        <w:rPr>
          <w:b w:val="0"/>
        </w:rPr>
        <w:t xml:space="preserve">ssessment </w:t>
      </w:r>
      <w:r w:rsidRPr="00D63ACE">
        <w:rPr>
          <w:b w:val="0"/>
        </w:rPr>
        <w:t>P</w:t>
      </w:r>
      <w:r w:rsidR="00B50F4B">
        <w:rPr>
          <w:b w:val="0"/>
        </w:rPr>
        <w:t>rocedure</w:t>
      </w:r>
      <w:r w:rsidRPr="00D63ACE">
        <w:rPr>
          <w:b w:val="0"/>
        </w:rPr>
        <w:t xml:space="preserve"> </w:t>
      </w:r>
      <w:r w:rsidR="00423EFA">
        <w:rPr>
          <w:b w:val="0"/>
        </w:rPr>
        <w:t>demonstrates</w:t>
      </w:r>
      <w:r w:rsidRPr="00D63ACE">
        <w:rPr>
          <w:b w:val="0"/>
        </w:rPr>
        <w:t xml:space="preserve"> poor internal consistency and test-retest reliability: </w:t>
      </w:r>
      <w:r w:rsidR="00E546F0" w:rsidRPr="00D63ACE">
        <w:rPr>
          <w:b w:val="0"/>
        </w:rPr>
        <w:t xml:space="preserve">A </w:t>
      </w:r>
      <w:r w:rsidR="00D75C70">
        <w:rPr>
          <w:b w:val="0"/>
        </w:rPr>
        <w:t>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55B16624" w14:textId="488987FD" w:rsidR="00CB25BC" w:rsidRPr="00CB25BC" w:rsidRDefault="00CB25BC" w:rsidP="00CB25BC">
      <w:pPr>
        <w:ind w:firstLine="0"/>
      </w:pPr>
      <w:r w:rsidRPr="00CB25BC">
        <w:t xml:space="preserve">Evidence for the IRAP’s reliability and validity is mixed, with one meta-analysis concluding it has good criterion validity and potential for clinical assessment, and two others </w:t>
      </w:r>
      <w:r w:rsidRPr="00CB25BC">
        <w:t>conclud</w:t>
      </w:r>
      <w:r w:rsidRPr="00CB25BC">
        <w:t>ing</w:t>
      </w:r>
      <w:r w:rsidRPr="00CB25BC">
        <w:t xml:space="preserve"> that it demonstrates</w:t>
      </w:r>
      <w:r w:rsidRPr="00CB25BC">
        <w:t xml:space="preserve"> low reliability. Here, we extend this evidence based through meta-analyses of </w:t>
      </w:r>
      <w:r w:rsidRPr="00CB25BC">
        <w:t>all</w:t>
      </w:r>
      <w:r w:rsidRPr="00CB25BC">
        <w:t xml:space="preserve"> published and unpublished studies</w:t>
      </w:r>
      <w:r w:rsidRPr="00CB25BC">
        <w:t xml:space="preserve"> conducted in two labs. Individual participant data</w:t>
      </w:r>
      <w:r w:rsidRPr="00CB25BC">
        <w:t xml:space="preserve"> was used to estimate </w:t>
      </w:r>
      <w:r>
        <w:t xml:space="preserve">both </w:t>
      </w:r>
      <w:r w:rsidRPr="00CB25BC">
        <w:t>internal consistency and test-retest reliability across a large number of domains (</w:t>
      </w:r>
      <w:r w:rsidRPr="00CB25BC">
        <w:rPr>
          <w:i/>
        </w:rPr>
        <w:t>k</w:t>
      </w:r>
      <w:r w:rsidRPr="00CB25BC">
        <w:t xml:space="preserve"> = </w:t>
      </w:r>
      <w:r w:rsidRPr="00CB25BC">
        <w:t>19</w:t>
      </w:r>
      <w:r w:rsidRPr="00CB25BC">
        <w:t>) and participants (</w:t>
      </w:r>
      <w:bookmarkStart w:id="3" w:name="_GoBack"/>
      <w:bookmarkEnd w:id="3"/>
      <w:r w:rsidRPr="00CB25BC">
        <w:rPr>
          <w:i/>
        </w:rPr>
        <w:t>N</w:t>
      </w:r>
      <w:r w:rsidRPr="00CB25BC">
        <w:t xml:space="preserve"> = 1650).</w:t>
      </w:r>
      <w:r w:rsidRPr="00CB25BC">
        <w:t xml:space="preserve"> Results suggest that internal consistency is poor (α = .</w:t>
      </w:r>
      <w:r w:rsidRPr="00CB25BC">
        <w:t>52</w:t>
      </w:r>
      <w:r w:rsidRPr="00CB25BC">
        <w:t>, 95% CI [.</w:t>
      </w:r>
      <w:r w:rsidRPr="00CB25BC">
        <w:t>47, .57</w:t>
      </w:r>
      <w:r w:rsidRPr="00CB25BC">
        <w:t xml:space="preserve">]) and test-retest reliability is </w:t>
      </w:r>
      <w:r w:rsidRPr="00CB25BC">
        <w:t>very poor</w:t>
      </w:r>
      <w:r w:rsidRPr="00CB25BC">
        <w:t xml:space="preserve"> (ICC = .18, 95% CI [.05, .30]). We conclude that researchers should be very cautious about choosing to employ the IRAP or when interpreting its results.</w:t>
      </w:r>
    </w:p>
    <w:p w14:paraId="2C9B9E5E" w14:textId="2B1C8E76" w:rsidR="00693644" w:rsidRPr="00D63ACE" w:rsidRDefault="00693644" w:rsidP="006A281D">
      <w:r w:rsidRPr="00D63ACE">
        <w:br w:type="page"/>
      </w:r>
    </w:p>
    <w:p w14:paraId="5E8749AE" w14:textId="7B5131B3" w:rsidR="00F76199" w:rsidRPr="00D63ACE" w:rsidRDefault="00F76199" w:rsidP="00F76199">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5B9EC6AA" w14:textId="77777777" w:rsidR="00693644" w:rsidRPr="00D63ACE" w:rsidRDefault="00693644" w:rsidP="00E95696">
      <w:pPr>
        <w:ind w:firstLine="0"/>
      </w:pPr>
    </w:p>
    <w:p w14:paraId="3E08EB6A" w14:textId="148508E8" w:rsidR="00921DEB" w:rsidRDefault="003C6B57" w:rsidP="003403B8">
      <w:r>
        <w:t>The study of implicit social cognition has become a mainstay of psychological research in many domains over the past twenty</w:t>
      </w:r>
      <w:r w:rsidR="005714CA">
        <w:t xml:space="preserve">-five </w:t>
      </w:r>
      <w:r>
        <w:t xml:space="preserve">years </w:t>
      </w:r>
      <w:r w:rsidR="005714CA">
        <w:fldChar w:fldCharType="begin"/>
      </w:r>
      <w:r w:rsidR="005714CA">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5714CA">
        <w:fldChar w:fldCharType="separate"/>
      </w:r>
      <w:r w:rsidR="005714CA">
        <w:rPr>
          <w:noProof/>
        </w:rPr>
        <w:t>(Greenwald &amp; Banaji, 1995; Greenwald &amp; Lai, 2020)</w:t>
      </w:r>
      <w:r w:rsidR="005714CA">
        <w:fldChar w:fldCharType="end"/>
      </w:r>
      <w:r w:rsidR="00B51499">
        <w:t xml:space="preserve">. </w:t>
      </w:r>
      <w:r w:rsidR="00B258CA">
        <w:t xml:space="preserve">In addition to the most </w:t>
      </w:r>
      <w:r w:rsidR="0084434F">
        <w:t xml:space="preserve">popular </w:t>
      </w:r>
      <w:r w:rsidR="00B258CA">
        <w:t xml:space="preserve">measure, </w:t>
      </w:r>
      <w:r w:rsidR="0084434F">
        <w:t xml:space="preserve">the Implicit Association Test </w:t>
      </w:r>
      <w:r w:rsidR="005714CA">
        <w:fldChar w:fldCharType="begin"/>
      </w:r>
      <w:r w:rsidR="005714CA">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5714CA">
        <w:fldChar w:fldCharType="separate"/>
      </w:r>
      <w:r w:rsidR="005714CA">
        <w:rPr>
          <w:noProof/>
        </w:rPr>
        <w:t>(IAT: Greenwald et al., 1998)</w:t>
      </w:r>
      <w:r w:rsidR="005714CA">
        <w:fldChar w:fldCharType="end"/>
      </w:r>
      <w:r w:rsidR="0084434F">
        <w:t xml:space="preserve">, </w:t>
      </w:r>
      <w:r w:rsidR="00B258CA">
        <w:t xml:space="preserve">many other measures have been developed, each with unique features or benefits in mind </w:t>
      </w:r>
      <w:r w:rsidR="00C55F4F">
        <w:fldChar w:fldCharType="begin"/>
      </w:r>
      <w:r w:rsidR="00C55F4F">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C55F4F">
        <w:fldChar w:fldCharType="separate"/>
      </w:r>
      <w:r w:rsidR="00C55F4F">
        <w:rPr>
          <w:noProof/>
        </w:rPr>
        <w:t>(Nosek et al., 2011)</w:t>
      </w:r>
      <w:r w:rsidR="00C55F4F">
        <w:fldChar w:fldCharType="end"/>
      </w:r>
      <w:r w:rsidR="00741F31">
        <w:t xml:space="preserve">. </w:t>
      </w:r>
      <w:r w:rsidR="00C55F4F">
        <w:t>Among them, t</w:t>
      </w:r>
      <w:r w:rsidR="00BC3240" w:rsidRPr="00D63ACE">
        <w:t xml:space="preserve">he Implicit Relational Assessment Procedure </w:t>
      </w:r>
      <w:r w:rsidR="00BC3240" w:rsidRPr="00D63ACE">
        <w:fldChar w:fldCharType="begin"/>
      </w:r>
      <w:r w:rsidR="00BC3240"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BC3240" w:rsidRPr="00D63ACE">
        <w:fldChar w:fldCharType="separate"/>
      </w:r>
      <w:r w:rsidR="00BC3240" w:rsidRPr="00D63ACE">
        <w:t>(IRAP: Barnes-Holmes et al., 2010)</w:t>
      </w:r>
      <w:r w:rsidR="00BC3240" w:rsidRPr="00D63ACE">
        <w:fldChar w:fldCharType="end"/>
      </w:r>
      <w:r w:rsidR="00BC3240" w:rsidRPr="00D63ACE">
        <w:t xml:space="preserve"> is </w:t>
      </w:r>
      <w:r w:rsidR="00B258CA">
        <w:t xml:space="preserve">one of few </w:t>
      </w:r>
      <w:r w:rsidR="00423EFA">
        <w:t>implicit measure</w:t>
      </w:r>
      <w:r w:rsidR="00B258CA">
        <w:t>s</w:t>
      </w:r>
      <w:r w:rsidR="00BC3240" w:rsidRPr="00D63ACE">
        <w:t xml:space="preserve"> designed to capture </w:t>
      </w:r>
      <w:r w:rsidR="002824C5">
        <w:t>implicit</w:t>
      </w:r>
      <w:r w:rsidR="00B258CA">
        <w:t xml:space="preserve"> </w:t>
      </w:r>
      <w:r w:rsidR="002824C5">
        <w:t>beliefs</w:t>
      </w:r>
      <w:r w:rsidR="00B258CA">
        <w:t xml:space="preserve"> or </w:t>
      </w:r>
      <w:r w:rsidR="00B258CA" w:rsidRPr="00D63ACE">
        <w:t xml:space="preserve">automatic relational responding </w:t>
      </w:r>
      <w:r w:rsidR="00B258CA" w:rsidRPr="00D63ACE">
        <w:fldChar w:fldCharType="begin"/>
      </w:r>
      <w:r w:rsidR="00B258CA"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B258CA" w:rsidRPr="00D63ACE">
        <w:fldChar w:fldCharType="separate"/>
      </w:r>
      <w:r w:rsidR="00B258CA" w:rsidRPr="00D63ACE">
        <w:t>(Gawronski &amp; De Houwer, 2011</w:t>
      </w:r>
      <w:r w:rsidR="00B258CA">
        <w:t>;</w:t>
      </w:r>
      <w:r w:rsidR="00B258CA" w:rsidRPr="0084434F">
        <w:t xml:space="preserve"> </w:t>
      </w:r>
      <w:r w:rsidR="00B258CA">
        <w:t>Hussey, Barnes-Holmes, et al., 2015</w:t>
      </w:r>
      <w:r w:rsidR="00B258CA" w:rsidRPr="00D63ACE">
        <w:t>)</w:t>
      </w:r>
      <w:r w:rsidR="00B258CA" w:rsidRPr="00D63ACE">
        <w:fldChar w:fldCharType="end"/>
      </w:r>
      <w:r w:rsidR="00B258CA">
        <w:t>. That is, it can capture not only the strength of association between concepts</w:t>
      </w:r>
      <w:r w:rsidR="00835C13">
        <w:t>,</w:t>
      </w:r>
      <w:r w:rsidR="00B258CA">
        <w:t xml:space="preserve"> but also the nature of the relationship among them: for example, the distinction between “I </w:t>
      </w:r>
      <w:r w:rsidR="00B258CA" w:rsidRPr="00B258CA">
        <w:rPr>
          <w:i/>
        </w:rPr>
        <w:t>am</w:t>
      </w:r>
      <w:r w:rsidR="00B258CA">
        <w:t xml:space="preserve"> good” and “I </w:t>
      </w:r>
      <w:r w:rsidR="00B258CA" w:rsidRPr="00B258CA">
        <w:rPr>
          <w:i/>
        </w:rPr>
        <w:t>want to be</w:t>
      </w:r>
      <w:r w:rsidR="00B258CA">
        <w:t xml:space="preserve"> good” </w:t>
      </w:r>
      <w:r w:rsidR="00B258CA">
        <w:fldChar w:fldCharType="begin"/>
      </w:r>
      <w:r w:rsidR="00B258CA">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B258CA">
        <w:fldChar w:fldCharType="separate"/>
      </w:r>
      <w:r w:rsidR="00B258CA">
        <w:rPr>
          <w:noProof/>
        </w:rPr>
        <w:t>(Remue et al., 2013, 2014)</w:t>
      </w:r>
      <w:r w:rsidR="00B258CA">
        <w:fldChar w:fldCharType="end"/>
      </w:r>
      <w:r w:rsidR="00B258CA">
        <w:t xml:space="preserve">. </w:t>
      </w:r>
    </w:p>
    <w:p w14:paraId="3B8AFF0C" w14:textId="2F93905A" w:rsidR="00AA58DF" w:rsidRPr="00D63ACE" w:rsidRDefault="00925518" w:rsidP="003403B8">
      <w:r>
        <w:t xml:space="preserve">Although </w:t>
      </w:r>
      <w:r w:rsidR="000F05E4">
        <w:t>approaching</w:t>
      </w:r>
      <w:r>
        <w:t xml:space="preserve"> </w:t>
      </w:r>
      <w:r w:rsidR="000F05E4">
        <w:t xml:space="preserve">fifteen years </w:t>
      </w:r>
      <w:r>
        <w:t xml:space="preserve">old and </w:t>
      </w:r>
      <w:r w:rsidR="006F4AFD">
        <w:t xml:space="preserve">having been </w:t>
      </w:r>
      <w:r w:rsidR="000F05E4">
        <w:t>used in over 100 published articles</w:t>
      </w:r>
      <w:r>
        <w:t xml:space="preserve">, the </w:t>
      </w:r>
      <w:r w:rsidR="00921DEB">
        <w:t xml:space="preserve">IRAP’s utility </w:t>
      </w:r>
      <w:r>
        <w:t xml:space="preserve">remains </w:t>
      </w:r>
      <w:r w:rsidR="00921DEB">
        <w:t>a matter of ongoing debate. On the one hand, i</w:t>
      </w:r>
      <w:r w:rsidR="00344CB3" w:rsidRPr="00D63ACE">
        <w:t>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00BC3240"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00BC3240"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00BC3240" w:rsidRPr="00D63ACE">
        <w:t>has potential as a tool for clinical assessment</w:t>
      </w:r>
      <w:r w:rsidR="00D82D77" w:rsidRPr="00D63ACE">
        <w:t xml:space="preserve">. </w:t>
      </w:r>
      <w:r w:rsidR="00BC3240" w:rsidRPr="00D63ACE">
        <w:t xml:space="preserve">However, </w:t>
      </w:r>
      <w:r w:rsidR="00921DEB">
        <w:t xml:space="preserve">on the other hand,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39288D">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39288D">
        <w:t>(Golijani-Moghaddam et al., 2013; Greenwald &amp; Lai, 2020)</w:t>
      </w:r>
      <w:r w:rsidR="006A679F" w:rsidRPr="00D63ACE">
        <w:fldChar w:fldCharType="end"/>
      </w:r>
      <w:r w:rsidR="00F74C4F" w:rsidRPr="00D63ACE">
        <w:t xml:space="preserve"> </w:t>
      </w:r>
      <w:r w:rsidR="00F74C4F" w:rsidRPr="00D63ACE">
        <w:lastRenderedPageBreak/>
        <w:t xml:space="preserve">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w:t>
      </w:r>
      <w:r w:rsidR="003403B8">
        <w:t xml:space="preserve">This tension between reliability and validity, and the importance of </w:t>
      </w:r>
      <w:r w:rsidR="009D161D" w:rsidRPr="00D63ACE">
        <w:t xml:space="preserve">precise measurement </w:t>
      </w:r>
      <w:r w:rsidR="003403B8">
        <w:t xml:space="preserve">more generally, </w:t>
      </w:r>
      <w:r w:rsidR="009D161D" w:rsidRPr="00D63ACE">
        <w:t>has received renewed attention within psychology in recent years</w:t>
      </w:r>
      <w:r w:rsidR="00A164E3">
        <w:t xml:space="preserve"> due to concerns about the replicability </w:t>
      </w:r>
      <w:r w:rsidR="00921DEB">
        <w:t xml:space="preserve">and validity </w:t>
      </w:r>
      <w:r w:rsidR="00A164E3">
        <w:t>of our findings</w:t>
      </w:r>
      <w:r w:rsidR="003403B8">
        <w:t xml:space="preserve"> </w:t>
      </w:r>
      <w:r w:rsidR="003403B8">
        <w:fldChar w:fldCharType="begin"/>
      </w:r>
      <w:r w:rsidR="003403B8">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fldChar w:fldCharType="separate"/>
      </w:r>
      <w:r w:rsidR="003403B8">
        <w:rPr>
          <w:noProof/>
        </w:rPr>
        <w:t>(Flake &amp; Fried, 2019)</w:t>
      </w:r>
      <w:r w:rsidR="003403B8">
        <w:fldChar w:fldCharType="end"/>
      </w:r>
      <w:r w:rsidR="009D161D" w:rsidRPr="00D63ACE">
        <w:t>.</w:t>
      </w:r>
      <w:r w:rsidR="00A164E3">
        <w:t xml:space="preserve"> </w:t>
      </w:r>
      <w:r w:rsidR="00921DEB">
        <w:t>Importantly, recent research has emphasized that p</w:t>
      </w:r>
      <w:r w:rsidR="009D161D" w:rsidRPr="00D63ACE">
        <w:t xml:space="preserve">oor reliability can result in </w:t>
      </w:r>
      <w:r w:rsidR="00921DEB">
        <w:t xml:space="preserve">statistical effects </w:t>
      </w:r>
      <w:r w:rsidR="009D161D" w:rsidRPr="00D63ACE">
        <w:t xml:space="preserve">that are highly replicable </w:t>
      </w:r>
      <w:r w:rsidR="002B2B12">
        <w:t xml:space="preserve">which </w:t>
      </w:r>
      <w:r w:rsidR="009D161D" w:rsidRPr="00D63ACE">
        <w:t xml:space="preserve">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r w:rsidR="00523B9E">
        <w:t xml:space="preserve"> Quantification of the IRAP’s measurement properties is therefore important to interpreting the results of existing research, and its utility in future work.</w:t>
      </w:r>
    </w:p>
    <w:p w14:paraId="7FFAACAB" w14:textId="7EDC73DB" w:rsidR="00FD5599" w:rsidRPr="00D63ACE" w:rsidRDefault="00B03976" w:rsidP="00B03976">
      <w:pPr>
        <w:pStyle w:val="Heading2"/>
      </w:pPr>
      <w:r w:rsidRPr="00D63ACE">
        <w:t>Previous meta-analyses of the IRAP’s reliability</w:t>
      </w:r>
    </w:p>
    <w:p w14:paraId="4EE5E6A9" w14:textId="7703259B"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ins w:id="4"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E20F2E">
        <w:t xml:space="preserve">Pearson’s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4EC69E53" w:rsidR="001A0C99" w:rsidRPr="00D63ACE" w:rsidRDefault="00CA587E" w:rsidP="001A0C99">
      <w:pPr>
        <w:ind w:firstLine="0"/>
        <w:rPr>
          <w:color w:val="FF0000"/>
        </w:rPr>
      </w:pPr>
      <w:r w:rsidRPr="00D63ACE">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w:t>
      </w:r>
      <w:r w:rsidRPr="00D63ACE">
        <w:lastRenderedPageBreak/>
        <w:t xml:space="preserve">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1A0C99" w:rsidRPr="00D63ACE">
        <w:rPr>
          <w:i/>
        </w:rPr>
        <w:t>r</w:t>
      </w:r>
      <w:r w:rsidR="001A0C99" w:rsidRPr="00D63ACE">
        <w:t xml:space="preserve"> = .45, 95% CI [.33, .55]</w:t>
      </w:r>
      <w:r w:rsidR="00400126">
        <w:t>)</w:t>
      </w:r>
      <w:r w:rsidR="001A0C99" w:rsidRPr="00D63ACE">
        <w:t>.</w:t>
      </w:r>
    </w:p>
    <w:p w14:paraId="542F4873" w14:textId="1C4533EE"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E578FD">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00B44169" w:rsidRPr="00D63ACE">
        <w:fldChar w:fldCharType="separate"/>
      </w:r>
      <w:r w:rsidR="00E578FD">
        <w:t>(Nunnally &amp; Bernstein, 1994)</w:t>
      </w:r>
      <w:r w:rsidR="00B44169" w:rsidRPr="00D63ACE">
        <w:fldChar w:fldCharType="end"/>
      </w:r>
      <w:r w:rsidR="00C76191">
        <w:t xml:space="preserve">. </w:t>
      </w:r>
      <w:r w:rsidR="00073B57" w:rsidRPr="00D63ACE">
        <w:t>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lastRenderedPageBreak/>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0A9192D5"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should </w:t>
      </w:r>
      <w:r w:rsidR="00C70D03">
        <w:t xml:space="preserve">be reported </w:t>
      </w:r>
      <w:r w:rsidR="00AF6B87" w:rsidRPr="00D63ACE">
        <w:t xml:space="preserve">instead </w:t>
      </w:r>
      <w:r w:rsidR="00E578FD">
        <w:t xml:space="preserve">such as </w:t>
      </w:r>
      <w:r w:rsidR="00CD25AB" w:rsidRPr="00D63ACE">
        <w:t>Intraclass Correlation Coefficient</w:t>
      </w:r>
      <w:r w:rsidR="00E578FD">
        <w:t>s</w:t>
      </w:r>
      <w:r w:rsidR="00CD25AB" w:rsidRPr="00D63ACE">
        <w:t xml:space="preserve"> </w:t>
      </w:r>
      <w:r w:rsidR="00E578FD">
        <w:fldChar w:fldCharType="begin"/>
      </w:r>
      <w:r w:rsidR="00E578FD">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00E578FD">
        <w:fldChar w:fldCharType="separate"/>
      </w:r>
      <w:r w:rsidR="00E578FD">
        <w:rPr>
          <w:noProof/>
        </w:rPr>
        <w:t>(i.e., ICC[2,1]: Parsons et al., 2019)</w:t>
      </w:r>
      <w:r w:rsidR="00E578FD">
        <w:fldChar w:fldCharType="end"/>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w:t>
      </w:r>
      <w:r w:rsidR="007520C6" w:rsidRPr="00D63ACE">
        <w:lastRenderedPageBreak/>
        <w:t xml:space="preserve">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21C9815A"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w:t>
      </w:r>
      <w:r w:rsidR="00DC1CC2">
        <w:t xml:space="preserve">therefore </w:t>
      </w:r>
      <w:r w:rsidR="00076557" w:rsidRPr="00D63ACE">
        <w:t xml:space="preserve">pooled data </w:t>
      </w:r>
      <w:r w:rsidR="004B4324">
        <w:t xml:space="preserve">from </w:t>
      </w:r>
      <w:r w:rsidR="00076557" w:rsidRPr="00D63ACE">
        <w:t xml:space="preserve">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48A0AFF3" w:rsidR="00820FBD"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578AD937" w14:textId="129616DE" w:rsidR="00E9525F" w:rsidRPr="00D63ACE" w:rsidRDefault="00E9525F" w:rsidP="00820FBD">
      <w:r>
        <w:t xml:space="preserve">Data was pooled from all IRAP studies we have been involved in. Inclusion criteria were use of at least one IRAP and access to raw data. Exclusion criteria were embargos on data that are soon to be published, whose data could </w:t>
      </w:r>
      <w:r w:rsidR="00DA568B">
        <w:t xml:space="preserve">therefore </w:t>
      </w:r>
      <w:r>
        <w:t xml:space="preserve">not be made open for this </w:t>
      </w:r>
      <w:r w:rsidR="0049401F">
        <w:t>meta-analysis</w:t>
      </w:r>
      <w:r>
        <w:t xml:space="preserve">. Three studies met exclusion criteria. Two of these </w:t>
      </w:r>
      <w:r>
        <w:lastRenderedPageBreak/>
        <w:t xml:space="preserve">were in domains that are already represented in the included data (i.e., friend-enemy and Lincoln-Hitler). </w:t>
      </w:r>
    </w:p>
    <w:p w14:paraId="1D47FAA8" w14:textId="10932915" w:rsidR="00024935" w:rsidRPr="00D63ACE" w:rsidRDefault="00024935" w:rsidP="00DB1D67">
      <w:r w:rsidRPr="00D63ACE">
        <w:t xml:space="preserve">Internal consistency data </w:t>
      </w:r>
      <w:r w:rsidR="00296521">
        <w:t xml:space="preserve">included results from </w:t>
      </w:r>
      <w:r w:rsidR="00886DF3" w:rsidRPr="00D63ACE">
        <w:t>2</w:t>
      </w:r>
      <w:r w:rsidR="00AB0EF1" w:rsidRPr="00D63ACE">
        <w:t>6</w:t>
      </w:r>
      <w:r w:rsidRPr="00D63ACE">
        <w:t xml:space="preserve"> </w:t>
      </w:r>
      <w:r w:rsidR="00296521">
        <w:t>distinct</w:t>
      </w:r>
      <w:r w:rsidR="00296521" w:rsidRPr="00D63ACE">
        <w:t xml:space="preserve"> </w:t>
      </w:r>
      <w:r w:rsidR="00296521">
        <w:t>IRAPs across 37</w:t>
      </w:r>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r w:rsidR="00296521">
        <w:t>1650</w:t>
      </w:r>
      <w:r w:rsidRPr="00D63ACE">
        <w:t xml:space="preserve"> participants. </w:t>
      </w:r>
      <w:r w:rsidR="007071DB" w:rsidRPr="00D63ACE">
        <w:t xml:space="preserve">Test-retest data </w:t>
      </w:r>
      <w:r w:rsidR="00296521">
        <w:t xml:space="preserve">was available for a subset of </w:t>
      </w:r>
      <w:r w:rsidR="00C7179F">
        <w:t xml:space="preserve">participants including </w:t>
      </w:r>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r w:rsidR="008E3ABF" w:rsidRPr="007F179F">
        <w:t xml:space="preserve">women </w:t>
      </w:r>
      <w:r w:rsidR="008E3ABF" w:rsidRPr="00833BF8">
        <w:t>(6</w:t>
      </w:r>
      <w:r w:rsidR="0074435B" w:rsidRPr="00630AE7">
        <w:t>2.9</w:t>
      </w:r>
      <w:r w:rsidR="008E3ABF" w:rsidRPr="007F179F">
        <w:t>% female, 3</w:t>
      </w:r>
      <w:r w:rsidR="0074435B" w:rsidRPr="007F179F">
        <w:t>6.8</w:t>
      </w:r>
      <w:r w:rsidR="008E3ABF" w:rsidRPr="007F179F">
        <w:t>% male, 0.2% non-binary</w:t>
      </w:r>
      <w:r w:rsidR="000701B6" w:rsidRPr="00B62860">
        <w:t xml:space="preserve">; </w:t>
      </w:r>
      <w:r w:rsidR="000701B6" w:rsidRPr="00B62860">
        <w:rPr>
          <w:i/>
        </w:rPr>
        <w:t>M</w:t>
      </w:r>
      <w:r w:rsidR="000701B6" w:rsidRPr="00B62860">
        <w:rPr>
          <w:rFonts w:cs="Times New Roman (Body CS)"/>
          <w:vertAlign w:val="subscript"/>
        </w:rPr>
        <w:t>age</w:t>
      </w:r>
      <w:r w:rsidR="000701B6" w:rsidRPr="00B62860">
        <w:t xml:space="preserve"> = 21.0, </w:t>
      </w:r>
      <w:r w:rsidR="000701B6" w:rsidRPr="00B62860">
        <w:rPr>
          <w:i/>
        </w:rPr>
        <w:t>SD</w:t>
      </w:r>
      <w:r w:rsidR="000701B6" w:rsidRPr="00B62860">
        <w:t xml:space="preserve"> = 5.</w:t>
      </w:r>
      <w:r w:rsidR="0074435B" w:rsidRPr="00AC2585">
        <w:t>8</w:t>
      </w:r>
      <w:r w:rsidR="008E3ABF" w:rsidRPr="00AC2585">
        <w:t>)</w:t>
      </w:r>
      <w:r w:rsidR="000701B6" w:rsidRPr="00AC2585">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w:t>
      </w:r>
      <w:r w:rsidR="00380D02">
        <w:lastRenderedPageBreak/>
        <w:t xml:space="preserve">the top </w:t>
      </w:r>
      <w:r w:rsidR="002B4D54" w:rsidRPr="00D63ACE">
        <w:t>of the screen</w:t>
      </w:r>
      <w:r w:rsidR="00F65D40">
        <w:t xml:space="preserve"> and </w:t>
      </w:r>
      <w:r w:rsidR="00380D02">
        <w:t>attribute stimuli are presented in the middle of the screen. R</w:t>
      </w:r>
      <w:r w:rsidR="002B4D54" w:rsidRPr="00D63ACE">
        <w:t>esponse option</w:t>
      </w:r>
      <w:r w:rsidR="00F65D40">
        <w:t xml:space="preserve"> </w:t>
      </w:r>
      <w:r w:rsidR="00380D02">
        <w:t xml:space="preserve">are presented at the bottom left and right hand sides of the screen, 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00B62860" w:rsidRPr="00D63ACE">
        <w:t>median reaction time &lt; 2000 ms and percentage accuracy &gt; 80%</w:t>
      </w:r>
      <w:r w:rsidR="00B62860">
        <w:t xml:space="preserve">), followed by three pairs of test blocks from which scores are calculated.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stimuli, instructions, responding rules, and task parameters </w:t>
      </w:r>
      <w:r w:rsidR="00B62860">
        <w:t xml:space="preserve">for each IRAP </w:t>
      </w:r>
      <w:r w:rsidR="00B62860" w:rsidRPr="00D63ACE">
        <w:t>can be found in the Supplementary Materials (</w:t>
      </w:r>
      <w:hyperlink r:id="rId12"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lastRenderedPageBreak/>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(see Barnes-Holmes et al., 2010; Hussey, 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w:t>
      </w:r>
      <w:r w:rsidR="00F8439E" w:rsidRPr="00D63ACE">
        <w:lastRenderedPageBreak/>
        <w:t xml:space="preserve">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4BD0DBE2"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 and to provide the most accurate estimate of internal consistency.</w:t>
      </w:r>
    </w:p>
    <w:p w14:paraId="18EAF417" w14:textId="26904AE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ins w:id="5"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ins w:id="6" w:author="Ian Hussey" w:date="2020-06-25T02:12:00Z">
                <w:rPr>
                  <w:rFonts w:ascii="Cambria Math" w:hAnsi="Cambria Math"/>
                  <w:i/>
                </w:rPr>
              </w:ins>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w:t>
      </w:r>
      <w:r w:rsidR="00C10457" w:rsidRPr="00D63ACE">
        <w:lastRenderedPageBreak/>
        <w:t>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ins w:id="7"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2206FE" w:rsidRPr="00D63ACE">
        <w:t xml:space="preserve"> = </w:t>
      </w:r>
      <w:r w:rsidR="00F7294E" w:rsidRPr="00F7294E">
        <w:t>.54, 95% CI [.47, .59], 95% CR [.3</w:t>
      </w:r>
      <w:r w:rsidR="00F7294E">
        <w:t>0</w:t>
      </w:r>
      <w:r w:rsidR="00F7294E" w:rsidRPr="00F7294E">
        <w:t>, .7</w:t>
      </w:r>
      <w:r w:rsidR="00F7294E">
        <w:t>0</w:t>
      </w:r>
      <w:r w:rsidR="00F7294E" w:rsidRPr="00F7294E">
        <w:t>]</w:t>
      </w:r>
      <w:r w:rsidR="008765A7" w:rsidRPr="00D63ACE">
        <w:t>.</w:t>
      </w:r>
    </w:p>
    <w:p w14:paraId="72F2B2C9" w14:textId="41DA810E"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ins w:id="8"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66E2AF6B"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lastRenderedPageBreak/>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p>
    <w:p w14:paraId="29AA00F4" w14:textId="31E4FCF6"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F7294E" w:rsidRPr="00F7294E">
        <w:t>.52, 95% CI [.47, .57], 95% CR [.47, .57]</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36</w:t>
      </w:r>
      <w:r w:rsidR="002A57BE" w:rsidRPr="00D63ACE">
        <w:t xml:space="preserve">) = </w:t>
      </w:r>
      <w:r w:rsidR="00357C7F" w:rsidRPr="00D63ACE">
        <w:t>3</w:t>
      </w:r>
      <w:r w:rsidR="00F7294E">
        <w:t>9.27</w:t>
      </w:r>
      <w:r w:rsidR="002A57BE" w:rsidRPr="00D63ACE">
        <w:t xml:space="preserve">, </w:t>
      </w:r>
      <w:r w:rsidR="002A57BE" w:rsidRPr="00D63ACE">
        <w:rPr>
          <w:i/>
        </w:rPr>
        <w:t>p</w:t>
      </w:r>
      <w:r w:rsidR="002A57BE" w:rsidRPr="00D63ACE">
        <w:t xml:space="preserve"> = .</w:t>
      </w:r>
      <w:r w:rsidR="00F7294E">
        <w:t>326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F7294E">
        <w:t>0</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F7294E">
        <w:t>0.0</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F7294E">
        <w:t>0</w:t>
      </w:r>
      <w:r w:rsidR="002A57BE" w:rsidRPr="00D63ACE">
        <w:t>.</w:t>
      </w:r>
      <w:r w:rsidR="001909A9" w:rsidRPr="00D63ACE">
        <w:t xml:space="preserve"> </w:t>
      </w:r>
      <w:r w:rsidR="000A6958" w:rsidRPr="00D63ACE">
        <w:t>A G</w:t>
      </w:r>
      <w:r w:rsidR="00BE5C75">
        <w:t>raphical analysis of Study Heterogeneity</w:t>
      </w:r>
      <w:r w:rsidR="000A6958" w:rsidRPr="00D63ACE">
        <w:t xml:space="preserve"> plot </w:t>
      </w:r>
      <w:r w:rsidR="000A6958" w:rsidRPr="00D63ACE">
        <w:fldChar w:fldCharType="begin"/>
      </w:r>
      <w:r w:rsidR="0049292C">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D63ACE">
        <w:fldChar w:fldCharType="separate"/>
      </w:r>
      <w:r w:rsidR="0049292C">
        <w:t>(GOSH: 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F7294E" w:rsidRPr="00F7294E">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35</w:t>
      </w:r>
      <w:r w:rsidR="00D30626" w:rsidRPr="00D63ACE">
        <w:t xml:space="preserve">) = </w:t>
      </w:r>
      <w:r w:rsidR="00F7294E">
        <w:t>23.07</w:t>
      </w:r>
      <w:r w:rsidR="00D30626" w:rsidRPr="00D63ACE">
        <w:t xml:space="preserve">, </w:t>
      </w:r>
      <w:r w:rsidR="00D30626" w:rsidRPr="00D63ACE">
        <w:rPr>
          <w:i/>
        </w:rPr>
        <w:t>p</w:t>
      </w:r>
      <w:r w:rsidR="00D30626" w:rsidRPr="00D63ACE">
        <w:t xml:space="preserve"> = .</w:t>
      </w:r>
      <w:r w:rsidR="00F7294E">
        <w:t>939</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w:t>
      </w:r>
      <w:r w:rsidR="00357C7F" w:rsidRPr="00D63ACE">
        <w:lastRenderedPageBreak/>
        <w:t xml:space="preserve">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w:t>
      </w:r>
      <w:r w:rsidR="00BE5C75">
        <w:t xml:space="preserve">we have </w:t>
      </w:r>
      <w:r w:rsidR="000B0840" w:rsidRPr="00D63ACE">
        <w:t>reported here.</w:t>
      </w:r>
      <w:r w:rsidR="00BE5C75">
        <w:t xml:space="preserve"> Subsequent </w:t>
      </w:r>
      <w:r w:rsidR="0049292C">
        <w:t>calculations</w:t>
      </w:r>
      <w:r w:rsidR="00BE5C75">
        <w:t xml:space="preserve"> and conclusions are therefore based on this estimate. </w:t>
      </w:r>
    </w:p>
    <w:p w14:paraId="3D515376" w14:textId="73FBA331" w:rsidR="002C6E72" w:rsidRPr="00D63ACE" w:rsidRDefault="002C6E72" w:rsidP="005C2458"/>
    <w:p w14:paraId="17B07A07" w14:textId="5055159C" w:rsidR="002C6E72" w:rsidRPr="00D63ACE" w:rsidRDefault="007D1D1A" w:rsidP="000F79F9">
      <w:pPr>
        <w:ind w:firstLine="0"/>
        <w:jc w:val="center"/>
      </w:pPr>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3"/>
                    <a:stretch>
                      <a:fillRect/>
                    </a:stretch>
                  </pic:blipFill>
                  <pic:spPr>
                    <a:xfrm>
                      <a:off x="0" y="0"/>
                      <a:ext cx="3965743" cy="3965743"/>
                    </a:xfrm>
                    <a:prstGeom prst="rect">
                      <a:avLst/>
                    </a:prstGeom>
                  </pic:spPr>
                </pic:pic>
              </a:graphicData>
            </a:graphic>
          </wp:inline>
        </w:drawing>
      </w:r>
    </w:p>
    <w:p w14:paraId="21A99CD5" w14:textId="56E43F3D" w:rsidR="004D7445" w:rsidRPr="00D63ACE" w:rsidRDefault="00E760CE" w:rsidP="002C6E72">
      <w:pPr>
        <w:ind w:firstLine="0"/>
      </w:pPr>
      <w:r w:rsidRPr="00D63ACE">
        <w:rPr>
          <w:b/>
        </w:rPr>
        <w:t>Figure 1.</w:t>
      </w:r>
      <w:r w:rsidRPr="00D63ACE">
        <w:t xml:space="preserve"> GOSH plot for internal consistency.</w:t>
      </w:r>
    </w:p>
    <w:p w14:paraId="23D158EB" w14:textId="1A979CC7" w:rsidR="002548D2" w:rsidRPr="00D63ACE" w:rsidRDefault="002548D2" w:rsidP="00FD2754">
      <w:r w:rsidRPr="00D63ACE">
        <w:br w:type="page"/>
      </w:r>
    </w:p>
    <w:p w14:paraId="0CD811F2" w14:textId="6B2AEEB1" w:rsidR="00D53786" w:rsidRDefault="007D1D1A" w:rsidP="00155BF4">
      <w:pPr>
        <w:ind w:firstLine="0"/>
        <w:jc w:val="center"/>
      </w:pPr>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4"/>
                    <a:stretch>
                      <a:fillRect/>
                    </a:stretch>
                  </pic:blipFill>
                  <pic:spPr>
                    <a:xfrm>
                      <a:off x="0" y="0"/>
                      <a:ext cx="4875681" cy="5434600"/>
                    </a:xfrm>
                    <a:prstGeom prst="rect">
                      <a:avLst/>
                    </a:prstGeom>
                  </pic:spPr>
                </pic:pic>
              </a:graphicData>
            </a:graphic>
          </wp:inline>
        </w:drawing>
      </w:r>
    </w:p>
    <w:p w14:paraId="3E5BE64C" w14:textId="01E7B578" w:rsidR="007D1D1A" w:rsidRPr="00D63ACE" w:rsidRDefault="007D1D1A" w:rsidP="00155BF4">
      <w:pPr>
        <w:ind w:firstLine="0"/>
        <w:jc w:val="center"/>
      </w:pPr>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5"/>
                    <a:stretch>
                      <a:fillRect/>
                    </a:stretch>
                  </pic:blipFill>
                  <pic:spPr>
                    <a:xfrm>
                      <a:off x="0" y="0"/>
                      <a:ext cx="4900745" cy="2067333"/>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708DAFA6"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w:t>
      </w:r>
      <w:r w:rsidR="00087277">
        <w:t>.05, .30</w:t>
      </w:r>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r w:rsidR="00AC12D2">
        <w:t>5.9</w:t>
      </w:r>
      <w:r w:rsidRPr="00D63ACE">
        <w:t xml:space="preserve">, </w:t>
      </w:r>
      <w:r w:rsidRPr="00D63ACE">
        <w:rPr>
          <w:i/>
        </w:rPr>
        <w:t>p</w:t>
      </w:r>
      <w:r w:rsidRPr="00D63ACE">
        <w:t xml:space="preserve"> = .0</w:t>
      </w:r>
      <w:r w:rsidR="00AC12D2">
        <w:t>26</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r w:rsidR="00AC12D2">
        <w:t>54.9</w:t>
      </w:r>
      <w:r w:rsidRPr="00D63ACE">
        <w:t xml:space="preserve">%, </w:t>
      </w:r>
      <w:r w:rsidRPr="00D63ACE">
        <w:rPr>
          <w:i/>
        </w:rPr>
        <w:t>H</w:t>
      </w:r>
      <w:r w:rsidRPr="00D63ACE">
        <w:rPr>
          <w:rFonts w:cs="Times New Roman (Body CS)"/>
          <w:vertAlign w:val="superscript"/>
        </w:rPr>
        <w:t>2</w:t>
      </w:r>
      <w:r w:rsidRPr="00D63ACE">
        <w:t xml:space="preserve"> = 2.</w:t>
      </w:r>
      <w:r w:rsidR="00AC12D2">
        <w:t>2</w:t>
      </w:r>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6987130" w:rsidR="004B3A6F" w:rsidRPr="00D63ACE" w:rsidRDefault="007D1D1A" w:rsidP="00807084">
      <w:pPr>
        <w:ind w:firstLine="0"/>
        <w:jc w:val="center"/>
      </w:pPr>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6"/>
                    <a:stretch>
                      <a:fillRect/>
                    </a:stretch>
                  </pic:blipFill>
                  <pic:spPr>
                    <a:xfrm>
                      <a:off x="0" y="0"/>
                      <a:ext cx="3888448" cy="3888448"/>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2086D6EA" w:rsidR="00C70D03" w:rsidRPr="001D663A" w:rsidRDefault="00C70D03" w:rsidP="00C70D03">
      <w:r w:rsidRPr="001D663A">
        <w:t xml:space="preserve">Results demonstrate that the IRAP’s internal consistency is poor and its test-retest reliability is unacceptably low. </w:t>
      </w:r>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1AC5DB73"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r w:rsidR="002A378C" w:rsidRPr="00D63ACE">
        <w:t xml:space="preserve">in one </w:t>
      </w:r>
      <w:r w:rsidR="008E54C4" w:rsidRPr="00D63ACE">
        <w:t>previously published meta-analysis</w:t>
      </w:r>
      <w:r w:rsidR="00F83EC2">
        <w:t xml:space="preserve"> (</w:t>
      </w:r>
      <m:oMath>
        <m:sSub>
          <m:sSubPr>
            <m:ctrlPr>
              <w:ins w:id="9"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r w:rsidR="006F4BBB">
        <w:t>an</w:t>
      </w:r>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w:t>
      </w:r>
      <w:r w:rsidR="00087277">
        <w:t>.05, .30</w:t>
      </w:r>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r w:rsidR="007F7C99" w:rsidRPr="00D63ACE">
        <w:t>Differences</w:t>
      </w:r>
      <w:r w:rsidR="00906B76" w:rsidRPr="00D63ACE">
        <w:t xml:space="preserve"> </w:t>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ins w:id="10" w:author="Ian Hussey" w:date="2020-06-25T02:12:00Z">
                <w:rPr>
                  <w:rFonts w:ascii="Cambria Math" w:hAnsi="Cambria Math"/>
                  <w:i/>
                </w:rPr>
              </w:ins>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ins w:id="11" w:author="Ian Hussey" w:date="2020-06-25T02:12:00Z">
                <w:rPr>
                  <w:rFonts w:ascii="Cambria Math" w:hAnsi="Cambria Math"/>
                  <w:i/>
                </w:rPr>
              </w:ins>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ins w:id="12" w:author="Ian Hussey" w:date="2020-06-25T02:12:00Z">
                <w:rPr>
                  <w:rFonts w:ascii="Cambria Math" w:hAnsi="Cambria Math"/>
                  <w:i/>
                </w:rPr>
              </w:ins>
            </m:ctrlPr>
          </m:sSubPr>
          <m:e>
            <m:r>
              <w:rPr>
                <w:rFonts w:ascii="Cambria Math" w:hAnsi="Cambria Math"/>
              </w:rPr>
              <m:t>ρ</m:t>
            </m:r>
          </m:e>
          <m:sub>
            <m:r>
              <w:rPr>
                <w:rFonts w:ascii="Cambria Math" w:hAnsi="Cambria Math"/>
              </w:rPr>
              <m:t>xx</m:t>
            </m:r>
          </m:sub>
        </m:sSub>
      </m:oMath>
      <w:r w:rsidR="00262275" w:rsidRPr="00D63ACE">
        <w:t xml:space="preserve"> and </w:t>
      </w:r>
      <m:oMath>
        <m:sSub>
          <m:sSubPr>
            <m:ctrlPr>
              <w:ins w:id="13" w:author="Ian Hussey" w:date="2020-06-25T02:12:00Z">
                <w:rPr>
                  <w:rFonts w:ascii="Cambria Math" w:hAnsi="Cambria Math"/>
                  <w:i/>
                </w:rPr>
              </w:ins>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845C34" w:rsidP="005502C5">
      <m:oMathPara>
        <m:oMath>
          <m:sSub>
            <m:sSubPr>
              <m:ctrlPr>
                <w:ins w:id="14" w:author="Ian Hussey" w:date="2020-06-25T02:12:00Z">
                  <w:rPr>
                    <w:rFonts w:ascii="Cambria Math" w:hAnsi="Cambria Math"/>
                    <w:i/>
                  </w:rPr>
                </w:ins>
              </m:ctrlPr>
            </m:sSubPr>
            <m:e>
              <m:r>
                <w:rPr>
                  <w:rFonts w:ascii="Cambria Math" w:hAnsi="Cambria Math"/>
                </w:rPr>
                <m:t>r</m:t>
              </m:r>
            </m:e>
            <m:sub>
              <m:r>
                <w:rPr>
                  <w:rFonts w:ascii="Cambria Math" w:hAnsi="Cambria Math"/>
                </w:rPr>
                <m:t>xy</m:t>
              </m:r>
            </m:sub>
          </m:sSub>
          <m:r>
            <w:rPr>
              <w:rFonts w:ascii="Cambria Math" w:hAnsi="Cambria Math"/>
            </w:rPr>
            <m:t>=</m:t>
          </m:r>
          <m:f>
            <m:fPr>
              <m:ctrlPr>
                <w:ins w:id="15" w:author="Ian Hussey" w:date="2020-06-25T02:12:00Z">
                  <w:rPr>
                    <w:rFonts w:ascii="Cambria Math" w:hAnsi="Cambria Math"/>
                    <w:i/>
                  </w:rPr>
                </w:ins>
              </m:ctrlPr>
            </m:fPr>
            <m:num>
              <m:sSub>
                <m:sSubPr>
                  <m:ctrlPr>
                    <w:ins w:id="16" w:author="Ian Hussey" w:date="2020-06-25T02:12:00Z">
                      <w:rPr>
                        <w:rFonts w:ascii="Cambria Math" w:hAnsi="Cambria Math"/>
                        <w:i/>
                      </w:rPr>
                    </w:ins>
                  </m:ctrlPr>
                </m:sSubPr>
                <m:e>
                  <m:r>
                    <w:rPr>
                      <w:rFonts w:ascii="Cambria Math" w:hAnsi="Cambria Math"/>
                    </w:rPr>
                    <m:t>ρ</m:t>
                  </m:r>
                </m:e>
                <m:sub>
                  <m:r>
                    <w:rPr>
                      <w:rFonts w:ascii="Cambria Math" w:hAnsi="Cambria Math"/>
                    </w:rPr>
                    <m:t>xy</m:t>
                  </m:r>
                </m:sub>
              </m:sSub>
            </m:num>
            <m:den>
              <m:rad>
                <m:radPr>
                  <m:degHide m:val="1"/>
                  <m:ctrlPr>
                    <w:ins w:id="17" w:author="Ian Hussey" w:date="2020-06-25T02:12:00Z">
                      <w:rPr>
                        <w:rFonts w:ascii="Cambria Math" w:hAnsi="Cambria Math"/>
                        <w:i/>
                      </w:rPr>
                    </w:ins>
                  </m:ctrlPr>
                </m:radPr>
                <m:deg/>
                <m:e>
                  <m:sSub>
                    <m:sSubPr>
                      <m:ctrlPr>
                        <w:ins w:id="18" w:author="Ian Hussey" w:date="2020-06-25T02:12:00Z">
                          <w:rPr>
                            <w:rFonts w:ascii="Cambria Math" w:hAnsi="Cambria Math"/>
                            <w:i/>
                          </w:rPr>
                        </w:ins>
                      </m:ctrlPr>
                    </m:sSubPr>
                    <m:e>
                      <m:r>
                        <w:rPr>
                          <w:rFonts w:ascii="Cambria Math" w:hAnsi="Cambria Math"/>
                        </w:rPr>
                        <m:t>ρ</m:t>
                      </m:r>
                    </m:e>
                    <m:sub>
                      <m:r>
                        <w:rPr>
                          <w:rFonts w:ascii="Cambria Math" w:hAnsi="Cambria Math"/>
                        </w:rPr>
                        <m:t>xx</m:t>
                      </m:r>
                    </m:sub>
                  </m:sSub>
                  <m:sSub>
                    <m:sSubPr>
                      <m:ctrlPr>
                        <w:ins w:id="19" w:author="Ian Hussey" w:date="2020-06-25T02:12:00Z">
                          <w:rPr>
                            <w:rFonts w:ascii="Cambria Math" w:hAnsi="Cambria Math"/>
                            <w:i/>
                          </w:rPr>
                        </w:ins>
                      </m:ctrlPr>
                    </m:sSubPr>
                    <m:e>
                      <m:r>
                        <w:rPr>
                          <w:rFonts w:ascii="Cambria Math" w:hAnsi="Cambria Math"/>
                        </w:rPr>
                        <m:t>ρ</m:t>
                      </m:r>
                    </m:e>
                    <m:sub>
                      <m:r>
                        <w:rPr>
                          <w:rFonts w:ascii="Cambria Math" w:hAnsi="Cambria Math"/>
                        </w:rPr>
                        <m:t>yy</m:t>
                      </m:r>
                    </m:sub>
                  </m:sSub>
                </m:e>
              </m:rad>
            </m:den>
          </m:f>
        </m:oMath>
      </m:oMathPara>
    </w:p>
    <w:p w14:paraId="1CEA389C" w14:textId="7577D151"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r w:rsidR="0078629A">
        <w:t xml:space="preserve">of </w:t>
      </w:r>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78629A">
        <w:t xml:space="preserve"> </w:t>
      </w:r>
      <w:r w:rsidR="00C022D5" w:rsidRPr="00D63ACE">
        <w:t xml:space="preserve">and internal </w:t>
      </w:r>
      <w:r w:rsidR="00C022D5" w:rsidRPr="00286464">
        <w:t>consistency</w:t>
      </w:r>
      <w:r w:rsidR="0087159C" w:rsidRPr="007D1D1A">
        <w:t xml:space="preserve"> (α = </w:t>
      </w:r>
      <w:r w:rsidR="008A3489" w:rsidRPr="007D1D1A">
        <w:t>.51</w:t>
      </w:r>
      <w:r w:rsidR="0087159C" w:rsidRPr="007D1D1A">
        <w:t>)</w:t>
      </w:r>
      <w:r w:rsidR="00790448" w:rsidRPr="007D1D1A">
        <w:t xml:space="preserve">. Maximum correlations with the IRAP </w:t>
      </w:r>
      <w:r w:rsidR="00741481" w:rsidRPr="007D1D1A">
        <w:t xml:space="preserve">(i.e., where true correlation </w:t>
      </w:r>
      <m:oMath>
        <m:sSub>
          <m:sSubPr>
            <m:ctrlPr>
              <w:ins w:id="20" w:author="Ian Hussey" w:date="2020-06-25T02:12:00Z">
                <w:rPr>
                  <w:rFonts w:ascii="Cambria Math" w:hAnsi="Cambria Math"/>
                  <w:i/>
                </w:rPr>
              </w:ins>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r w:rsidR="00CC336F" w:rsidRPr="009F6A13">
        <w:t>1</w:t>
      </w:r>
      <w:r w:rsidR="00790448" w:rsidRPr="007D1D1A">
        <w:t>, respectively.</w:t>
      </w:r>
      <w:r w:rsidR="00741481" w:rsidRPr="007D1D1A">
        <w:t xml:space="preserve"> </w:t>
      </w:r>
      <w:r w:rsidR="00304299">
        <w:t xml:space="preserve">Maximum observable correlations could also be calculated for other true correlations; these would be </w:t>
      </w:r>
      <w:r w:rsidR="00C022D5" w:rsidRPr="007D1D1A">
        <w:t>also be scaled downward to a comparable degree</w:t>
      </w:r>
      <w:r w:rsidR="00304299">
        <w:t xml:space="preserve"> as those for perfect true correlations</w:t>
      </w:r>
      <w:r w:rsidR="00C022D5" w:rsidRPr="00286464">
        <w:t>. For example, a medium true correlation (</w:t>
      </w:r>
      <m:oMath>
        <m:sSub>
          <m:sSubPr>
            <m:ctrlPr>
              <w:ins w:id="21" w:author="Ian Hussey" w:date="2020-06-25T02:12:00Z">
                <w:rPr>
                  <w:rFonts w:ascii="Cambria Math" w:hAnsi="Cambria Math"/>
                  <w:i/>
                </w:rPr>
              </w:ins>
            </m:ctrlPr>
          </m:sSubPr>
          <m:e>
            <m:r>
              <w:rPr>
                <w:rFonts w:ascii="Cambria Math" w:hAnsi="Cambria Math"/>
              </w:rPr>
              <m:t>ρ</m:t>
            </m:r>
          </m:e>
          <m:sub>
            <m:r>
              <w:rPr>
                <w:rFonts w:ascii="Cambria Math" w:hAnsi="Cambria Math"/>
              </w:rPr>
              <m:t>xy</m:t>
            </m:r>
          </m:sub>
        </m:sSub>
      </m:oMath>
      <w:r w:rsidR="00C022D5" w:rsidRPr="00286464">
        <w:t xml:space="preserve"> = .5) would imply maximum observable correlations of </w:t>
      </w:r>
      <w:r w:rsidR="00C022D5" w:rsidRPr="00286464">
        <w:rPr>
          <w:i/>
        </w:rPr>
        <w:t>r</w:t>
      </w:r>
      <w:r w:rsidR="00C022D5" w:rsidRPr="00286464">
        <w:t xml:space="preserve"> = </w:t>
      </w:r>
      <w:r w:rsidR="00887CC8" w:rsidRPr="00286464">
        <w:t>.2</w:t>
      </w:r>
      <w:r w:rsidR="00647023" w:rsidRPr="00286464">
        <w:t>0</w:t>
      </w:r>
      <w:r w:rsidR="00887CC8" w:rsidRPr="00286464">
        <w:t xml:space="preserve"> </w:t>
      </w:r>
      <w:r w:rsidR="00E25376" w:rsidRPr="00286464">
        <w:t>and</w:t>
      </w:r>
      <w:r w:rsidR="00887CC8" w:rsidRPr="00286464">
        <w:t xml:space="preserve"> .</w:t>
      </w:r>
      <w:r w:rsidR="00C022D5" w:rsidRPr="00286464">
        <w:t>3</w:t>
      </w:r>
      <w:r w:rsidR="00CA6BA9" w:rsidRPr="00286464">
        <w:t>6</w:t>
      </w:r>
      <w:r w:rsidR="00C022D5" w:rsidRPr="00286464">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ins w:id="22" w:author="Ian Hussey" w:date="2020-06-25T02:12:00Z">
                <w:rPr>
                  <w:rFonts w:ascii="Cambria Math" w:hAnsi="Cambria Math"/>
                  <w:i/>
                </w:rPr>
              </w:ins>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ins w:id="23" w:author="Ian Hussey" w:date="2020-06-25T02:12:00Z">
                  <w:rPr>
                    <w:rFonts w:ascii="Cambria Math" w:hAnsi="Cambria Math"/>
                    <w:i/>
                  </w:rPr>
                </w:ins>
              </m:ctrlPr>
            </m:fPr>
            <m:num>
              <m:sSup>
                <m:sSupPr>
                  <m:ctrlPr>
                    <w:ins w:id="24" w:author="Ian Hussey" w:date="2020-06-25T02:12:00Z">
                      <w:rPr>
                        <w:rFonts w:ascii="Cambria Math" w:hAnsi="Cambria Math"/>
                        <w:i/>
                      </w:rPr>
                    </w:ins>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ins w:id="25" w:author="Ian Hussey" w:date="2020-06-25T02:12:00Z">
                      <w:rPr>
                        <w:rFonts w:ascii="Cambria Math" w:hAnsi="Cambria Math"/>
                        <w:i/>
                      </w:rPr>
                    </w:ins>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7AD35728"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8A3489">
        <w:t>.51</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CC336F">
        <w:t>3</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CC336F">
        <w:t>5</w:t>
      </w:r>
      <w:r w:rsidR="00134C4C" w:rsidRPr="00D63ACE">
        <w:t xml:space="preserve"> minutes and </w:t>
      </w:r>
      <w:r w:rsidR="006B68F3" w:rsidRPr="00D63ACE">
        <w:t>2.5 hours</w:t>
      </w:r>
      <w:r w:rsidR="00134C4C" w:rsidRPr="00D63ACE">
        <w:t xml:space="preserve"> </w:t>
      </w:r>
      <w:r w:rsidR="0078629A">
        <w:t xml:space="preserve">to </w:t>
      </w:r>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26B4D85" w14:textId="5989A5A8" w:rsidR="00955E29"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r w:rsidR="00304299">
        <w:t>exert</w:t>
      </w:r>
      <w:r w:rsidR="00304299" w:rsidRPr="00D63ACE">
        <w:t xml:space="preserve"> </w:t>
      </w:r>
      <w:r w:rsidR="004051DB" w:rsidRPr="00D63ACE">
        <w:t xml:space="preserve">better stimulus control </w:t>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304299">
        <w:t>, such as which practice performance criteria are employed, or features of the stimuli employed (e.g., their complexity or readability)</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r w:rsidR="0078629A">
        <w:t xml:space="preserve"> factor into IRAP performance</w:t>
      </w:r>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9D2B87">
        <w:instrText xml:space="preserve"> ADDIN ZOTERO_ITEM CSL_CITATION {"citationID":"QB8gEoox","properties":{"formattedCitation":"(e.g., women-men vs women-inanimate objects: Hussey et al., 2016)","plainCitation":"(e.g., women-men vs women-inanimate objects: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Ní"},{"family":"Barnes-Holmes","given":"Dermot"},{"family":"Ohtsuki","given":"Tomu"},{"family":"Kishita","given":"Naoko"},{"family":"Hughes","given":"Sean"},{"family":"Murphy","given":"Carol"}],"issued":{"date-parts":[["2016",6]]}},"prefix":"e.g., women-men vs women-inanimate objects: "}],"schema":"https://github.com/citation-style-language/schema/raw/master/csl-citation.json"} </w:instrText>
      </w:r>
      <w:r w:rsidR="00381C18" w:rsidRPr="00D63ACE">
        <w:fldChar w:fldCharType="separate"/>
      </w:r>
      <w:r w:rsidR="009D2B87">
        <w:t>(e.g., women-men vs women-inanimate objects: Hussey et al., 2016)</w:t>
      </w:r>
      <w:r w:rsidR="00381C18" w:rsidRPr="00D63ACE">
        <w:fldChar w:fldCharType="end"/>
      </w:r>
      <w:r w:rsidR="00F047C3">
        <w:t xml:space="preserve">, or the </w:t>
      </w:r>
      <w:r w:rsidR="00F047C3" w:rsidRPr="00B710F6">
        <w:t xml:space="preserve">instructions presented before each block that </w:t>
      </w:r>
      <w:r w:rsidR="00F047C3" w:rsidRPr="001D663A">
        <w:t>specify the responding rules for that block</w:t>
      </w:r>
      <w:r w:rsidR="00F047C3" w:rsidDel="00F047C3">
        <w:t xml:space="preserve">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r w:rsidR="00683B3D">
        <w:t>behavior</w:t>
      </w:r>
      <w:r w:rsidR="00A457A3" w:rsidRPr="00D63ACE">
        <w:t xml:space="preserve"> within the IRAP.</w:t>
      </w:r>
    </w:p>
    <w:p w14:paraId="30FAE22F" w14:textId="7BDA86B9" w:rsidR="00C85250" w:rsidRDefault="00C85250" w:rsidP="003451D7">
      <w:pPr>
        <w:pStyle w:val="Heading2"/>
      </w:pPr>
      <w:r w:rsidRPr="00D63ACE">
        <w:lastRenderedPageBreak/>
        <w:t>Conclusion</w:t>
      </w:r>
      <w:r w:rsidR="001D3937" w:rsidRPr="00D63ACE">
        <w:t>s</w:t>
      </w:r>
    </w:p>
    <w:p w14:paraId="096F6158" w14:textId="2A54154F" w:rsidR="00DC27E9" w:rsidRPr="00DC27E9" w:rsidRDefault="00DC27E9" w:rsidP="00DC27E9">
      <w:r>
        <w:t>M</w:t>
      </w:r>
      <w:r w:rsidRPr="00D63ACE">
        <w:t>easurement is a cornerstone of the scientific method</w:t>
      </w:r>
      <w:r>
        <w:t xml:space="preserve">, even in fields that do not </w:t>
      </w:r>
      <w:r w:rsidR="0042548E">
        <w:t xml:space="preserve">always </w:t>
      </w:r>
      <w:r>
        <w:t xml:space="preserve">explicate </w:t>
      </w:r>
      <w:r w:rsidR="0042548E">
        <w:t xml:space="preserve">this </w:t>
      </w:r>
      <w:r>
        <w:t xml:space="preserve">importance. </w:t>
      </w:r>
      <w:r w:rsidRPr="00D63ACE">
        <w:t xml:space="preserve">For example, even </w:t>
      </w:r>
      <w:r w:rsidR="0042548E">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w:t>
      </w:r>
      <w:r w:rsidR="0055405E">
        <w:t xml:space="preserve"> negatively</w:t>
      </w:r>
      <w:r>
        <w:t xml:space="preserve"> impacted by low reliability</w:t>
      </w:r>
      <w:r w:rsidR="006E543E">
        <w:t xml:space="preserve"> and poor measurement</w:t>
      </w:r>
      <w:r>
        <w:t xml:space="preserve">. </w:t>
      </w:r>
    </w:p>
    <w:p w14:paraId="7362C058" w14:textId="16C0F2A9" w:rsidR="001F34C8" w:rsidRPr="00DC27E9" w:rsidRDefault="001D3937" w:rsidP="00DC27E9">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prerequisite for validity </w:t>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966082">
        <w:rPr>
          <w:color w:val="000000" w:themeColor="text1"/>
        </w:rPr>
        <w:t xml:space="preserve">previous </w:t>
      </w:r>
      <w:r w:rsidRPr="00D63ACE">
        <w:rPr>
          <w:color w:val="000000" w:themeColor="text1"/>
        </w:rPr>
        <w:t xml:space="preserve">meta-analyses 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w:t>
      </w:r>
      <w:r w:rsidR="00EF6C78">
        <w:rPr>
          <w:color w:val="000000" w:themeColor="text1"/>
        </w:rPr>
        <w:t>very</w:t>
      </w:r>
      <w:r w:rsidRPr="00D63ACE">
        <w:rPr>
          <w:color w:val="000000" w:themeColor="text1"/>
        </w:rPr>
        <w:t xml:space="preserve"> cautious when choosing to use the IRAP in their research or when interpreting the results of IRAP studies. </w:t>
      </w:r>
      <w:r w:rsidR="00C85250"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59F349EB" w14:textId="77777777" w:rsidR="00C55F4F" w:rsidRPr="00C55F4F" w:rsidRDefault="003403B8" w:rsidP="00C55F4F">
      <w:pPr>
        <w:pStyle w:val="Bibliography"/>
        <w:rPr>
          <w:rFonts w:cs="CMU Serif Roman"/>
        </w:rPr>
      </w:pPr>
      <w:r>
        <w:rPr>
          <w:rFonts w:cs="CMU Serif Roman"/>
        </w:rPr>
        <w:t xml:space="preserve"> </w:t>
      </w:r>
      <w:r w:rsidR="00101D04">
        <w:rPr>
          <w:rFonts w:cs="CMU Serif Roman"/>
        </w:rPr>
        <w:fldChar w:fldCharType="begin"/>
      </w:r>
      <w:r w:rsidR="00101D04">
        <w:rPr>
          <w:rFonts w:cs="CMU Serif Roman"/>
        </w:rPr>
        <w:instrText xml:space="preserve"> ADDIN ZOTERO_BIBL {"uncited":[],"omitted":[],"custom":[]} CSL_BIBLIOGRAPHY </w:instrText>
      </w:r>
      <w:r w:rsidR="00101D04">
        <w:rPr>
          <w:rFonts w:cs="CMU Serif Roman"/>
        </w:rPr>
        <w:fldChar w:fldCharType="separate"/>
      </w:r>
      <w:r w:rsidR="00C55F4F" w:rsidRPr="00C55F4F">
        <w:rPr>
          <w:rFonts w:cs="CMU Serif Roman"/>
        </w:rPr>
        <w:t xml:space="preserve">Barnes-Holmes, D., Barnes-Holmes, Y., Stewart, I., &amp; Boles, S. (2010). A sketch of the Implicit Relational Assessment Procedure (IRAP) and the Relational Elaboration and Coherence (REC) model. </w:t>
      </w:r>
      <w:r w:rsidR="00C55F4F" w:rsidRPr="00C55F4F">
        <w:rPr>
          <w:rFonts w:cs="CMU Serif Roman"/>
          <w:i/>
          <w:iCs/>
        </w:rPr>
        <w:t>The Psychological Record</w:t>
      </w:r>
      <w:r w:rsidR="00C55F4F" w:rsidRPr="00C55F4F">
        <w:rPr>
          <w:rFonts w:cs="CMU Serif Roman"/>
        </w:rPr>
        <w:t xml:space="preserve">, </w:t>
      </w:r>
      <w:r w:rsidR="00C55F4F" w:rsidRPr="00C55F4F">
        <w:rPr>
          <w:rFonts w:cs="CMU Serif Roman"/>
          <w:i/>
          <w:iCs/>
        </w:rPr>
        <w:t>60</w:t>
      </w:r>
      <w:r w:rsidR="00C55F4F" w:rsidRPr="00C55F4F">
        <w:rPr>
          <w:rFonts w:cs="CMU Serif Roman"/>
        </w:rPr>
        <w:t>, 527–542.</w:t>
      </w:r>
    </w:p>
    <w:p w14:paraId="65679AB4" w14:textId="77777777" w:rsidR="00C55F4F" w:rsidRPr="00C55F4F" w:rsidRDefault="00C55F4F" w:rsidP="00C55F4F">
      <w:pPr>
        <w:pStyle w:val="Bibliography"/>
        <w:rPr>
          <w:rFonts w:cs="CMU Serif Roman"/>
        </w:rPr>
      </w:pPr>
      <w:r w:rsidRPr="00C55F4F">
        <w:rPr>
          <w:rFonts w:cs="CMU Serif Roman"/>
        </w:rPr>
        <w:t xml:space="preserve">De Schryver, M., Hussey, I., De Neve, J., Cartwright, A., &amp; Barnes-Holmes, D. (2018). The PIIRAP: An alternative scoring algorithm for the IRAP using a probabilistic semiparametric effect size measure. </w:t>
      </w:r>
      <w:r w:rsidRPr="00C55F4F">
        <w:rPr>
          <w:rFonts w:cs="CMU Serif Roman"/>
          <w:i/>
          <w:iCs/>
        </w:rPr>
        <w:t>Journal of Contextual Behavioral Science</w:t>
      </w:r>
      <w:r w:rsidRPr="00C55F4F">
        <w:rPr>
          <w:rFonts w:cs="CMU Serif Roman"/>
        </w:rPr>
        <w:t xml:space="preserve">, </w:t>
      </w:r>
      <w:r w:rsidRPr="00C55F4F">
        <w:rPr>
          <w:rFonts w:cs="CMU Serif Roman"/>
          <w:i/>
          <w:iCs/>
        </w:rPr>
        <w:t>7</w:t>
      </w:r>
      <w:r w:rsidRPr="00C55F4F">
        <w:rPr>
          <w:rFonts w:cs="CMU Serif Roman"/>
        </w:rPr>
        <w:t>, 97–103. https://doi.org/10.1016/j.jcbs.2018.01.001</w:t>
      </w:r>
    </w:p>
    <w:p w14:paraId="52A6DF87" w14:textId="77777777" w:rsidR="00C55F4F" w:rsidRPr="00C55F4F" w:rsidRDefault="00C55F4F" w:rsidP="00C55F4F">
      <w:pPr>
        <w:pStyle w:val="Bibliography"/>
        <w:rPr>
          <w:rFonts w:cs="CMU Serif Roman"/>
        </w:rPr>
      </w:pPr>
      <w:r w:rsidRPr="00C55F4F">
        <w:rPr>
          <w:rFonts w:cs="CMU Serif Roman"/>
        </w:rPr>
        <w:t xml:space="preserve">Devezer, B., Navarro, D. J., Vandekerckhove, J., &amp; Buzbas, E. O. (2020). The case for formal methodology in scientific reform. </w:t>
      </w:r>
      <w:r w:rsidRPr="00C55F4F">
        <w:rPr>
          <w:rFonts w:cs="CMU Serif Roman"/>
          <w:i/>
          <w:iCs/>
        </w:rPr>
        <w:t>Preprint</w:t>
      </w:r>
      <w:r w:rsidRPr="00C55F4F">
        <w:rPr>
          <w:rFonts w:cs="CMU Serif Roman"/>
        </w:rPr>
        <w:t>. https://doi.org/10.1101/2020.04.26.048306</w:t>
      </w:r>
    </w:p>
    <w:p w14:paraId="66DA2CB6" w14:textId="77777777" w:rsidR="00C55F4F" w:rsidRPr="00C55F4F" w:rsidRDefault="00C55F4F" w:rsidP="00C55F4F">
      <w:pPr>
        <w:pStyle w:val="Bibliography"/>
        <w:rPr>
          <w:rFonts w:cs="CMU Serif Roman"/>
        </w:rPr>
      </w:pPr>
      <w:r w:rsidRPr="00C55F4F">
        <w:rPr>
          <w:rFonts w:cs="CMU Serif Roman"/>
        </w:rPr>
        <w:t xml:space="preserve">Drake, C. E., Kramer, S., Sain, T., Swiatek, R., Kohn, K., &amp; Murphy, M. (2015). Exploring the reliability and convergent validity of implicit racial evaluations. </w:t>
      </w:r>
      <w:r w:rsidRPr="00C55F4F">
        <w:rPr>
          <w:rFonts w:cs="CMU Serif Roman"/>
          <w:i/>
          <w:iCs/>
        </w:rPr>
        <w:t>Behavior and Social Issues</w:t>
      </w:r>
      <w:r w:rsidRPr="00C55F4F">
        <w:rPr>
          <w:rFonts w:cs="CMU Serif Roman"/>
        </w:rPr>
        <w:t xml:space="preserve">, </w:t>
      </w:r>
      <w:r w:rsidRPr="00C55F4F">
        <w:rPr>
          <w:rFonts w:cs="CMU Serif Roman"/>
          <w:i/>
          <w:iCs/>
        </w:rPr>
        <w:t>24</w:t>
      </w:r>
      <w:r w:rsidRPr="00C55F4F">
        <w:rPr>
          <w:rFonts w:cs="CMU Serif Roman"/>
        </w:rPr>
        <w:t>. https://doi.org/10.5210/bsi.v24i0.5496</w:t>
      </w:r>
    </w:p>
    <w:p w14:paraId="5AF226D2" w14:textId="77777777" w:rsidR="00C55F4F" w:rsidRPr="00C55F4F" w:rsidRDefault="00C55F4F" w:rsidP="00C55F4F">
      <w:pPr>
        <w:pStyle w:val="Bibliography"/>
        <w:rPr>
          <w:rFonts w:cs="CMU Serif Roman"/>
        </w:rPr>
      </w:pPr>
      <w:r w:rsidRPr="00C55F4F">
        <w:rPr>
          <w:rFonts w:cs="CMU Serif Roman"/>
        </w:rPr>
        <w:t xml:space="preserve">Drake, C. E., Primeaux, S., &amp; Thomas, J. (2018). Comparing Implicit Gender Stereotypes Between Women and Men with the Implicit Relational Assessment Procedure. </w:t>
      </w:r>
      <w:r w:rsidRPr="00C55F4F">
        <w:rPr>
          <w:rFonts w:cs="CMU Serif Roman"/>
          <w:i/>
          <w:iCs/>
        </w:rPr>
        <w:t>Gender Issues</w:t>
      </w:r>
      <w:r w:rsidRPr="00C55F4F">
        <w:rPr>
          <w:rFonts w:cs="CMU Serif Roman"/>
        </w:rPr>
        <w:t xml:space="preserve">, </w:t>
      </w:r>
      <w:r w:rsidRPr="00C55F4F">
        <w:rPr>
          <w:rFonts w:cs="CMU Serif Roman"/>
          <w:i/>
          <w:iCs/>
        </w:rPr>
        <w:t>35</w:t>
      </w:r>
      <w:r w:rsidRPr="00C55F4F">
        <w:rPr>
          <w:rFonts w:cs="CMU Serif Roman"/>
        </w:rPr>
        <w:t>(1), 3–20. https://doi.org/10.1007/s12147-017-9189-6</w:t>
      </w:r>
    </w:p>
    <w:p w14:paraId="16C824ED" w14:textId="77777777" w:rsidR="00C55F4F" w:rsidRPr="00C55F4F" w:rsidRDefault="00C55F4F" w:rsidP="00C55F4F">
      <w:pPr>
        <w:pStyle w:val="Bibliography"/>
        <w:rPr>
          <w:rFonts w:cs="CMU Serif Roman"/>
        </w:rPr>
      </w:pPr>
      <w:r w:rsidRPr="00C55F4F">
        <w:rPr>
          <w:rFonts w:cs="CMU Serif Roman"/>
        </w:rPr>
        <w:t xml:space="preserve">Drake, C. E., Seymour, K. H., &amp; Habib, R. (2016). Testing the IRAP: Exploring the Reliability and Fakability of an Idiographic Approach to Interpersonal </w:t>
      </w:r>
      <w:r w:rsidRPr="00C55F4F">
        <w:rPr>
          <w:rFonts w:cs="CMU Serif Roman"/>
        </w:rPr>
        <w:lastRenderedPageBreak/>
        <w:t xml:space="preserve">Attitudes.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(1), 153–163. https://doi.org/10.1007/s40732-015-0160-1</w:t>
      </w:r>
    </w:p>
    <w:p w14:paraId="173D5B63" w14:textId="77777777" w:rsidR="00C55F4F" w:rsidRPr="00C55F4F" w:rsidRDefault="00C55F4F" w:rsidP="00C55F4F">
      <w:pPr>
        <w:pStyle w:val="Bibliography"/>
        <w:rPr>
          <w:rFonts w:cs="CMU Serif Roman"/>
        </w:rPr>
      </w:pPr>
      <w:r w:rsidRPr="00C55F4F">
        <w:rPr>
          <w:rFonts w:cs="CMU Serif Roman"/>
        </w:rPr>
        <w:t xml:space="preserve">Finn, M., Barnes-Holmes, D., Hussey, I., &amp; Graddy, J. (2016). Exploring the Behavioral Dynamics of the Implicit Relational Assessment Procedure: The Impact of Three Types of Introductory Rules. </w:t>
      </w:r>
      <w:r w:rsidRPr="00C55F4F">
        <w:rPr>
          <w:rFonts w:cs="CMU Serif Roman"/>
          <w:i/>
          <w:iCs/>
        </w:rPr>
        <w:t>The Psychological Record</w:t>
      </w:r>
      <w:r w:rsidRPr="00C55F4F">
        <w:rPr>
          <w:rFonts w:cs="CMU Serif Roman"/>
        </w:rPr>
        <w:t>, 1–13.</w:t>
      </w:r>
    </w:p>
    <w:p w14:paraId="27E79CCA" w14:textId="77777777" w:rsidR="00C55F4F" w:rsidRPr="00C55F4F" w:rsidRDefault="00C55F4F" w:rsidP="00C55F4F">
      <w:pPr>
        <w:pStyle w:val="Bibliography"/>
        <w:rPr>
          <w:rFonts w:cs="CMU Serif Roman"/>
        </w:rPr>
      </w:pPr>
      <w:r w:rsidRPr="00C55F4F">
        <w:rPr>
          <w:rFonts w:cs="CMU Serif Roman"/>
        </w:rPr>
        <w:t xml:space="preserve">Flake, J. K., &amp; Fried, E. I. (2019). </w:t>
      </w:r>
      <w:r w:rsidRPr="00C55F4F">
        <w:rPr>
          <w:rFonts w:cs="CMU Serif Roman"/>
          <w:i/>
          <w:iCs/>
        </w:rPr>
        <w:t>Measurement Schmeasurement: Questionable Measurement Practices and How to Avoid Them</w:t>
      </w:r>
      <w:r w:rsidRPr="00C55F4F">
        <w:rPr>
          <w:rFonts w:cs="CMU Serif Roman"/>
        </w:rPr>
        <w:t xml:space="preserve">. </w:t>
      </w:r>
      <w:r w:rsidRPr="00C55F4F">
        <w:rPr>
          <w:rFonts w:cs="CMU Serif Roman"/>
          <w:i/>
          <w:iCs/>
        </w:rPr>
        <w:t>Preprint</w:t>
      </w:r>
      <w:r w:rsidRPr="00C55F4F">
        <w:rPr>
          <w:rFonts w:cs="CMU Serif Roman"/>
        </w:rPr>
        <w:t>. https://doi.org/10.31234/osf.io/hs7wm</w:t>
      </w:r>
    </w:p>
    <w:p w14:paraId="7B76B138" w14:textId="77777777" w:rsidR="00C55F4F" w:rsidRPr="00C55F4F" w:rsidRDefault="00C55F4F" w:rsidP="00C55F4F">
      <w:pPr>
        <w:pStyle w:val="Bibliography"/>
        <w:rPr>
          <w:rFonts w:cs="CMU Serif Roman"/>
        </w:rPr>
      </w:pPr>
      <w:r w:rsidRPr="00C55F4F">
        <w:rPr>
          <w:rFonts w:cs="CMU Serif Roman"/>
        </w:rPr>
        <w:t xml:space="preserve">Gawronski, B., &amp; De Houwer, J. (2011). Implicit measures in social and personality psychology. In C. M. Judd (Ed.), </w:t>
      </w:r>
      <w:r w:rsidRPr="00C55F4F">
        <w:rPr>
          <w:rFonts w:cs="CMU Serif Roman"/>
          <w:i/>
          <w:iCs/>
        </w:rPr>
        <w:t>Handbook of research methods in social and personality psychology</w:t>
      </w:r>
      <w:r w:rsidRPr="00C55F4F">
        <w:rPr>
          <w:rFonts w:cs="CMU Serif Roman"/>
        </w:rPr>
        <w:t xml:space="preserve"> (Vol. 2). Cambridge University Press. 10.1017/CBO9780511996481.016</w:t>
      </w:r>
    </w:p>
    <w:p w14:paraId="1379A842" w14:textId="77777777" w:rsidR="00C55F4F" w:rsidRPr="00C55F4F" w:rsidRDefault="00C55F4F" w:rsidP="00C55F4F">
      <w:pPr>
        <w:pStyle w:val="Bibliography"/>
        <w:rPr>
          <w:rFonts w:cs="CMU Serif Roman"/>
        </w:rPr>
      </w:pPr>
      <w:r w:rsidRPr="00C55F4F">
        <w:rPr>
          <w:rFonts w:cs="CMU Serif Roman"/>
        </w:rPr>
        <w:t xml:space="preserve">Golijani-Moghaddam, N., Hart, A., &amp; Dawson, D. L. (2013). The Implicit Relational Assessment Procedure: Emerging reliability and validity data. </w:t>
      </w:r>
      <w:r w:rsidRPr="00C55F4F">
        <w:rPr>
          <w:rFonts w:cs="CMU Serif Roman"/>
          <w:i/>
          <w:iCs/>
        </w:rPr>
        <w:t>Journal of Contextual Behavioral Science</w:t>
      </w:r>
      <w:r w:rsidRPr="00C55F4F">
        <w:rPr>
          <w:rFonts w:cs="CMU Serif Roman"/>
        </w:rPr>
        <w:t xml:space="preserve">, </w:t>
      </w:r>
      <w:r w:rsidRPr="00C55F4F">
        <w:rPr>
          <w:rFonts w:cs="CMU Serif Roman"/>
          <w:i/>
          <w:iCs/>
        </w:rPr>
        <w:t>2</w:t>
      </w:r>
      <w:r w:rsidRPr="00C55F4F">
        <w:rPr>
          <w:rFonts w:cs="CMU Serif Roman"/>
        </w:rPr>
        <w:t>(3–4), 105–119. https://doi.org/10.1016/j.jcbs.2013.05.002</w:t>
      </w:r>
    </w:p>
    <w:p w14:paraId="3D38A9A5" w14:textId="77777777" w:rsidR="00C55F4F" w:rsidRPr="00C55F4F" w:rsidRDefault="00C55F4F" w:rsidP="00C55F4F">
      <w:pPr>
        <w:pStyle w:val="Bibliography"/>
        <w:rPr>
          <w:rFonts w:cs="CMU Serif Roman"/>
        </w:rPr>
      </w:pPr>
      <w:r w:rsidRPr="00C55F4F">
        <w:rPr>
          <w:rFonts w:cs="CMU Serif Roman"/>
        </w:rPr>
        <w:t xml:space="preserve">Greenwald, A. G., &amp; Banaji, M. R. (1995). Implicit social cognition: Attitudes, self-esteem, and stereotypes. </w:t>
      </w:r>
      <w:r w:rsidRPr="00C55F4F">
        <w:rPr>
          <w:rFonts w:cs="CMU Serif Roman"/>
          <w:i/>
          <w:iCs/>
        </w:rPr>
        <w:t>Psychological Review</w:t>
      </w:r>
      <w:r w:rsidRPr="00C55F4F">
        <w:rPr>
          <w:rFonts w:cs="CMU Serif Roman"/>
        </w:rPr>
        <w:t xml:space="preserve">, </w:t>
      </w:r>
      <w:r w:rsidRPr="00C55F4F">
        <w:rPr>
          <w:rFonts w:cs="CMU Serif Roman"/>
          <w:i/>
          <w:iCs/>
        </w:rPr>
        <w:t>102</w:t>
      </w:r>
      <w:r w:rsidRPr="00C55F4F">
        <w:rPr>
          <w:rFonts w:cs="CMU Serif Roman"/>
        </w:rPr>
        <w:t>(1), 4.</w:t>
      </w:r>
    </w:p>
    <w:p w14:paraId="41D0E539" w14:textId="77777777" w:rsidR="00C55F4F" w:rsidRPr="00C55F4F" w:rsidRDefault="00C55F4F" w:rsidP="00C55F4F">
      <w:pPr>
        <w:pStyle w:val="Bibliography"/>
        <w:rPr>
          <w:rFonts w:cs="CMU Serif Roman"/>
        </w:rPr>
      </w:pPr>
      <w:r w:rsidRPr="00C55F4F">
        <w:rPr>
          <w:rFonts w:cs="CMU Serif Roman"/>
        </w:rPr>
        <w:lastRenderedPageBreak/>
        <w:t xml:space="preserve">Greenwald, A. G., &amp; Lai, C. K. (2020). Implicit Social Cognition. </w:t>
      </w:r>
      <w:r w:rsidRPr="00C55F4F">
        <w:rPr>
          <w:rFonts w:cs="CMU Serif Roman"/>
          <w:i/>
          <w:iCs/>
        </w:rPr>
        <w:t>Annual Review of Psychology</w:t>
      </w:r>
      <w:r w:rsidRPr="00C55F4F">
        <w:rPr>
          <w:rFonts w:cs="CMU Serif Roman"/>
        </w:rPr>
        <w:t xml:space="preserve">, </w:t>
      </w:r>
      <w:r w:rsidRPr="00C55F4F">
        <w:rPr>
          <w:rFonts w:cs="CMU Serif Roman"/>
          <w:i/>
          <w:iCs/>
        </w:rPr>
        <w:t>71</w:t>
      </w:r>
      <w:r w:rsidRPr="00C55F4F">
        <w:rPr>
          <w:rFonts w:cs="CMU Serif Roman"/>
        </w:rPr>
        <w:t>(1), 419–445. https://doi.org/10.1146/annurev-psych-010419-050837</w:t>
      </w:r>
    </w:p>
    <w:p w14:paraId="05F6A416" w14:textId="77777777" w:rsidR="00C55F4F" w:rsidRPr="00C55F4F" w:rsidRDefault="00C55F4F" w:rsidP="00C55F4F">
      <w:pPr>
        <w:pStyle w:val="Bibliography"/>
        <w:rPr>
          <w:rFonts w:cs="CMU Serif Roman"/>
        </w:rPr>
      </w:pPr>
      <w:r w:rsidRPr="00C55F4F">
        <w:rPr>
          <w:rFonts w:cs="CMU Serif Roman"/>
        </w:rPr>
        <w:t xml:space="preserve">Greenwald, A. G., McGhee, D. E., &amp; Schwartz, J. L. (1998). Measuring individual differences in implicit cognition: The Implicit Association Test. </w:t>
      </w:r>
      <w:r w:rsidRPr="00C55F4F">
        <w:rPr>
          <w:rFonts w:cs="CMU Serif Roman"/>
          <w:i/>
          <w:iCs/>
        </w:rPr>
        <w:t>Journal of Personality and Social Psychology</w:t>
      </w:r>
      <w:r w:rsidRPr="00C55F4F">
        <w:rPr>
          <w:rFonts w:cs="CMU Serif Roman"/>
        </w:rPr>
        <w:t xml:space="preserve">, </w:t>
      </w:r>
      <w:r w:rsidRPr="00C55F4F">
        <w:rPr>
          <w:rFonts w:cs="CMU Serif Roman"/>
          <w:i/>
          <w:iCs/>
        </w:rPr>
        <w:t>74</w:t>
      </w:r>
      <w:r w:rsidRPr="00C55F4F">
        <w:rPr>
          <w:rFonts w:cs="CMU Serif Roman"/>
        </w:rPr>
        <w:t>(6), 1464–1480. https://doi.org/10.1037/0022-3514.74.6.1464</w:t>
      </w:r>
    </w:p>
    <w:p w14:paraId="62019471" w14:textId="77777777" w:rsidR="00C55F4F" w:rsidRPr="00C55F4F" w:rsidRDefault="00C55F4F" w:rsidP="00C55F4F">
      <w:pPr>
        <w:pStyle w:val="Bibliography"/>
        <w:rPr>
          <w:rFonts w:cs="CMU Serif Roman"/>
        </w:rPr>
      </w:pPr>
      <w:r w:rsidRPr="00C55F4F">
        <w:rPr>
          <w:rFonts w:cs="CMU Serif Roman"/>
        </w:rPr>
        <w:t xml:space="preserve">Hussey, I. (2020). The IRAP is not suitable for individual use due to very wide confidence intervals around D scores. </w:t>
      </w:r>
      <w:r w:rsidRPr="00C55F4F">
        <w:rPr>
          <w:rFonts w:cs="CMU Serif Roman"/>
          <w:i/>
          <w:iCs/>
        </w:rPr>
        <w:t>Preprint</w:t>
      </w:r>
      <w:r w:rsidRPr="00C55F4F">
        <w:rPr>
          <w:rFonts w:cs="CMU Serif Roman"/>
        </w:rPr>
        <w:t>. https://doi.org/10.31234/osf.io/w2ygr</w:t>
      </w:r>
    </w:p>
    <w:p w14:paraId="71A89295" w14:textId="77777777" w:rsidR="00C55F4F" w:rsidRPr="00C55F4F" w:rsidRDefault="00C55F4F" w:rsidP="00C55F4F">
      <w:pPr>
        <w:pStyle w:val="Bibliography"/>
        <w:rPr>
          <w:rFonts w:cs="CMU Serif Roman"/>
        </w:rPr>
      </w:pPr>
      <w:r w:rsidRPr="00C55F4F">
        <w:rPr>
          <w:rFonts w:cs="CMU Serif Roman"/>
        </w:rPr>
        <w:t xml:space="preserve">Hussey, I., Daly, T., &amp; Barnes-Holmes, D. (2015). Life is Good, But Death Ain’t Bad Either: Counter-Intuitive Implicit Biases to Death in a Normative Population. </w:t>
      </w:r>
      <w:r w:rsidRPr="00C55F4F">
        <w:rPr>
          <w:rFonts w:cs="CMU Serif Roman"/>
          <w:i/>
          <w:iCs/>
        </w:rPr>
        <w:t>The Psychological Record</w:t>
      </w:r>
      <w:r w:rsidRPr="00C55F4F">
        <w:rPr>
          <w:rFonts w:cs="CMU Serif Roman"/>
        </w:rPr>
        <w:t xml:space="preserve">, </w:t>
      </w:r>
      <w:r w:rsidRPr="00C55F4F">
        <w:rPr>
          <w:rFonts w:cs="CMU Serif Roman"/>
          <w:i/>
          <w:iCs/>
        </w:rPr>
        <w:t>65</w:t>
      </w:r>
      <w:r w:rsidRPr="00C55F4F">
        <w:rPr>
          <w:rFonts w:cs="CMU Serif Roman"/>
        </w:rPr>
        <w:t>(4), 731–742. https://doi.org/10.1007/s40732-015-0142-3</w:t>
      </w:r>
    </w:p>
    <w:p w14:paraId="6B0C4EAB" w14:textId="77777777" w:rsidR="00C55F4F" w:rsidRPr="00C55F4F" w:rsidRDefault="00C55F4F" w:rsidP="00C55F4F">
      <w:pPr>
        <w:pStyle w:val="Bibliography"/>
        <w:rPr>
          <w:rFonts w:cs="CMU Serif Roman"/>
        </w:rPr>
      </w:pPr>
      <w:r w:rsidRPr="00C55F4F">
        <w:rPr>
          <w:rFonts w:cs="CMU Serif Roman"/>
        </w:rPr>
        <w:t xml:space="preserve">Hussey, I., &amp; Hughes, S. (2020). Hidden Invalidity Among 15 Commonly Used Measures in Social and Personality Psychology. </w:t>
      </w:r>
      <w:r w:rsidRPr="00C55F4F">
        <w:rPr>
          <w:rFonts w:cs="CMU Serif Roman"/>
          <w:i/>
          <w:iCs/>
        </w:rPr>
        <w:t>Advances in Methods and Practices in Psychological Science</w:t>
      </w:r>
      <w:r w:rsidRPr="00C55F4F">
        <w:rPr>
          <w:rFonts w:cs="CMU Serif Roman"/>
        </w:rPr>
        <w:t>, 2515245919882903. https://doi.org/10.1177/2515245919882903</w:t>
      </w:r>
    </w:p>
    <w:p w14:paraId="5232EFBB" w14:textId="77777777" w:rsidR="00C55F4F" w:rsidRPr="00C55F4F" w:rsidRDefault="00C55F4F" w:rsidP="00C55F4F">
      <w:pPr>
        <w:pStyle w:val="Bibliography"/>
        <w:rPr>
          <w:rFonts w:cs="CMU Serif Roman"/>
        </w:rPr>
      </w:pPr>
      <w:r w:rsidRPr="00C55F4F">
        <w:rPr>
          <w:rFonts w:cs="CMU Serif Roman"/>
        </w:rPr>
        <w:t xml:space="preserve">Hussey, I., Mhaoileoin, D. N., Barnes-Holmes, D., Ohtsuki, T., Kishita, N., Hughes, S., &amp; Murphy, C. (2016). The IRAP Is Nonrelative but not Acontextual: Changes to the Contrast Category Influence Men’s Dehumanization of </w:t>
      </w:r>
      <w:r w:rsidRPr="00C55F4F">
        <w:rPr>
          <w:rFonts w:cs="CMU Serif Roman"/>
        </w:rPr>
        <w:lastRenderedPageBreak/>
        <w:t xml:space="preserve">Women.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(2), 291–299. https://doi.org/10.1007/s40732-016-0171-6</w:t>
      </w:r>
    </w:p>
    <w:p w14:paraId="0723AB49" w14:textId="77777777" w:rsidR="00C55F4F" w:rsidRPr="00C55F4F" w:rsidRDefault="00C55F4F" w:rsidP="00C55F4F">
      <w:pPr>
        <w:pStyle w:val="Bibliography"/>
        <w:rPr>
          <w:rFonts w:cs="CMU Serif Roman"/>
        </w:rPr>
      </w:pPr>
      <w:r w:rsidRPr="00C55F4F">
        <w:rPr>
          <w:rFonts w:cs="CMU Serif Roman"/>
        </w:rPr>
        <w:t xml:space="preserve">Hussey, I., Thompson, M., McEnteggart, C., Barnes-Holmes, D., &amp; Barnes-Holmes, Y. (2015). Interpreting and inverting with less cursing: A guide to interpreting IRAP data. </w:t>
      </w:r>
      <w:r w:rsidRPr="00C55F4F">
        <w:rPr>
          <w:rFonts w:cs="CMU Serif Roman"/>
          <w:i/>
          <w:iCs/>
        </w:rPr>
        <w:t>Journal of Contextual Behavioral Science</w:t>
      </w:r>
      <w:r w:rsidRPr="00C55F4F">
        <w:rPr>
          <w:rFonts w:cs="CMU Serif Roman"/>
        </w:rPr>
        <w:t xml:space="preserve">, </w:t>
      </w:r>
      <w:r w:rsidRPr="00C55F4F">
        <w:rPr>
          <w:rFonts w:cs="CMU Serif Roman"/>
          <w:i/>
          <w:iCs/>
        </w:rPr>
        <w:t>4</w:t>
      </w:r>
      <w:r w:rsidRPr="00C55F4F">
        <w:rPr>
          <w:rFonts w:cs="CMU Serif Roman"/>
        </w:rPr>
        <w:t>(3), 157–162. https://doi.org/10.1016/j.jcbs.2015.05.001</w:t>
      </w:r>
    </w:p>
    <w:p w14:paraId="7E6EB488" w14:textId="77777777" w:rsidR="00C55F4F" w:rsidRPr="00C55F4F" w:rsidRDefault="00C55F4F" w:rsidP="00C55F4F">
      <w:pPr>
        <w:pStyle w:val="Bibliography"/>
        <w:rPr>
          <w:rFonts w:cs="CMU Serif Roman"/>
        </w:rPr>
      </w:pPr>
      <w:r w:rsidRPr="00C55F4F">
        <w:rPr>
          <w:rFonts w:cs="CMU Serif Roman"/>
        </w:rPr>
        <w:t xml:space="preserve">Loevinger, J. (1957). Objective Tests as Instruments of Psychological Theory. </w:t>
      </w:r>
      <w:r w:rsidRPr="00C55F4F">
        <w:rPr>
          <w:rFonts w:cs="CMU Serif Roman"/>
          <w:i/>
          <w:iCs/>
        </w:rPr>
        <w:t>Psychological Reports</w:t>
      </w:r>
      <w:r w:rsidRPr="00C55F4F">
        <w:rPr>
          <w:rFonts w:cs="CMU Serif Roman"/>
        </w:rPr>
        <w:t xml:space="preserve">, </w:t>
      </w:r>
      <w:r w:rsidRPr="00C55F4F">
        <w:rPr>
          <w:rFonts w:cs="CMU Serif Roman"/>
          <w:i/>
          <w:iCs/>
        </w:rPr>
        <w:t>3</w:t>
      </w:r>
      <w:r w:rsidRPr="00C55F4F">
        <w:rPr>
          <w:rFonts w:cs="CMU Serif Roman"/>
        </w:rPr>
        <w:t>(3), 635–694. https://doi.org/10.2466/pr0.1957.3.3.635</w:t>
      </w:r>
    </w:p>
    <w:p w14:paraId="7810BB44" w14:textId="77777777" w:rsidR="00C55F4F" w:rsidRPr="00C55F4F" w:rsidRDefault="00C55F4F" w:rsidP="00C55F4F">
      <w:pPr>
        <w:pStyle w:val="Bibliography"/>
        <w:rPr>
          <w:rFonts w:cs="CMU Serif Roman"/>
        </w:rPr>
      </w:pPr>
      <w:r w:rsidRPr="00C55F4F">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43</w:t>
      </w:r>
      <w:r w:rsidRPr="00C55F4F">
        <w:rPr>
          <w:rFonts w:cs="CMU Serif Roman"/>
        </w:rPr>
        <w:t>(3), 922–930. https://doi.org/10.1016/j.jbtep.2012.02.001</w:t>
      </w:r>
    </w:p>
    <w:p w14:paraId="34ED1544" w14:textId="77777777" w:rsidR="00C55F4F" w:rsidRPr="00C55F4F" w:rsidRDefault="00C55F4F" w:rsidP="00C55F4F">
      <w:pPr>
        <w:pStyle w:val="Bibliography"/>
        <w:rPr>
          <w:rFonts w:cs="CMU Serif Roman"/>
        </w:rPr>
      </w:pPr>
      <w:r w:rsidRPr="00C55F4F">
        <w:rPr>
          <w:rFonts w:cs="CMU Serif Roman"/>
        </w:rPr>
        <w:t xml:space="preserve">Nosek, B. A., Bar-Anan, Y., Sriram, N., &amp; Greenwald, A. G. (2013). </w:t>
      </w:r>
      <w:r w:rsidRPr="00C55F4F">
        <w:rPr>
          <w:rFonts w:cs="CMU Serif Roman"/>
          <w:i/>
          <w:iCs/>
        </w:rPr>
        <w:t>Understanding and using the Brief Implicit Association Test: Recommended scoring procedures</w:t>
      </w:r>
      <w:r w:rsidRPr="00C55F4F">
        <w:rPr>
          <w:rFonts w:cs="CMU Serif Roman"/>
        </w:rPr>
        <w:t xml:space="preserve"> [Unpublished manuscript.]. http://ssrn.com/abstract=2196002</w:t>
      </w:r>
    </w:p>
    <w:p w14:paraId="0655AB65" w14:textId="77777777" w:rsidR="00C55F4F" w:rsidRPr="00C55F4F" w:rsidRDefault="00C55F4F" w:rsidP="00C55F4F">
      <w:pPr>
        <w:pStyle w:val="Bibliography"/>
        <w:rPr>
          <w:rFonts w:cs="CMU Serif Roman"/>
        </w:rPr>
      </w:pPr>
      <w:r w:rsidRPr="00C55F4F">
        <w:rPr>
          <w:rFonts w:cs="CMU Serif Roman"/>
        </w:rPr>
        <w:t xml:space="preserve">Nosek, B. A., Hawkins, C. B., &amp; Frazier, R. S. (2011). Implicit social cognition: From measures to mechanisms. </w:t>
      </w:r>
      <w:r w:rsidRPr="00C55F4F">
        <w:rPr>
          <w:rFonts w:cs="CMU Serif Roman"/>
          <w:i/>
          <w:iCs/>
        </w:rPr>
        <w:t>Trends in Cognitive Sciences</w:t>
      </w:r>
      <w:r w:rsidRPr="00C55F4F">
        <w:rPr>
          <w:rFonts w:cs="CMU Serif Roman"/>
        </w:rPr>
        <w:t xml:space="preserve">, </w:t>
      </w:r>
      <w:r w:rsidRPr="00C55F4F">
        <w:rPr>
          <w:rFonts w:cs="CMU Serif Roman"/>
          <w:i/>
          <w:iCs/>
        </w:rPr>
        <w:t>15</w:t>
      </w:r>
      <w:r w:rsidRPr="00C55F4F">
        <w:rPr>
          <w:rFonts w:cs="CMU Serif Roman"/>
        </w:rPr>
        <w:t>(4), 152–159. https://doi.org/10.1016/j.tics.2011.01.005</w:t>
      </w:r>
    </w:p>
    <w:p w14:paraId="1F9D056E" w14:textId="77777777" w:rsidR="00C55F4F" w:rsidRPr="00C55F4F" w:rsidRDefault="00C55F4F" w:rsidP="00C55F4F">
      <w:pPr>
        <w:pStyle w:val="Bibliography"/>
        <w:rPr>
          <w:rFonts w:cs="CMU Serif Roman"/>
        </w:rPr>
      </w:pPr>
      <w:r w:rsidRPr="00C55F4F">
        <w:rPr>
          <w:rFonts w:cs="CMU Serif Roman"/>
        </w:rPr>
        <w:t xml:space="preserve">Nunnally, J., &amp; Bernstein, I. (1994). </w:t>
      </w:r>
      <w:r w:rsidRPr="00C55F4F">
        <w:rPr>
          <w:rFonts w:cs="CMU Serif Roman"/>
          <w:i/>
          <w:iCs/>
        </w:rPr>
        <w:t>Psychometric Theory</w:t>
      </w:r>
      <w:r w:rsidRPr="00C55F4F">
        <w:rPr>
          <w:rFonts w:cs="CMU Serif Roman"/>
        </w:rPr>
        <w:t xml:space="preserve"> (3rd edition). McGraw-Hill.</w:t>
      </w:r>
    </w:p>
    <w:p w14:paraId="65E6083A" w14:textId="77777777" w:rsidR="00C55F4F" w:rsidRPr="00C55F4F" w:rsidRDefault="00C55F4F" w:rsidP="00C55F4F">
      <w:pPr>
        <w:pStyle w:val="Bibliography"/>
        <w:rPr>
          <w:rFonts w:cs="CMU Serif Roman"/>
        </w:rPr>
      </w:pPr>
      <w:r w:rsidRPr="00C55F4F">
        <w:rPr>
          <w:rFonts w:cs="CMU Serif Roman"/>
        </w:rPr>
        <w:lastRenderedPageBreak/>
        <w:t xml:space="preserve">Olkin, I., Dahabreh, I. J., &amp; Trikalinos, T. A. (2012). GOSH - a graphical display of study heterogeneity. </w:t>
      </w:r>
      <w:r w:rsidRPr="00C55F4F">
        <w:rPr>
          <w:rFonts w:cs="CMU Serif Roman"/>
          <w:i/>
          <w:iCs/>
        </w:rPr>
        <w:t>Research Synthesis Methods</w:t>
      </w:r>
      <w:r w:rsidRPr="00C55F4F">
        <w:rPr>
          <w:rFonts w:cs="CMU Serif Roman"/>
        </w:rPr>
        <w:t xml:space="preserve">, </w:t>
      </w:r>
      <w:r w:rsidRPr="00C55F4F">
        <w:rPr>
          <w:rFonts w:cs="CMU Serif Roman"/>
          <w:i/>
          <w:iCs/>
        </w:rPr>
        <w:t>3</w:t>
      </w:r>
      <w:r w:rsidRPr="00C55F4F">
        <w:rPr>
          <w:rFonts w:cs="CMU Serif Roman"/>
        </w:rPr>
        <w:t>(3), 214–223. https://doi.org/10.1002/jrsm.1053</w:t>
      </w:r>
    </w:p>
    <w:p w14:paraId="44D68CE9" w14:textId="77777777" w:rsidR="00C55F4F" w:rsidRPr="00C55F4F" w:rsidRDefault="00C55F4F" w:rsidP="00C55F4F">
      <w:pPr>
        <w:pStyle w:val="Bibliography"/>
        <w:rPr>
          <w:rFonts w:cs="CMU Serif Roman"/>
        </w:rPr>
      </w:pPr>
      <w:r w:rsidRPr="00C55F4F">
        <w:rPr>
          <w:rFonts w:cs="CMU Serif Roman"/>
        </w:rPr>
        <w:t xml:space="preserve">Parsons, S. (2018). </w:t>
      </w:r>
      <w:r w:rsidRPr="00C55F4F">
        <w:rPr>
          <w:rFonts w:cs="CMU Serif Roman"/>
          <w:i/>
          <w:iCs/>
        </w:rPr>
        <w:t>Visualising two approaches to explore reliability-power relationships</w:t>
      </w:r>
      <w:r w:rsidRPr="00C55F4F">
        <w:rPr>
          <w:rFonts w:cs="CMU Serif Roman"/>
        </w:rPr>
        <w:t>. https://doi.org/10.31234/osf.io/qh5mf</w:t>
      </w:r>
    </w:p>
    <w:p w14:paraId="75E89970" w14:textId="77777777" w:rsidR="00C55F4F" w:rsidRPr="00C55F4F" w:rsidRDefault="00C55F4F" w:rsidP="00C55F4F">
      <w:pPr>
        <w:pStyle w:val="Bibliography"/>
        <w:rPr>
          <w:rFonts w:cs="CMU Serif Roman"/>
        </w:rPr>
      </w:pPr>
      <w:r w:rsidRPr="00C55F4F">
        <w:rPr>
          <w:rFonts w:cs="CMU Serif Roman"/>
        </w:rPr>
        <w:t xml:space="preserve">Parsons, S., Kruijt, A.-W., &amp; Fox, E. (2019). Psychological Science Needs a Standard Practice of Reporting the Reliability of Cognitive-Behavioral Measurements. </w:t>
      </w:r>
      <w:r w:rsidRPr="00C55F4F">
        <w:rPr>
          <w:rFonts w:cs="CMU Serif Roman"/>
          <w:i/>
          <w:iCs/>
        </w:rPr>
        <w:t>Advances in Methods and Practices in Psychological Science</w:t>
      </w:r>
      <w:r w:rsidRPr="00C55F4F">
        <w:rPr>
          <w:rFonts w:cs="CMU Serif Roman"/>
        </w:rPr>
        <w:t xml:space="preserve">, </w:t>
      </w:r>
      <w:r w:rsidRPr="00C55F4F">
        <w:rPr>
          <w:rFonts w:cs="CMU Serif Roman"/>
          <w:i/>
          <w:iCs/>
        </w:rPr>
        <w:t>2</w:t>
      </w:r>
      <w:r w:rsidRPr="00C55F4F">
        <w:rPr>
          <w:rFonts w:cs="CMU Serif Roman"/>
        </w:rPr>
        <w:t>(4), 378–395. https://doi.org/10.1177/2515245919879695</w:t>
      </w:r>
    </w:p>
    <w:p w14:paraId="775352DF" w14:textId="77777777" w:rsidR="00C55F4F" w:rsidRPr="00C55F4F" w:rsidRDefault="00C55F4F" w:rsidP="00C55F4F">
      <w:pPr>
        <w:pStyle w:val="Bibliography"/>
        <w:rPr>
          <w:rFonts w:cs="CMU Serif Roman"/>
        </w:rPr>
      </w:pPr>
      <w:r w:rsidRPr="00C55F4F">
        <w:rPr>
          <w:rFonts w:cs="CMU Serif Roman"/>
        </w:rPr>
        <w:t xml:space="preserve">R Core Team. (2020). </w:t>
      </w:r>
      <w:r w:rsidRPr="00C55F4F">
        <w:rPr>
          <w:rFonts w:cs="CMU Serif Roman"/>
          <w:i/>
          <w:iCs/>
        </w:rPr>
        <w:t>R: A language and environment for statistical computing</w:t>
      </w:r>
      <w:r w:rsidRPr="00C55F4F">
        <w:rPr>
          <w:rFonts w:cs="CMU Serif Roman"/>
        </w:rPr>
        <w:t xml:space="preserve"> (4.0) [Computer software]. R Foundation for Statistical Computing. https://www.R-project.org/</w:t>
      </w:r>
    </w:p>
    <w:p w14:paraId="529F3883" w14:textId="77777777" w:rsidR="00C55F4F" w:rsidRPr="00C55F4F" w:rsidRDefault="00C55F4F" w:rsidP="00C55F4F">
      <w:pPr>
        <w:pStyle w:val="Bibliography"/>
        <w:rPr>
          <w:rFonts w:cs="CMU Serif Roman"/>
        </w:rPr>
      </w:pPr>
      <w:r w:rsidRPr="00C55F4F">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C55F4F">
        <w:rPr>
          <w:rFonts w:cs="CMU Serif Roman"/>
          <w:i/>
          <w:iCs/>
        </w:rPr>
        <w:t>Cognition &amp; Emotion</w:t>
      </w:r>
      <w:r w:rsidRPr="00C55F4F">
        <w:rPr>
          <w:rFonts w:cs="CMU Serif Roman"/>
        </w:rPr>
        <w:t xml:space="preserve">, </w:t>
      </w:r>
      <w:r w:rsidRPr="00C55F4F">
        <w:rPr>
          <w:rFonts w:cs="CMU Serif Roman"/>
          <w:i/>
          <w:iCs/>
        </w:rPr>
        <w:t>27</w:t>
      </w:r>
      <w:r w:rsidRPr="00C55F4F">
        <w:rPr>
          <w:rFonts w:cs="CMU Serif Roman"/>
        </w:rPr>
        <w:t>(8), 1441–1449. https://doi.org/10.1080/02699931.2013.786681</w:t>
      </w:r>
    </w:p>
    <w:p w14:paraId="4147CB0A" w14:textId="77777777" w:rsidR="00C55F4F" w:rsidRPr="00C55F4F" w:rsidRDefault="00C55F4F" w:rsidP="00C55F4F">
      <w:pPr>
        <w:pStyle w:val="Bibliography"/>
        <w:rPr>
          <w:rFonts w:cs="CMU Serif Roman"/>
        </w:rPr>
      </w:pPr>
      <w:r w:rsidRPr="00C55F4F">
        <w:rPr>
          <w:rFonts w:cs="CMU Serif Roman"/>
        </w:rPr>
        <w:t xml:space="preserve">Remue, J., Hughes, S., De Houwer, J., &amp; De Raedt, R. (2014). To Be or Want to Be: Disentangling the Role of Actual versus Ideal Self in Implicit Self-Esteem. </w:t>
      </w:r>
      <w:r w:rsidRPr="00C55F4F">
        <w:rPr>
          <w:rFonts w:cs="CMU Serif Roman"/>
          <w:i/>
          <w:iCs/>
        </w:rPr>
        <w:t>PLoS ONE</w:t>
      </w:r>
      <w:r w:rsidRPr="00C55F4F">
        <w:rPr>
          <w:rFonts w:cs="CMU Serif Roman"/>
        </w:rPr>
        <w:t xml:space="preserve">, </w:t>
      </w:r>
      <w:r w:rsidRPr="00C55F4F">
        <w:rPr>
          <w:rFonts w:cs="CMU Serif Roman"/>
          <w:i/>
          <w:iCs/>
        </w:rPr>
        <w:t>9</w:t>
      </w:r>
      <w:r w:rsidRPr="00C55F4F">
        <w:rPr>
          <w:rFonts w:cs="CMU Serif Roman"/>
        </w:rPr>
        <w:t>(9), e108837. https://doi.org/10.1371/journal.pone.0108837</w:t>
      </w:r>
    </w:p>
    <w:p w14:paraId="7A45031D" w14:textId="77777777" w:rsidR="00C55F4F" w:rsidRPr="00C55F4F" w:rsidRDefault="00C55F4F" w:rsidP="00C55F4F">
      <w:pPr>
        <w:pStyle w:val="Bibliography"/>
        <w:rPr>
          <w:rFonts w:cs="CMU Serif Roman"/>
        </w:rPr>
      </w:pPr>
      <w:r w:rsidRPr="00C55F4F">
        <w:rPr>
          <w:rFonts w:cs="CMU Serif Roman"/>
        </w:rPr>
        <w:lastRenderedPageBreak/>
        <w:t xml:space="preserve">Revelle, W. (2016). </w:t>
      </w:r>
      <w:r w:rsidRPr="00C55F4F">
        <w:rPr>
          <w:rFonts w:cs="CMU Serif Roman"/>
          <w:i/>
          <w:iCs/>
        </w:rPr>
        <w:t>psych: Procedures for Psychological, Psychometric, and Personality Research</w:t>
      </w:r>
      <w:r w:rsidRPr="00C55F4F">
        <w:rPr>
          <w:rFonts w:cs="CMU Serif Roman"/>
        </w:rPr>
        <w:t>. Northwestern University. http://CRAN.R-project.org/package=psych</w:t>
      </w:r>
    </w:p>
    <w:p w14:paraId="4495707D" w14:textId="77777777" w:rsidR="00C55F4F" w:rsidRPr="00C55F4F" w:rsidRDefault="00C55F4F" w:rsidP="00C55F4F">
      <w:pPr>
        <w:pStyle w:val="Bibliography"/>
        <w:rPr>
          <w:rFonts w:cs="CMU Serif Roman"/>
        </w:rPr>
      </w:pPr>
      <w:r w:rsidRPr="00C55F4F">
        <w:rPr>
          <w:rFonts w:cs="CMU Serif Roman"/>
        </w:rPr>
        <w:t xml:space="preserve">Vahey, N. A., Nicholson, E., &amp; Barnes-Holmes, D. (2015). A meta-analysis of criterion effects for the Implicit Relational Assessment Procedure (IRAP) in the clinical domain.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48</w:t>
      </w:r>
      <w:r w:rsidRPr="00C55F4F">
        <w:rPr>
          <w:rFonts w:cs="CMU Serif Roman"/>
        </w:rPr>
        <w:t>, 59–65. https://doi.org/10.1016/j.jbtep.2015.01.004</w:t>
      </w:r>
    </w:p>
    <w:p w14:paraId="3409361D" w14:textId="77777777" w:rsidR="00C55F4F" w:rsidRPr="00C55F4F" w:rsidRDefault="00C55F4F" w:rsidP="00C55F4F">
      <w:pPr>
        <w:pStyle w:val="Bibliography"/>
        <w:rPr>
          <w:rFonts w:cs="CMU Serif Roman"/>
        </w:rPr>
      </w:pPr>
      <w:r w:rsidRPr="00C55F4F">
        <w:rPr>
          <w:rFonts w:cs="CMU Serif Roman"/>
        </w:rPr>
        <w:t xml:space="preserve">Viechtbauer, W. (2010). Conducting Meta-Analyses in R with the metafor Package. </w:t>
      </w:r>
      <w:r w:rsidRPr="00C55F4F">
        <w:rPr>
          <w:rFonts w:cs="CMU Serif Roman"/>
          <w:i/>
          <w:iCs/>
        </w:rPr>
        <w:t>Journal of Statistical Software</w:t>
      </w:r>
      <w:r w:rsidRPr="00C55F4F">
        <w:rPr>
          <w:rFonts w:cs="CMU Serif Roman"/>
        </w:rPr>
        <w:t xml:space="preserve">, </w:t>
      </w:r>
      <w:r w:rsidRPr="00C55F4F">
        <w:rPr>
          <w:rFonts w:cs="CMU Serif Roman"/>
          <w:i/>
          <w:iCs/>
        </w:rPr>
        <w:t>36</w:t>
      </w:r>
      <w:r w:rsidRPr="00C55F4F">
        <w:rPr>
          <w:rFonts w:cs="CMU Serif Roman"/>
        </w:rPr>
        <w:t>(3). https://doi.org/10.18637/jss.v036.i03</w:t>
      </w:r>
    </w:p>
    <w:p w14:paraId="61BE35A5" w14:textId="09A105E6" w:rsidR="004559D9" w:rsidRPr="00D63ACE" w:rsidRDefault="00101D04" w:rsidP="00061147">
      <w:pPr>
        <w:ind w:firstLine="0"/>
      </w:pPr>
      <w:r>
        <w:rPr>
          <w:rFonts w:cs="CMU Serif Roman"/>
        </w:rPr>
        <w:fldChar w:fldCharType="end"/>
      </w:r>
    </w:p>
    <w:sectPr w:rsidR="004559D9" w:rsidRPr="00D63ACE" w:rsidSect="00D63ACE">
      <w:headerReference w:type="default" r:id="rId17"/>
      <w:headerReference w:type="first" r:id="rId18"/>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F380" w14:textId="77777777" w:rsidR="00845C34" w:rsidRDefault="00845C34">
      <w:pPr>
        <w:spacing w:line="240" w:lineRule="auto"/>
      </w:pPr>
      <w:r>
        <w:separator/>
      </w:r>
    </w:p>
  </w:endnote>
  <w:endnote w:type="continuationSeparator" w:id="0">
    <w:p w14:paraId="50943B57" w14:textId="77777777" w:rsidR="00845C34" w:rsidRDefault="00845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C029F" w14:textId="77777777" w:rsidR="00845C34" w:rsidRDefault="00845C34">
      <w:pPr>
        <w:spacing w:line="240" w:lineRule="auto"/>
      </w:pPr>
      <w:r>
        <w:separator/>
      </w:r>
    </w:p>
  </w:footnote>
  <w:footnote w:type="continuationSeparator" w:id="0">
    <w:p w14:paraId="1B3BD891" w14:textId="77777777" w:rsidR="00845C34" w:rsidRDefault="00845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845C34">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0E3"/>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05E4"/>
    <w:rsid w:val="000F1AB4"/>
    <w:rsid w:val="000F79F9"/>
    <w:rsid w:val="00100AD2"/>
    <w:rsid w:val="00101406"/>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5502"/>
    <w:rsid w:val="001666E1"/>
    <w:rsid w:val="0016684D"/>
    <w:rsid w:val="00170CE0"/>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2258"/>
    <w:rsid w:val="002824C5"/>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989"/>
    <w:rsid w:val="002A5BD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299"/>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88D"/>
    <w:rsid w:val="003929DF"/>
    <w:rsid w:val="003943BB"/>
    <w:rsid w:val="003963AD"/>
    <w:rsid w:val="0039652D"/>
    <w:rsid w:val="003966C3"/>
    <w:rsid w:val="003A20D5"/>
    <w:rsid w:val="003A2284"/>
    <w:rsid w:val="003A6054"/>
    <w:rsid w:val="003A64D6"/>
    <w:rsid w:val="003A67B3"/>
    <w:rsid w:val="003A7F3F"/>
    <w:rsid w:val="003B0D7E"/>
    <w:rsid w:val="003B10DC"/>
    <w:rsid w:val="003B11AF"/>
    <w:rsid w:val="003B16FC"/>
    <w:rsid w:val="003B3B5B"/>
    <w:rsid w:val="003B3D03"/>
    <w:rsid w:val="003B6D96"/>
    <w:rsid w:val="003C1C21"/>
    <w:rsid w:val="003C26CE"/>
    <w:rsid w:val="003C53B5"/>
    <w:rsid w:val="003C6B57"/>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4704"/>
    <w:rsid w:val="00415A5F"/>
    <w:rsid w:val="0041680B"/>
    <w:rsid w:val="00417AEC"/>
    <w:rsid w:val="00423D53"/>
    <w:rsid w:val="00423EFA"/>
    <w:rsid w:val="00424241"/>
    <w:rsid w:val="0042548E"/>
    <w:rsid w:val="004264D8"/>
    <w:rsid w:val="0042744C"/>
    <w:rsid w:val="004275BF"/>
    <w:rsid w:val="00427EE9"/>
    <w:rsid w:val="004316D7"/>
    <w:rsid w:val="0043272C"/>
    <w:rsid w:val="004408F8"/>
    <w:rsid w:val="00441AE6"/>
    <w:rsid w:val="00442A82"/>
    <w:rsid w:val="00442E5C"/>
    <w:rsid w:val="004430F3"/>
    <w:rsid w:val="004432BE"/>
    <w:rsid w:val="0044432E"/>
    <w:rsid w:val="00445190"/>
    <w:rsid w:val="004453DF"/>
    <w:rsid w:val="00445CAC"/>
    <w:rsid w:val="00445D77"/>
    <w:rsid w:val="0044665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0B4B"/>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59F3"/>
    <w:rsid w:val="00507B61"/>
    <w:rsid w:val="0051500F"/>
    <w:rsid w:val="005224F0"/>
    <w:rsid w:val="005231D3"/>
    <w:rsid w:val="00523B9E"/>
    <w:rsid w:val="00527F94"/>
    <w:rsid w:val="00530FA9"/>
    <w:rsid w:val="005319E2"/>
    <w:rsid w:val="005323BD"/>
    <w:rsid w:val="005356AC"/>
    <w:rsid w:val="00540900"/>
    <w:rsid w:val="00545F36"/>
    <w:rsid w:val="00547A47"/>
    <w:rsid w:val="005502C5"/>
    <w:rsid w:val="0055405E"/>
    <w:rsid w:val="005540A9"/>
    <w:rsid w:val="00554FCC"/>
    <w:rsid w:val="00556D87"/>
    <w:rsid w:val="00562050"/>
    <w:rsid w:val="0056247A"/>
    <w:rsid w:val="00564E00"/>
    <w:rsid w:val="00571150"/>
    <w:rsid w:val="005714CA"/>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2EC7"/>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4AEC"/>
    <w:rsid w:val="00615E3B"/>
    <w:rsid w:val="00620FB1"/>
    <w:rsid w:val="00624483"/>
    <w:rsid w:val="0062490C"/>
    <w:rsid w:val="00630AE7"/>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543E"/>
    <w:rsid w:val="006E6200"/>
    <w:rsid w:val="006F0669"/>
    <w:rsid w:val="006F16BE"/>
    <w:rsid w:val="006F192B"/>
    <w:rsid w:val="006F1D62"/>
    <w:rsid w:val="006F1F98"/>
    <w:rsid w:val="006F2FEB"/>
    <w:rsid w:val="006F4051"/>
    <w:rsid w:val="006F4AFD"/>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1F31"/>
    <w:rsid w:val="0074435B"/>
    <w:rsid w:val="00744D52"/>
    <w:rsid w:val="00744FCF"/>
    <w:rsid w:val="00745FBF"/>
    <w:rsid w:val="00747ECD"/>
    <w:rsid w:val="007518F6"/>
    <w:rsid w:val="00751CCA"/>
    <w:rsid w:val="00751FD1"/>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42D5"/>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35C13"/>
    <w:rsid w:val="00843C18"/>
    <w:rsid w:val="0084434F"/>
    <w:rsid w:val="0084500C"/>
    <w:rsid w:val="00845C34"/>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1D0A"/>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DEB"/>
    <w:rsid w:val="00921F39"/>
    <w:rsid w:val="00922C11"/>
    <w:rsid w:val="00925188"/>
    <w:rsid w:val="00925518"/>
    <w:rsid w:val="00925D5A"/>
    <w:rsid w:val="00926376"/>
    <w:rsid w:val="00933AF4"/>
    <w:rsid w:val="0093723D"/>
    <w:rsid w:val="00941EE5"/>
    <w:rsid w:val="00942940"/>
    <w:rsid w:val="00943D78"/>
    <w:rsid w:val="0095063F"/>
    <w:rsid w:val="00950898"/>
    <w:rsid w:val="00951152"/>
    <w:rsid w:val="0095352F"/>
    <w:rsid w:val="009552D1"/>
    <w:rsid w:val="00955E29"/>
    <w:rsid w:val="0095653C"/>
    <w:rsid w:val="00956633"/>
    <w:rsid w:val="0095746A"/>
    <w:rsid w:val="00957D39"/>
    <w:rsid w:val="009609F7"/>
    <w:rsid w:val="0096231B"/>
    <w:rsid w:val="00966082"/>
    <w:rsid w:val="00966169"/>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2B87"/>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6F3B"/>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0787"/>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58CA"/>
    <w:rsid w:val="00B26AF0"/>
    <w:rsid w:val="00B270FA"/>
    <w:rsid w:val="00B27C62"/>
    <w:rsid w:val="00B332D2"/>
    <w:rsid w:val="00B33A25"/>
    <w:rsid w:val="00B35D84"/>
    <w:rsid w:val="00B41FBF"/>
    <w:rsid w:val="00B43474"/>
    <w:rsid w:val="00B44169"/>
    <w:rsid w:val="00B45896"/>
    <w:rsid w:val="00B458EC"/>
    <w:rsid w:val="00B45904"/>
    <w:rsid w:val="00B50DA9"/>
    <w:rsid w:val="00B50F4B"/>
    <w:rsid w:val="00B5149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5C75"/>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5C49"/>
    <w:rsid w:val="00C3640A"/>
    <w:rsid w:val="00C36626"/>
    <w:rsid w:val="00C37241"/>
    <w:rsid w:val="00C37C32"/>
    <w:rsid w:val="00C417EC"/>
    <w:rsid w:val="00C41C01"/>
    <w:rsid w:val="00C4697F"/>
    <w:rsid w:val="00C47094"/>
    <w:rsid w:val="00C537AE"/>
    <w:rsid w:val="00C54F08"/>
    <w:rsid w:val="00C54FDA"/>
    <w:rsid w:val="00C55F4F"/>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5BC"/>
    <w:rsid w:val="00CB26F8"/>
    <w:rsid w:val="00CB55D3"/>
    <w:rsid w:val="00CB68E8"/>
    <w:rsid w:val="00CB69FF"/>
    <w:rsid w:val="00CC2744"/>
    <w:rsid w:val="00CC336F"/>
    <w:rsid w:val="00CD0C1B"/>
    <w:rsid w:val="00CD0C29"/>
    <w:rsid w:val="00CD1069"/>
    <w:rsid w:val="00CD22FC"/>
    <w:rsid w:val="00CD25AB"/>
    <w:rsid w:val="00CD2E7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5A84"/>
    <w:rsid w:val="00D0702B"/>
    <w:rsid w:val="00D100E7"/>
    <w:rsid w:val="00D10DCD"/>
    <w:rsid w:val="00D13321"/>
    <w:rsid w:val="00D14BB6"/>
    <w:rsid w:val="00D15AF9"/>
    <w:rsid w:val="00D167B2"/>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5C70"/>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68B"/>
    <w:rsid w:val="00DA5F1D"/>
    <w:rsid w:val="00DA71E9"/>
    <w:rsid w:val="00DB047A"/>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12A"/>
    <w:rsid w:val="00DF7A4E"/>
    <w:rsid w:val="00E0211D"/>
    <w:rsid w:val="00E03F5F"/>
    <w:rsid w:val="00E045A2"/>
    <w:rsid w:val="00E0673D"/>
    <w:rsid w:val="00E06F94"/>
    <w:rsid w:val="00E10C56"/>
    <w:rsid w:val="00E11443"/>
    <w:rsid w:val="00E1162E"/>
    <w:rsid w:val="00E12FB3"/>
    <w:rsid w:val="00E13C97"/>
    <w:rsid w:val="00E20289"/>
    <w:rsid w:val="00E20F2E"/>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8FD"/>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1F1D"/>
    <w:rsid w:val="00EE3721"/>
    <w:rsid w:val="00EE66C5"/>
    <w:rsid w:val="00EF0150"/>
    <w:rsid w:val="00EF0743"/>
    <w:rsid w:val="00EF11FF"/>
    <w:rsid w:val="00EF154C"/>
    <w:rsid w:val="00EF3D1E"/>
    <w:rsid w:val="00EF6290"/>
    <w:rsid w:val="00EF6C78"/>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199"/>
    <w:rsid w:val="00F766BD"/>
    <w:rsid w:val="00F77C23"/>
    <w:rsid w:val="00F77E56"/>
    <w:rsid w:val="00F80072"/>
    <w:rsid w:val="00F8054B"/>
    <w:rsid w:val="00F83EC2"/>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3.emf"/><Relationship Id="rId28" Type="http://schemas.microsoft.com/office/2018/08/relationships/commentsExtensible" Target="commentsExtensible.xml"/><Relationship Id="rId10" Type="http://schemas.openxmlformats.org/officeDocument/2006/relationships/hyperlink" Target="https://osf.io/v3tw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F10D8E95-6799-A04C-854D-7774C96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59</TotalTime>
  <Pages>28</Pages>
  <Words>17053</Words>
  <Characters>97203</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33</cp:revision>
  <dcterms:created xsi:type="dcterms:W3CDTF">2020-06-24T19:08:00Z</dcterms:created>
  <dcterms:modified xsi:type="dcterms:W3CDTF">2020-06-25T00:20:00Z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