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D36" w14:textId="77777777" w:rsidR="00E01432" w:rsidRDefault="00E01432" w:rsidP="00E01432">
      <w:pPr>
        <w:pStyle w:val="Title"/>
      </w:pPr>
    </w:p>
    <w:p w14:paraId="060FCB2D" w14:textId="77777777" w:rsidR="00E01432" w:rsidRDefault="00E01432" w:rsidP="00E01432">
      <w:pPr>
        <w:pStyle w:val="Title"/>
      </w:pPr>
    </w:p>
    <w:p w14:paraId="26F2268F" w14:textId="77777777" w:rsidR="00E01432" w:rsidRDefault="00E01432" w:rsidP="00E01432">
      <w:pPr>
        <w:pStyle w:val="Title"/>
      </w:pPr>
    </w:p>
    <w:p w14:paraId="32BE120B" w14:textId="77777777" w:rsidR="00E01432" w:rsidRPr="00E01432" w:rsidRDefault="00E01432" w:rsidP="00E01432">
      <w:pPr>
        <w:pStyle w:val="Title"/>
      </w:pPr>
    </w:p>
    <w:p w14:paraId="40C6FE85" w14:textId="77777777" w:rsidR="00AD1F7D" w:rsidRPr="00E01432" w:rsidRDefault="00AD1F7D" w:rsidP="00E01432">
      <w:pPr>
        <w:pStyle w:val="Title"/>
      </w:pPr>
      <w:r w:rsidRPr="00E01432">
        <w:t>The Implicit Relational Assessment Procedure demonstrates poor internal consistency and test-retest reliability: A meta-analysis</w:t>
      </w:r>
    </w:p>
    <w:p w14:paraId="2D1F1BF2" w14:textId="77777777" w:rsidR="00E01432" w:rsidRDefault="00E01432" w:rsidP="00E01432">
      <w:pPr>
        <w:pStyle w:val="authors"/>
      </w:pPr>
    </w:p>
    <w:p w14:paraId="1D7FCE69" w14:textId="77777777" w:rsidR="00AD1F7D" w:rsidRDefault="00AD1F7D" w:rsidP="00E01432">
      <w:pPr>
        <w:pStyle w:val="authors"/>
      </w:pPr>
      <w:r w:rsidRPr="00E01432">
        <w:t>Ian Hussey &amp; Chad E. Drake</w:t>
      </w:r>
    </w:p>
    <w:p w14:paraId="4B1E4E29" w14:textId="77777777" w:rsidR="00E01432" w:rsidRPr="00E01432" w:rsidRDefault="00E01432" w:rsidP="00E01432">
      <w:pPr>
        <w:pStyle w:val="authors"/>
      </w:pPr>
    </w:p>
    <w:p w14:paraId="64A967B0" w14:textId="01A5464B" w:rsidR="00AD1F7D" w:rsidRPr="00E01432" w:rsidRDefault="00AD1F7D" w:rsidP="00E01432">
      <w:pPr>
        <w:pStyle w:val="abstract"/>
      </w:pPr>
      <w:bookmarkStart w:id="0" w:name="_56xfx6b2flw9" w:colFirst="0" w:colLast="0"/>
      <w:bookmarkEnd w:id="0"/>
      <w:r w:rsidRPr="00E01432">
        <w: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w:t>
      </w:r>
      <w:r w:rsidRPr="007F282E">
        <w:rPr>
          <w:i/>
          <w:iCs/>
        </w:rPr>
        <w:t>k</w:t>
      </w:r>
      <w:r w:rsidRPr="00E01432">
        <w:t xml:space="preserve"> = 16) and participants (</w:t>
      </w:r>
      <w:r w:rsidRPr="007F282E">
        <w:rPr>
          <w:i/>
          <w:iCs/>
        </w:rPr>
        <w:t>N</w:t>
      </w:r>
      <w:r w:rsidRPr="00E01432">
        <w:t xml:space="preserve"> = </w:t>
      </w:r>
      <w:r w:rsidRPr="00613F4B">
        <w:t>1576</w:t>
      </w:r>
      <w:r w:rsidRPr="00E01432">
        <w:t>). Results suggest that internal consistency is poor (α = .51, 95% CI [.46, .56]) and test-retest reliability is very poor (ICC</w:t>
      </w:r>
      <w:r w:rsidR="007F282E">
        <w:t>[2,1]</w:t>
      </w:r>
      <w:r w:rsidRPr="00E01432">
        <w:t xml:space="preserve"> = .2</w:t>
      </w:r>
      <w:r w:rsidR="00613F4B">
        <w:t>1</w:t>
      </w:r>
      <w:r w:rsidRPr="00E01432">
        <w:t>, 95% CI [.0</w:t>
      </w:r>
      <w:r w:rsidR="00613F4B">
        <w:t>6</w:t>
      </w:r>
      <w:r w:rsidRPr="00E01432">
        <w:t>, .3</w:t>
      </w:r>
      <w:r w:rsidR="00613F4B">
        <w:t>6</w:t>
      </w:r>
      <w:r w:rsidRPr="00E01432">
        <w:t>]). We conclude that researchers should be very cautious about choosing to employ the IRAP or when interpreting its results.</w:t>
      </w:r>
    </w:p>
    <w:p w14:paraId="51FBC140" w14:textId="77777777" w:rsidR="00E01432" w:rsidRDefault="00E01432" w:rsidP="002C2E48"/>
    <w:p w14:paraId="423186D2" w14:textId="77777777" w:rsidR="00E01432" w:rsidRDefault="00E01432" w:rsidP="002C2E48">
      <w:pPr>
        <w:sectPr w:rsidR="00E01432" w:rsidSect="00ED4CEC">
          <w:footerReference w:type="even" r:id="rId7"/>
          <w:footerReference w:type="default" r:id="rId8"/>
          <w:pgSz w:w="11900" w:h="16840"/>
          <w:pgMar w:top="1440" w:right="1440" w:bottom="1440" w:left="1440" w:header="708" w:footer="708" w:gutter="0"/>
          <w:cols w:space="708"/>
          <w:docGrid w:linePitch="360"/>
        </w:sectPr>
      </w:pPr>
    </w:p>
    <w:p w14:paraId="010E0693" w14:textId="0B7286E8" w:rsidR="00AD1F7D" w:rsidRPr="00794EF6" w:rsidRDefault="00AD1F7D" w:rsidP="00E01432">
      <w:pPr>
        <w:ind w:firstLine="0"/>
      </w:pPr>
      <w:r w:rsidRPr="00794EF6">
        <w:t xml:space="preserve">The study of implicit social cognition has become a mainstay of psychological research in many domains over the past twenty-five years </w:t>
      </w:r>
      <w:r w:rsidRPr="00794EF6">
        <w:fldChar w:fldCharType="begin"/>
      </w:r>
      <w:r w:rsidR="00716DBE">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794EF6">
        <w:fldChar w:fldCharType="separate"/>
      </w:r>
      <w:r w:rsidRPr="00794EF6">
        <w:t>(Greenwald &amp; Banaji, 1995; Greenwald &amp; Lai, 2020)</w:t>
      </w:r>
      <w:r w:rsidRPr="00794EF6">
        <w:fldChar w:fldCharType="end"/>
      </w:r>
      <w:r w:rsidRPr="00794EF6">
        <w:t xml:space="preserve">. In addition to the most popular measure, the Implicit Association Test </w:t>
      </w:r>
      <w:r w:rsidRPr="00794EF6">
        <w:fldChar w:fldCharType="begin"/>
      </w:r>
      <w:r w:rsidR="00716DBE">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794EF6">
        <w:fldChar w:fldCharType="separate"/>
      </w:r>
      <w:r w:rsidRPr="00794EF6">
        <w:t>(IAT: Greenwald et al., 1998)</w:t>
      </w:r>
      <w:r w:rsidRPr="00794EF6">
        <w:fldChar w:fldCharType="end"/>
      </w:r>
      <w:r w:rsidRPr="00794EF6">
        <w:t xml:space="preserve">, many other measures have been developed, each with unique features or benefits in mind </w:t>
      </w:r>
      <w:r w:rsidRPr="00794EF6">
        <w:fldChar w:fldCharType="begin"/>
      </w:r>
      <w:r w:rsidR="00716DBE">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794EF6">
        <w:fldChar w:fldCharType="separate"/>
      </w:r>
      <w:r w:rsidRPr="00794EF6">
        <w:t>(Nosek et al., 2011)</w:t>
      </w:r>
      <w:r w:rsidRPr="00794EF6">
        <w:fldChar w:fldCharType="end"/>
      </w:r>
      <w:r w:rsidRPr="00794EF6">
        <w:t xml:space="preserve">. Among them, the Implicit Relational Assessment Procedure </w:t>
      </w:r>
      <w:r w:rsidRPr="00794EF6">
        <w:fldChar w:fldCharType="begin"/>
      </w:r>
      <w:r w:rsidR="00716DBE">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794EF6">
        <w:fldChar w:fldCharType="separate"/>
      </w:r>
      <w:r w:rsidRPr="00794EF6">
        <w:t>(IRAP: Barnes-Holmes et al., 2010)</w:t>
      </w:r>
      <w:r w:rsidRPr="00794EF6">
        <w:fldChar w:fldCharType="end"/>
      </w:r>
      <w:r w:rsidRPr="00794EF6">
        <w:t xml:space="preserve"> is one of few implicit measures designed to capture implicit beliefs or automatic relational responding </w:t>
      </w:r>
      <w:r w:rsidRPr="00794EF6">
        <w:fldChar w:fldCharType="begin"/>
      </w:r>
      <w:r w:rsidR="00716DBE">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794EF6">
        <w:fldChar w:fldCharType="separate"/>
      </w:r>
      <w:r w:rsidRPr="00794EF6">
        <w:t>(Gawronski &amp; De Houwer, 2011)</w:t>
      </w:r>
      <w:r w:rsidRPr="00794EF6">
        <w:fldChar w:fldCharType="end"/>
      </w:r>
      <w:r w:rsidRPr="00794EF6">
        <w:t xml:space="preserve">. That is, it can capture not only the strength of association between concepts, but also the nature of the relationship among them: for example, the distinction between “I am good” and “I want to be good” </w:t>
      </w:r>
      <w:r w:rsidRPr="00794EF6">
        <w:fldChar w:fldCharType="begin"/>
      </w:r>
      <w:r w:rsidR="00716DBE">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794EF6">
        <w:fldChar w:fldCharType="separate"/>
      </w:r>
      <w:r w:rsidRPr="00794EF6">
        <w:t>(Remue et al., 2013, 2014)</w:t>
      </w:r>
      <w:r w:rsidRPr="00794EF6">
        <w:fldChar w:fldCharType="end"/>
      </w:r>
      <w:r w:rsidRPr="00794EF6">
        <w:t xml:space="preserve">. </w:t>
      </w:r>
    </w:p>
    <w:p w14:paraId="121EF88B" w14:textId="003FF1C5" w:rsidR="00AD1F7D" w:rsidRPr="00D63ACE" w:rsidRDefault="00AD1F7D" w:rsidP="002C2E48">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00716DBE">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716DBE">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716DBE">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 xml:space="preserve">has received renewed attention within psychology in </w:t>
      </w:r>
      <w:r w:rsidRPr="00D63ACE">
        <w:t>recent years</w:t>
      </w:r>
      <w:r>
        <w:t xml:space="preserve"> due to concerns about the replicability and validity of our findings </w:t>
      </w:r>
      <w:r>
        <w:fldChar w:fldCharType="begin"/>
      </w:r>
      <w:r w:rsidR="00716DBE">
        <w:instrText xml:space="preserve"> ADDIN ZOTERO_ITEM CSL_CITATION {"citationID":"WMRFw9S8","properties":{"formattedCitation":"(Flake &amp; Fried, 2019)","plainCitation":"(Flake &amp; Fried, 2019)","noteIndex":0},"citationItems":[{"id":11879,"uris":["http://zotero.org/users/1687755/items/ANC8SG79"],"itemData":{"id":11879,"type":"article-journal","abstract":"In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716DBE">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properties is therefore important to interpreting the results of existing research, and its utility in future work.</w:t>
      </w:r>
    </w:p>
    <w:p w14:paraId="49319662" w14:textId="77777777" w:rsidR="00AD1F7D" w:rsidRPr="00D63ACE" w:rsidRDefault="00AD1F7D" w:rsidP="002C2E48">
      <w:pPr>
        <w:pStyle w:val="Heading2"/>
      </w:pPr>
      <w:r w:rsidRPr="00D63ACE">
        <w:t>Previous meta-analyses of the IRAP’s reliability</w:t>
      </w:r>
    </w:p>
    <w:p w14:paraId="0E630130" w14:textId="47EC4199" w:rsidR="00AD1F7D" w:rsidRPr="00D63ACE" w:rsidRDefault="00AD1F7D" w:rsidP="002C2E48">
      <w:r w:rsidRPr="00D63ACE">
        <w:t xml:space="preserve">The IRAP’s reliability has been examined in two previous meta-analyses of published articles. Golijani-Moghaddam et al. </w:t>
      </w:r>
      <w:r w:rsidRPr="00D63ACE">
        <w:fldChar w:fldCharType="begin"/>
      </w:r>
      <w:r w:rsidR="00716DBE">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199B55F2" w:rsidR="00AD1F7D" w:rsidRPr="00D63ACE" w:rsidRDefault="00AD1F7D" w:rsidP="002C2E48">
      <w:pPr>
        <w:rPr>
          <w:color w:val="FF0000"/>
        </w:rPr>
      </w:pPr>
      <w:r w:rsidRPr="00D63ACE">
        <w:t xml:space="preserve">More recently, Greenwald &amp; Lai </w:t>
      </w:r>
      <w:r w:rsidRPr="00D63ACE">
        <w:fldChar w:fldCharType="begin"/>
      </w:r>
      <w:r w:rsidR="00716DBE">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w:t>
      </w:r>
      <w:r w:rsidRPr="00D63ACE">
        <w:lastRenderedPageBreak/>
        <w:t xml:space="preserve">analyses of IRAP data (see supplementary materials for data and code: </w:t>
      </w:r>
      <w:hyperlink r:id="rId9"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00716DBE">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rsidRPr="00A54572">
        <w:t xml:space="preserve">(Cronbach’s α = .56, 95% CI [.46, .65], 95% </w:t>
      </w:r>
      <w:r w:rsidR="00CD0213" w:rsidRPr="00A54572">
        <w:t>PI</w:t>
      </w:r>
      <w:r w:rsidRPr="00A54572">
        <w:t xml:space="preserve"> [.03, .85]) and for test-retest reliability (</w:t>
      </w:r>
      <w:r w:rsidRPr="00A54572">
        <w:rPr>
          <w:i/>
        </w:rPr>
        <w:t>r</w:t>
      </w:r>
      <w:r w:rsidRPr="00A54572">
        <w:t xml:space="preserve"> = .45, 95% </w:t>
      </w:r>
      <w:r w:rsidR="00DF0DF9">
        <w:t>C</w:t>
      </w:r>
      <w:r w:rsidRPr="00A54572">
        <w:t>I [.33, .55]</w:t>
      </w:r>
      <w:r w:rsidR="001261C9" w:rsidRPr="00BF3317">
        <w:t>, 95% PI [.</w:t>
      </w:r>
      <w:r w:rsidR="00822F4D" w:rsidRPr="00BF3317">
        <w:t>15</w:t>
      </w:r>
      <w:r w:rsidR="001261C9" w:rsidRPr="00BF3317">
        <w:t>, .</w:t>
      </w:r>
      <w:r w:rsidR="00822F4D" w:rsidRPr="00BF3317">
        <w:t>67</w:t>
      </w:r>
      <w:r w:rsidR="001261C9" w:rsidRPr="00BF3317">
        <w:t>]</w:t>
      </w:r>
      <w:r w:rsidRPr="00A54572">
        <w:t>).</w:t>
      </w:r>
    </w:p>
    <w:p w14:paraId="0869D7CB" w14:textId="78A473B0" w:rsidR="00AD1F7D" w:rsidRPr="00D63ACE" w:rsidRDefault="00AD1F7D" w:rsidP="002C2E48">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00716DBE">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w:t>
      </w:r>
      <w:r w:rsidR="00222865">
        <w:t xml:space="preserve">that </w:t>
      </w:r>
      <w:r w:rsidRPr="00D63ACE">
        <w:t xml:space="preserve">typically accepted for assessment measures in psychology </w:t>
      </w:r>
      <w:r w:rsidRPr="00D63ACE">
        <w:fldChar w:fldCharType="begin"/>
      </w:r>
      <w:r w:rsidR="00716DBE">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14:paraId="5F884AEE" w14:textId="77777777" w:rsidR="00AD1F7D" w:rsidRPr="00D63ACE" w:rsidRDefault="00AD1F7D" w:rsidP="002C2E48">
      <w:pPr>
        <w:pStyle w:val="Heading2"/>
      </w:pPr>
      <w:r w:rsidRPr="00D63ACE">
        <w:t>The current research</w:t>
      </w:r>
    </w:p>
    <w:p w14:paraId="0AAF718B" w14:textId="70BE4B63" w:rsidR="00AD1F7D" w:rsidRPr="00D63ACE" w:rsidRDefault="00AD1F7D" w:rsidP="002C2E48">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716DBE">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7EDCCC72" w:rsidR="00AD1F7D" w:rsidRPr="00D63ACE" w:rsidRDefault="00AD1F7D" w:rsidP="002C2E48">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00716DBE">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716DBE">
        <w:instrText xml:space="preserve"> ADDIN ZOTERO_ITEM CSL_CITATION {"citationID":"3YA37DE9","properties":{"formattedCitation":"(i.e., ICC[2,1]: Parsons et al., 2019; Shrout &amp; Fleiss, 1979)","plainCitation":"(i.e., ICC[2,1]: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716DBE">
        <w:rPr>
          <w:noProof/>
        </w:rPr>
        <w:t>(i.e., ICC[2,1]: Parsons et al., 2019; Shrout &amp; Fleiss, 1979)</w:t>
      </w:r>
      <w:r>
        <w:fldChar w:fldCharType="end"/>
      </w:r>
    </w:p>
    <w:p w14:paraId="29C7C3EF" w14:textId="3D17E778" w:rsidR="00AD1F7D" w:rsidRPr="00D63ACE" w:rsidRDefault="00AD1F7D" w:rsidP="002C2E48">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716DBE">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2C2E48">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2C2E48">
      <w:pPr>
        <w:pStyle w:val="Heading1"/>
      </w:pPr>
      <w:r w:rsidRPr="00D63ACE">
        <w:t>Method</w:t>
      </w:r>
    </w:p>
    <w:p w14:paraId="121F6A55" w14:textId="77777777" w:rsidR="00AD1F7D" w:rsidRPr="00D63ACE" w:rsidRDefault="00AD1F7D" w:rsidP="002C2E48">
      <w:pPr>
        <w:pStyle w:val="Heading2"/>
      </w:pPr>
      <w:r w:rsidRPr="00D63ACE">
        <w:t>Data</w:t>
      </w:r>
    </w:p>
    <w:p w14:paraId="5A3F0CE1" w14:textId="77777777" w:rsidR="00AD1F7D" w:rsidRDefault="00AD1F7D" w:rsidP="002C2E48">
      <w:r w:rsidRPr="00D63ACE">
        <w:t>All code and data needed to reproduce our analyses is available on the Open Science Framework, along with all word and image stimuli, instructions, responding rules, and task parameters used in each of the IRAPs (</w:t>
      </w:r>
      <w:hyperlink r:id="rId10" w:history="1">
        <w:r w:rsidRPr="00D63ACE">
          <w:rPr>
            <w:rStyle w:val="Hyperlink"/>
          </w:rPr>
          <w:t>osf.io/v3twe</w:t>
        </w:r>
      </w:hyperlink>
      <w:r w:rsidRPr="00D63ACE">
        <w:t xml:space="preserve">). </w:t>
      </w:r>
    </w:p>
    <w:p w14:paraId="3FDDF0F3" w14:textId="77777777" w:rsidR="00AD1F7D" w:rsidRPr="00D63ACE" w:rsidRDefault="00AD1F7D" w:rsidP="002C2E48">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Two of these were in domains that are already represented in the included data (i.e., friend-enemy and Lincoln-Hitler). </w:t>
      </w:r>
    </w:p>
    <w:p w14:paraId="4071729E" w14:textId="20596BDF" w:rsidR="00AD1F7D" w:rsidRPr="00D63ACE" w:rsidRDefault="00AD1F7D" w:rsidP="002C2E48">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rsidR="00716DBE">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w:t>
      </w:r>
      <w:r w:rsidRPr="00D63ACE">
        <w:lastRenderedPageBreak/>
        <w:t xml:space="preserve">a subset of the friend-enemy IRAPs </w:t>
      </w:r>
      <w:r w:rsidRPr="00D63ACE">
        <w:fldChar w:fldCharType="begin"/>
      </w:r>
      <w:r w:rsidR="00716DBE">
        <w:instrText xml:space="preserve"> ADDIN ZOTERO_ITEM CSL_CITATION {"citationID":"rR7XINHw","properties":{"formattedCitation":"(Drake et al., 2016)","plainCitation":"(Drake et al., 2016)","noteIndex":0},"citationItems":[{"id":3045,"uris":["http://zotero.org/users/1687755/items/N422MFSA"],"itemData":{"id":3045,"type":"article-journal","container-title":"The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14:paraId="5B46F728" w14:textId="77777777" w:rsidR="00AD1F7D" w:rsidRPr="00D63ACE" w:rsidRDefault="00AD1F7D" w:rsidP="002C2E48">
      <w:pPr>
        <w:pStyle w:val="Heading2"/>
      </w:pPr>
      <w:r w:rsidRPr="00D63ACE">
        <w:t>Participants</w:t>
      </w:r>
    </w:p>
    <w:p w14:paraId="4C84989D" w14:textId="77777777" w:rsidR="00AD1F7D" w:rsidRPr="00D63ACE" w:rsidRDefault="00AD1F7D" w:rsidP="002C2E48">
      <w:r w:rsidRPr="00D63ACE">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14:paraId="15DFAC22" w14:textId="77777777" w:rsidR="00AD1F7D" w:rsidRPr="00D63ACE" w:rsidRDefault="00AD1F7D" w:rsidP="00434862">
      <w:pPr>
        <w:pStyle w:val="Heading2"/>
      </w:pPr>
      <w:r w:rsidRPr="00D63ACE">
        <w:t>Measures</w:t>
      </w:r>
    </w:p>
    <w:p w14:paraId="40DB59CF" w14:textId="52B028DB" w:rsidR="00AD1F7D" w:rsidRDefault="00AD1F7D" w:rsidP="002C2E48">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00716DB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11" w:history="1">
        <w:r w:rsidRPr="00D63ACE">
          <w:rPr>
            <w:rStyle w:val="Hyperlink"/>
          </w:rPr>
          <w:t>osf.io/v3twe</w:t>
        </w:r>
      </w:hyperlink>
      <w:r w:rsidRPr="00D63ACE">
        <w:t>).</w:t>
      </w:r>
    </w:p>
    <w:p w14:paraId="3A1142A6" w14:textId="77777777" w:rsidR="00AD1F7D" w:rsidRPr="00D63ACE" w:rsidRDefault="00AD1F7D" w:rsidP="002C2E48">
      <w:pPr>
        <w:pStyle w:val="Heading2"/>
      </w:pPr>
      <w:r w:rsidRPr="00D63ACE">
        <w:t>Data processing</w:t>
      </w:r>
    </w:p>
    <w:p w14:paraId="4336BC16" w14:textId="4BA85A10" w:rsidR="00AD1F7D" w:rsidRPr="00D63ACE" w:rsidRDefault="00AD1F7D" w:rsidP="002C2E48">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716DB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w:t>
      </w:r>
      <w:r w:rsidRPr="00D63ACE">
        <w:t xml:space="preserve">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14:paraId="25DA7368" w14:textId="77777777" w:rsidR="00AD1F7D" w:rsidRPr="00D63ACE" w:rsidRDefault="00AD1F7D" w:rsidP="002C2E48">
      <w:pPr>
        <w:pStyle w:val="Heading1"/>
      </w:pPr>
      <w:r w:rsidRPr="00D63ACE">
        <w:t>Results</w:t>
      </w:r>
    </w:p>
    <w:p w14:paraId="488A2756" w14:textId="77777777" w:rsidR="00AD1F7D" w:rsidRPr="00D63ACE" w:rsidRDefault="00AD1F7D" w:rsidP="002C2E48">
      <w:pPr>
        <w:pStyle w:val="Heading2"/>
      </w:pPr>
      <w:r w:rsidRPr="00D63ACE">
        <w:t>Meta-analytic strategy</w:t>
      </w:r>
    </w:p>
    <w:p w14:paraId="7713DDD0" w14:textId="08CCB68F" w:rsidR="00AD1F7D" w:rsidRPr="00D63ACE" w:rsidRDefault="00AD1F7D" w:rsidP="002C2E48">
      <w:r w:rsidRPr="00D63ACE">
        <w:t xml:space="preserve">All data processing and analyses were done in R </w:t>
      </w:r>
      <w:r w:rsidRPr="000569D5">
        <w:fldChar w:fldCharType="begin"/>
      </w:r>
      <w:r w:rsidR="00B74DA9" w:rsidRPr="000569D5">
        <w:instrText xml:space="preserve"> ADDIN ZOTERO_ITEM CSL_CITATION {"citationID":"crLAXs3C","properties":{"formattedCitation":"(R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0569D5">
        <w:fldChar w:fldCharType="separate"/>
      </w:r>
      <w:r w:rsidR="00B74DA9" w:rsidRPr="000569D5">
        <w:t>(R Core Team, 2022)</w:t>
      </w:r>
      <w:r w:rsidRPr="000569D5">
        <w:fldChar w:fldCharType="end"/>
      </w:r>
      <w:r w:rsidRPr="000569D5">
        <w:t>. Int</w:t>
      </w:r>
      <w:r w:rsidR="003D5FD0" w:rsidRPr="000569D5">
        <w:t>ra</w:t>
      </w:r>
      <w:r w:rsidRPr="000569D5">
        <w:t xml:space="preserve">class Correlation Coefficients were calculated using the psych package </w:t>
      </w:r>
      <w:r w:rsidRPr="000569D5">
        <w:fldChar w:fldCharType="begin"/>
      </w:r>
      <w:r w:rsidR="00B74DA9" w:rsidRPr="000569D5">
        <w:instrText xml:space="preserve"> ADDIN ZOTERO_ITEM CSL_CITATION {"citationID":"HeNbZYei","properties":{"formattedCitation":"(Revelle, 2016)","plainCitation":"(Revelle, 2016)","noteIndex":0},"citationItems":[{"id":3877,"uris":["http://zotero.org/users/1687755/items/HIHAMBGT"],"itemData":{"id":3877,"type":"software","event-place":"Evanston,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0569D5">
        <w:fldChar w:fldCharType="separate"/>
      </w:r>
      <w:r w:rsidRPr="000569D5">
        <w:t>(Revelle, 2016)</w:t>
      </w:r>
      <w:r w:rsidRPr="000569D5">
        <w:fldChar w:fldCharType="end"/>
      </w:r>
      <w:r w:rsidRPr="000569D5">
        <w:t xml:space="preserve">. Meta-analyses were conducted using the metafor package </w:t>
      </w:r>
      <w:r w:rsidRPr="000569D5">
        <w:fldChar w:fldCharType="begin"/>
      </w:r>
      <w:r w:rsidR="00B74DA9" w:rsidRPr="000569D5">
        <w:instrText xml:space="preserve"> ADDIN ZOTERO_ITEM CSL_CITATION {"citationID":"K8bSyKex","properties":{"formattedCitation":"(Viechtbauer, 2010, version 3.4-0)","plainCitation":"(Viechtbauer, 2010, version 3.4-0)","noteIndex":0},"citationItems":[{"id":8150,"uris":["http://zotero.org/users/1687755/items/H4RMVYAU"],"itemData":{"id":8150,"type":"article-journal","abstract":"The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Package","URL":"http://www.jstatsoft.org/v36/i03/","volume":"36","author":[{"family":"Viechtbauer","given":"Wolfgang"}],"accessed":{"date-parts":[["2018",7,17]]},"issued":{"date-parts":[["2010"]]}},"label":"page","suffix":", version 3.4-0"}],"schema":"https://github.com/citation-style-language/schema/raw/master/csl-citation.json"} </w:instrText>
      </w:r>
      <w:r w:rsidRPr="000569D5">
        <w:fldChar w:fldCharType="separate"/>
      </w:r>
      <w:r w:rsidR="00B74DA9" w:rsidRPr="000569D5">
        <w:t>(Viechtbauer, 2010, version 3.4-0)</w:t>
      </w:r>
      <w:r w:rsidRPr="000569D5">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2C2E48">
      <w:pPr>
        <w:pStyle w:val="Heading2"/>
      </w:pPr>
      <w:r w:rsidRPr="00D63ACE">
        <w:t>Internal consistency</w:t>
      </w:r>
    </w:p>
    <w:p w14:paraId="13C99B6B" w14:textId="77777777" w:rsidR="00AD1F7D" w:rsidRPr="00D63ACE" w:rsidRDefault="00AD1F7D" w:rsidP="002C2E48">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385C201A" w14:textId="7C8DA6F8" w:rsidR="00AD1F7D" w:rsidRPr="00D63ACE" w:rsidRDefault="00AD1F7D" w:rsidP="002C2E48">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w:t>
      </w:r>
      <w:r w:rsidRPr="00D63ACE">
        <w:lastRenderedPageBreak/>
        <w:t xml:space="preserve">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w:t>
      </w:r>
      <w:r w:rsidR="00B74DA9">
        <w:t>60</w:t>
      </w:r>
      <w:r w:rsidRPr="00134D66">
        <w:t xml:space="preserve">], 95% </w:t>
      </w:r>
      <w:r w:rsidR="00B74DA9">
        <w:t>PI</w:t>
      </w:r>
      <w:r w:rsidRPr="00134D66">
        <w:t xml:space="preserve"> [.</w:t>
      </w:r>
      <w:r w:rsidR="00B74DA9">
        <w:t>38</w:t>
      </w:r>
      <w:r w:rsidRPr="00134D66">
        <w:t>, .</w:t>
      </w:r>
      <w:r w:rsidR="00B74DA9">
        <w:t>66</w:t>
      </w:r>
      <w:r w:rsidRPr="00134D66">
        <w:t>]</w:t>
      </w:r>
      <w:r>
        <w:t>,</w:t>
      </w:r>
      <w:r w:rsidR="00B74DA9">
        <w:t xml:space="preserve"> </w:t>
      </w:r>
      <w:r w:rsidR="00B74DA9" w:rsidRPr="00B74DA9">
        <w:rPr>
          <w:rFonts w:ascii="Cambria Math" w:hAnsi="Cambria Math" w:cs="Cambria Math"/>
        </w:rPr>
        <w:t>𝜏</w:t>
      </w:r>
      <w:r w:rsidR="00B74DA9" w:rsidRPr="00BF3317">
        <w:rPr>
          <w:rFonts w:ascii="Cambria Math" w:hAnsi="Cambria Math" w:cs="Cambria Math"/>
          <w:vertAlign w:val="superscript"/>
        </w:rPr>
        <w:t>2</w:t>
      </w:r>
      <w:r>
        <w:t xml:space="preserve"> </w:t>
      </w:r>
      <w:r w:rsidR="00B74DA9">
        <w:t xml:space="preserve">= 0.02, </w:t>
      </w:r>
      <w:r w:rsidRPr="005864D8">
        <w:rPr>
          <w:i/>
        </w:rPr>
        <w:t>I</w:t>
      </w:r>
      <w:r w:rsidRPr="005864D8">
        <w:rPr>
          <w:rFonts w:cs="Times New Roman (Body CS)"/>
          <w:vertAlign w:val="superscript"/>
        </w:rPr>
        <w:t>2</w:t>
      </w:r>
      <w:r w:rsidRPr="00F04E2D">
        <w:t xml:space="preserve"> =</w:t>
      </w:r>
      <w:r w:rsidR="00B74DA9">
        <w:t xml:space="preserve"> 16.8</w:t>
      </w:r>
      <w:r w:rsidRPr="00F04E2D">
        <w:t xml:space="preserve">%, </w:t>
      </w:r>
      <w:r w:rsidRPr="005864D8">
        <w:rPr>
          <w:i/>
        </w:rPr>
        <w:t>H</w:t>
      </w:r>
      <w:r w:rsidRPr="00D679A1">
        <w:rPr>
          <w:rFonts w:cs="Times New Roman (Body CS)"/>
          <w:vertAlign w:val="superscript"/>
        </w:rPr>
        <w:t>2</w:t>
      </w:r>
      <w:r w:rsidRPr="00F04E2D">
        <w:t xml:space="preserve"> = 1</w:t>
      </w:r>
      <w:r>
        <w:t>.</w:t>
      </w:r>
      <w:r w:rsidR="00B74DA9">
        <w:t>2</w:t>
      </w:r>
      <w:r w:rsidRPr="00D63ACE">
        <w:t>.</w:t>
      </w:r>
    </w:p>
    <w:p w14:paraId="4148632E" w14:textId="5AEE63D4" w:rsidR="00AD1F7D" w:rsidRPr="00D63ACE" w:rsidRDefault="00AD1F7D" w:rsidP="002C2E48">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w:t>
      </w:r>
      <w:r w:rsidR="00B13B55">
        <w:t>6</w:t>
      </w:r>
      <w:r w:rsidRPr="00F7294E">
        <w:t>, .5</w:t>
      </w:r>
      <w:r w:rsidR="00B13B55">
        <w:t>6</w:t>
      </w:r>
      <w:r w:rsidRPr="00F7294E">
        <w:t xml:space="preserve">], 95% </w:t>
      </w:r>
      <w:r w:rsidR="00B13B55">
        <w:t>PI</w:t>
      </w:r>
      <w:r w:rsidRPr="00F7294E">
        <w:t xml:space="preserve"> [.4</w:t>
      </w:r>
      <w:r w:rsidR="00B13B55">
        <w:t>6</w:t>
      </w:r>
      <w:r w:rsidRPr="00F7294E">
        <w:t>, .5</w:t>
      </w:r>
      <w:r w:rsidR="00B13B55">
        <w:t>6</w:t>
      </w:r>
      <w:r w:rsidRPr="00F7294E">
        <w:t>]</w:t>
      </w:r>
      <w:r>
        <w:t xml:space="preserve">, </w:t>
      </w:r>
      <w:r w:rsidR="007D7B55" w:rsidRPr="00B74DA9">
        <w:rPr>
          <w:rFonts w:ascii="Cambria Math" w:hAnsi="Cambria Math" w:cs="Cambria Math"/>
        </w:rPr>
        <w:t>𝜏</w:t>
      </w:r>
      <w:r w:rsidR="007D7B55" w:rsidRPr="00972FE9">
        <w:rPr>
          <w:rFonts w:ascii="Cambria Math" w:hAnsi="Cambria Math" w:cs="Cambria Math"/>
          <w:vertAlign w:val="superscript"/>
        </w:rPr>
        <w:t>2</w:t>
      </w:r>
      <w:r w:rsidR="007D7B55">
        <w:t xml:space="preserve"> = 0.0</w:t>
      </w:r>
      <w:r w:rsidR="00B13B55">
        <w:t>0</w:t>
      </w:r>
      <w:r w:rsidR="007D7B55">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00716DBE">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1111BE78" w14:textId="328171F3" w:rsidR="00AD1F7D" w:rsidRPr="00D63ACE" w:rsidRDefault="00AD1F7D" w:rsidP="002C2E48">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716DBE">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00716DBE">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14:paraId="70C4C481" w14:textId="1ADF6194" w:rsidR="00AD1F7D" w:rsidRDefault="00AD1F7D" w:rsidP="002C2E48">
      <w:r w:rsidRPr="00D63ACE">
        <w:t xml:space="preserve">Using the permutation method, the meta-analytic estimate of internal consistency was found to be poor, α = </w:t>
      </w:r>
      <w:r w:rsidRPr="00B3331E">
        <w:t>.54, 95% CI [.48, .5</w:t>
      </w:r>
      <w:r w:rsidR="00547CAE">
        <w:t>8</w:t>
      </w:r>
      <w:r w:rsidRPr="00B3331E">
        <w:t xml:space="preserve">], 95% </w:t>
      </w:r>
      <w:r w:rsidR="00547CAE">
        <w:t>PI</w:t>
      </w:r>
      <w:r w:rsidRPr="00B3331E">
        <w:t xml:space="preserve"> [.4</w:t>
      </w:r>
      <w:r w:rsidR="00547CAE">
        <w:t>6</w:t>
      </w:r>
      <w:r w:rsidRPr="00B3331E">
        <w:t>, .6</w:t>
      </w:r>
      <w:r w:rsidR="00547CAE">
        <w:t>0</w:t>
      </w:r>
      <w:r w:rsidRPr="00B3331E">
        <w:t>]</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w:t>
      </w:r>
      <w:r w:rsidR="00547CAE">
        <w:t>29</w:t>
      </w:r>
      <w:r w:rsidRPr="00D63ACE">
        <w:t xml:space="preserve">, </w:t>
      </w:r>
      <w:r w:rsidRPr="00D63ACE">
        <w:rPr>
          <w:i/>
        </w:rPr>
        <w:t>p</w:t>
      </w:r>
      <w:r w:rsidRPr="00D63ACE">
        <w:t xml:space="preserve"> = .</w:t>
      </w:r>
      <w:r>
        <w:t>1</w:t>
      </w:r>
      <w:r w:rsidR="00547CAE">
        <w:t>1</w:t>
      </w:r>
      <w:r>
        <w:t>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F7773F">
        <w:t>03</w:t>
      </w:r>
      <w:r w:rsidRPr="00D63ACE">
        <w:t xml:space="preserve">, </w:t>
      </w:r>
      <w:r w:rsidRPr="00D63ACE">
        <w:rPr>
          <w:i/>
        </w:rPr>
        <w:t>I</w:t>
      </w:r>
      <w:r w:rsidRPr="00D63ACE">
        <w:rPr>
          <w:rFonts w:cs="Times New Roman (Body CS)"/>
          <w:vertAlign w:val="superscript"/>
        </w:rPr>
        <w:t>2</w:t>
      </w:r>
      <w:r w:rsidRPr="00D63ACE">
        <w:t xml:space="preserve"> = </w:t>
      </w:r>
      <w:r w:rsidR="003F3FED">
        <w:t>2.6</w:t>
      </w:r>
      <w:r w:rsidRPr="00D63ACE">
        <w:t xml:space="preserve">%, </w:t>
      </w:r>
      <w:r w:rsidRPr="00D63ACE">
        <w:rPr>
          <w:i/>
        </w:rPr>
        <w:t>H</w:t>
      </w:r>
      <w:r w:rsidRPr="00D63ACE">
        <w:rPr>
          <w:rFonts w:cs="Times New Roman (Body CS)"/>
          <w:vertAlign w:val="superscript"/>
        </w:rPr>
        <w:t>2</w:t>
      </w:r>
      <w:r w:rsidRPr="00D63ACE">
        <w:t xml:space="preserve"> = 1.</w:t>
      </w:r>
      <w:r w:rsidR="003F3FED">
        <w:t>03</w:t>
      </w:r>
      <w:r w:rsidRPr="00D63ACE">
        <w:t>. A G</w:t>
      </w:r>
      <w:r>
        <w:t>raphical analysis of Study Heterogeneity</w:t>
      </w:r>
      <w:r w:rsidRPr="00D63ACE">
        <w:t xml:space="preserve"> plot </w:t>
      </w:r>
      <w:r w:rsidRPr="00D63ACE">
        <w:fldChar w:fldCharType="begin"/>
      </w:r>
      <w:r w:rsidR="00716DBE">
        <w:instrText xml:space="preserve"> ADDIN ZOTERO_ITEM CSL_CITATION {"citationID":"Wg7fEc5a","properties":{"formattedCitation":"(GOSH: Olkin et al., 2012)","plainCitation":"(GOSH: Olkin et al., 2012)","noteIndex":0},"citationItems":[{"id":12652,"uris":["http://zotero.org/users/1687755/items/DD7ATXUE"],"itemData":{"id":12652,"type":"article-journal","abstract":"Estimates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w:t>
      </w:r>
      <w:r w:rsidRPr="00D63ACE">
        <w:t xml:space="preserve">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w:t>
      </w:r>
      <w:r w:rsidR="00BF2102">
        <w:t>4</w:t>
      </w:r>
      <w:r w:rsidRPr="00D63ACE">
        <w:t>, 95% CI [.8</w:t>
      </w:r>
      <w:r w:rsidR="00BF2102">
        <w:t>4</w:t>
      </w:r>
      <w:r w:rsidRPr="00D63ACE">
        <w:t>, .9</w:t>
      </w:r>
      <w:r w:rsidR="00BF2102">
        <w:t>8</w:t>
      </w:r>
      <w:r w:rsidRPr="00D63ACE">
        <w:t>]),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 xml:space="preserve">.51, 95% CI [.46, .56], 95% </w:t>
      </w:r>
      <w:r w:rsidR="00BF2102">
        <w:t>PI</w:t>
      </w:r>
      <w:r w:rsidRPr="003875B3">
        <w:t xml:space="preserve">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rsidR="004862D6">
        <w:t>19.02</w:t>
      </w:r>
      <w:r w:rsidRPr="00D63ACE">
        <w:t xml:space="preserve">, </w:t>
      </w:r>
      <w:r w:rsidRPr="00D63ACE">
        <w:rPr>
          <w:i/>
        </w:rPr>
        <w:t>p</w:t>
      </w:r>
      <w:r w:rsidRPr="00D63ACE">
        <w:t xml:space="preserve"> = .</w:t>
      </w:r>
      <w:r>
        <w:t>9</w:t>
      </w:r>
      <w:r w:rsidR="004862D6">
        <w:t>66</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14:paraId="47B36A92" w14:textId="77777777" w:rsidR="00C109E5" w:rsidRPr="005864D8" w:rsidRDefault="00C109E5" w:rsidP="002C2E48"/>
    <w:p w14:paraId="490C377C" w14:textId="136E85B3" w:rsidR="00AD1F7D" w:rsidRPr="00D63ACE" w:rsidRDefault="00EF2252" w:rsidP="00E961B1">
      <w:pPr>
        <w:ind w:firstLine="0"/>
      </w:pPr>
      <w:r>
        <w:rPr>
          <w:noProof/>
        </w:rPr>
        <w:drawing>
          <wp:inline distT="0" distB="0" distL="0" distR="0" wp14:anchorId="63095D46" wp14:editId="0B0B4E3F">
            <wp:extent cx="2755900" cy="275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755900" cy="2755900"/>
                    </a:xfrm>
                    <a:prstGeom prst="rect">
                      <a:avLst/>
                    </a:prstGeom>
                  </pic:spPr>
                </pic:pic>
              </a:graphicData>
            </a:graphic>
          </wp:inline>
        </w:drawing>
      </w:r>
    </w:p>
    <w:p w14:paraId="74B95EB8" w14:textId="77777777" w:rsidR="00AD1F7D" w:rsidRPr="00D63ACE" w:rsidRDefault="00AD1F7D" w:rsidP="00E961B1">
      <w:pPr>
        <w:ind w:firstLine="0"/>
      </w:pPr>
      <w:r w:rsidRPr="00E659A7">
        <w:rPr>
          <w:i/>
        </w:rPr>
        <w:t>Figure 1.</w:t>
      </w:r>
      <w:r w:rsidRPr="00D63ACE">
        <w:t xml:space="preserve"> GOSH plot for internal consistency.</w:t>
      </w:r>
    </w:p>
    <w:p w14:paraId="0673AE69" w14:textId="77777777" w:rsidR="00C109E5" w:rsidRDefault="00C109E5" w:rsidP="00C109E5">
      <w:pPr>
        <w:ind w:firstLine="0"/>
      </w:pPr>
    </w:p>
    <w:p w14:paraId="1EF6A579" w14:textId="77777777" w:rsidR="00AD1F7D" w:rsidRPr="00D63ACE" w:rsidRDefault="00AD1F7D" w:rsidP="00C109E5">
      <w:pPr>
        <w:pStyle w:val="Heading2"/>
      </w:pPr>
      <w:r w:rsidRPr="00D63ACE">
        <w:t>Test-retest reliability</w:t>
      </w:r>
    </w:p>
    <w:p w14:paraId="7736D6B0" w14:textId="4C5DD88B" w:rsidR="00AD1F7D" w:rsidRDefault="00AD1F7D" w:rsidP="002C2E48">
      <w:r w:rsidRPr="00D63ACE">
        <w:t xml:space="preserve">As noted in the introduction, Parson’s </w:t>
      </w:r>
      <w:r w:rsidRPr="00D63ACE">
        <w:fldChar w:fldCharType="begin"/>
      </w:r>
      <w:r w:rsidR="00716DBE">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0DD725F0" w14:textId="6B9BEF46" w:rsidR="00CF589F" w:rsidRDefault="00AD1F7D" w:rsidP="002C2E48">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w:t>
      </w:r>
      <w:r w:rsidR="008B54AC">
        <w:t>8</w:t>
      </w:r>
      <w:r w:rsidRPr="002261E2">
        <w:t xml:space="preserve">, .35], 95% </w:t>
      </w:r>
      <w:r w:rsidR="008B54AC">
        <w:t>PI</w:t>
      </w:r>
      <w:r w:rsidRPr="002261E2">
        <w:t xml:space="preserve"> [-.</w:t>
      </w:r>
      <w:r w:rsidR="008B54AC">
        <w:t>41</w:t>
      </w:r>
      <w:r w:rsidRPr="002261E2">
        <w:t>, .</w:t>
      </w:r>
      <w:r w:rsidR="008B54AC">
        <w:t>35</w:t>
      </w:r>
      <w:r w:rsidRPr="00F7294E">
        <w:t>]</w:t>
      </w:r>
      <w:r>
        <w:t xml:space="preserve">, </w:t>
      </w:r>
      <w:r w:rsidR="008B54AC" w:rsidRPr="00D63ACE">
        <w:rPr>
          <w:rFonts w:ascii="Cambria Math" w:hAnsi="Cambria Math" w:cs="Cambria Math"/>
        </w:rPr>
        <w:t>𝜏</w:t>
      </w:r>
      <w:r w:rsidR="008B54AC" w:rsidRPr="00D63ACE">
        <w:rPr>
          <w:rFonts w:cs="Times New Roman (Body CS)"/>
          <w:vertAlign w:val="superscript"/>
        </w:rPr>
        <w:t>2</w:t>
      </w:r>
      <w:r w:rsidR="008B54AC" w:rsidRPr="00D63ACE">
        <w:t xml:space="preserve"> = 0.0</w:t>
      </w:r>
      <w:r w:rsidR="008B54AC">
        <w:t>8</w:t>
      </w:r>
      <w:r w:rsidR="008B54AC" w:rsidRPr="00D63ACE">
        <w:t xml:space="preserve">, </w:t>
      </w:r>
      <w:r w:rsidRPr="00D679A1">
        <w:rPr>
          <w:i/>
        </w:rPr>
        <w:t>I</w:t>
      </w:r>
      <w:r w:rsidRPr="00D679A1">
        <w:rPr>
          <w:rFonts w:cs="Times New Roman (Body CS)"/>
          <w:vertAlign w:val="superscript"/>
        </w:rPr>
        <w:t>2</w:t>
      </w:r>
      <w:r w:rsidRPr="00F04E2D">
        <w:t xml:space="preserve"> = </w:t>
      </w:r>
      <w:r>
        <w:t>7</w:t>
      </w:r>
      <w:r w:rsidR="008B54AC">
        <w:t>5.1</w:t>
      </w:r>
      <w:r w:rsidRPr="00F04E2D">
        <w:t xml:space="preserve">%, </w:t>
      </w:r>
      <w:r w:rsidRPr="00D679A1">
        <w:rPr>
          <w:i/>
        </w:rPr>
        <w:t>H</w:t>
      </w:r>
      <w:r w:rsidRPr="00D679A1">
        <w:rPr>
          <w:rFonts w:cs="Times New Roman (Body CS)"/>
          <w:vertAlign w:val="superscript"/>
        </w:rPr>
        <w:t>2</w:t>
      </w:r>
      <w:r w:rsidRPr="00F04E2D">
        <w:t xml:space="preserve"> = </w:t>
      </w:r>
      <w:r w:rsidR="008B54AC">
        <w:t>4.01</w:t>
      </w:r>
      <w:r w:rsidRPr="005D0E5C">
        <w:t>.</w:t>
      </w:r>
      <w:r>
        <w:t xml:space="preserve"> Test-retest correlations were negative for three IRAPs </w:t>
      </w:r>
    </w:p>
    <w:p w14:paraId="11D70F61" w14:textId="77777777" w:rsidR="00CF589F" w:rsidRDefault="00CF589F" w:rsidP="002C2E48">
      <w:pPr>
        <w:sectPr w:rsidR="00CF589F" w:rsidSect="00E01432">
          <w:type w:val="continuous"/>
          <w:pgSz w:w="11900" w:h="16840"/>
          <w:pgMar w:top="1440" w:right="1440" w:bottom="1440" w:left="1440" w:header="708" w:footer="708" w:gutter="0"/>
          <w:cols w:num="2" w:space="340"/>
          <w:docGrid w:linePitch="360"/>
        </w:sectPr>
      </w:pPr>
    </w:p>
    <w:p w14:paraId="0275AFA5" w14:textId="0C36EBFE" w:rsidR="00CF589F" w:rsidRDefault="006C06BA" w:rsidP="006B5975">
      <w:pPr>
        <w:ind w:firstLine="0"/>
        <w:jc w:val="center"/>
      </w:pPr>
      <w:r>
        <w:rPr>
          <w:noProof/>
        </w:rPr>
        <w:lastRenderedPageBreak/>
        <w:drawing>
          <wp:inline distT="0" distB="0" distL="0" distR="0" wp14:anchorId="409149F7" wp14:editId="451D5446">
            <wp:extent cx="4713546" cy="5335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733528" cy="5358017"/>
                    </a:xfrm>
                    <a:prstGeom prst="rect">
                      <a:avLst/>
                    </a:prstGeom>
                  </pic:spPr>
                </pic:pic>
              </a:graphicData>
            </a:graphic>
          </wp:inline>
        </w:drawing>
      </w:r>
    </w:p>
    <w:p w14:paraId="77DFF147" w14:textId="34EF6AB2" w:rsidR="00CF589F" w:rsidRDefault="006C06BA" w:rsidP="006B5975">
      <w:pPr>
        <w:ind w:firstLine="0"/>
        <w:jc w:val="center"/>
      </w:pPr>
      <w:r>
        <w:rPr>
          <w:noProof/>
        </w:rPr>
        <w:drawing>
          <wp:inline distT="0" distB="0" distL="0" distR="0" wp14:anchorId="6C391540" wp14:editId="689D1E0D">
            <wp:extent cx="4681057" cy="203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721600" cy="2049342"/>
                    </a:xfrm>
                    <a:prstGeom prst="rect">
                      <a:avLst/>
                    </a:prstGeom>
                  </pic:spPr>
                </pic:pic>
              </a:graphicData>
            </a:graphic>
          </wp:inline>
        </w:drawing>
      </w:r>
    </w:p>
    <w:p w14:paraId="653834AB" w14:textId="77777777" w:rsidR="00CF589F" w:rsidRPr="00D63ACE" w:rsidRDefault="00CF589F" w:rsidP="00CF589F">
      <w:pPr>
        <w:ind w:firstLine="720"/>
      </w:pPr>
      <w:r w:rsidRPr="00E659A7">
        <w:rPr>
          <w:i/>
        </w:rPr>
        <w:t>Figure 2.</w:t>
      </w:r>
      <w:r w:rsidRPr="00D63ACE">
        <w:t xml:space="preserve"> Forest plots.</w:t>
      </w:r>
    </w:p>
    <w:p w14:paraId="3849690D" w14:textId="77777777" w:rsidR="00CF589F" w:rsidRDefault="00CF589F" w:rsidP="00CF589F">
      <w:pPr>
        <w:ind w:firstLine="0"/>
      </w:pPr>
    </w:p>
    <w:p w14:paraId="734FE4E5" w14:textId="77777777" w:rsidR="00CF589F" w:rsidRDefault="00CF589F" w:rsidP="00CF589F">
      <w:pPr>
        <w:ind w:firstLine="0"/>
        <w:sectPr w:rsidR="00CF589F" w:rsidSect="00CF589F">
          <w:type w:val="continuous"/>
          <w:pgSz w:w="11900" w:h="16840"/>
          <w:pgMar w:top="1440" w:right="1440" w:bottom="1440" w:left="1440" w:header="708" w:footer="708" w:gutter="0"/>
          <w:cols w:space="340"/>
          <w:docGrid w:linePitch="360"/>
        </w:sectPr>
      </w:pPr>
    </w:p>
    <w:p w14:paraId="7237C2EA" w14:textId="5A5168E0" w:rsidR="00B61118" w:rsidRDefault="009E6E87" w:rsidP="009E6E87">
      <w:pPr>
        <w:ind w:firstLine="0"/>
      </w:pPr>
      <w:r>
        <w:t xml:space="preserve">(i.e., gender, body image, and race). </w:t>
      </w:r>
      <w:r w:rsidRPr="00D63ACE">
        <w:t xml:space="preserve">This result may be most useful </w:t>
      </w:r>
      <w:r w:rsidR="00AD1F7D" w:rsidRPr="00D63ACE">
        <w:t xml:space="preserve">when attempting to directly compare against </w:t>
      </w:r>
      <w:r w:rsidR="00AD1F7D">
        <w:t xml:space="preserve">previously published research, which has typically used Pearson’s </w:t>
      </w:r>
      <w:r w:rsidR="00AD1F7D" w:rsidRPr="00C84713">
        <w:rPr>
          <w:i/>
        </w:rPr>
        <w:t>r</w:t>
      </w:r>
      <w:r w:rsidR="00AD1F7D">
        <w:t xml:space="preserve"> correlations</w:t>
      </w:r>
      <w:r w:rsidR="00AD1F7D" w:rsidRPr="00D63ACE">
        <w:t>, although it does not necessarily represent the best estimate of the IRAP’s true internal consistency.</w:t>
      </w:r>
    </w:p>
    <w:p w14:paraId="22E49F7E" w14:textId="45FFA23E" w:rsidR="00AD1F7D" w:rsidRDefault="00AD1F7D" w:rsidP="002C2E48">
      <w:r w:rsidRPr="00C84713">
        <w:rPr>
          <w:b/>
        </w:rPr>
        <w:t>Test-retest via ICC</w:t>
      </w:r>
      <w:r w:rsidR="004A697D">
        <w:rPr>
          <w:b/>
        </w:rPr>
        <w:t>(2,1)</w:t>
      </w:r>
      <w:r w:rsidRPr="00C84713">
        <w:rPr>
          <w:b/>
        </w:rPr>
        <w:t>.</w:t>
      </w:r>
      <w:r>
        <w:t xml:space="preserve"> When using ICCs, r</w:t>
      </w:r>
      <w:r w:rsidRPr="00D63ACE">
        <w:t xml:space="preserve">esults </w:t>
      </w:r>
      <w:r>
        <w:t xml:space="preserve">also </w:t>
      </w:r>
      <w:r w:rsidRPr="00D63ACE">
        <w:t>suggested that test-retest reliability was very poor, ICC</w:t>
      </w:r>
      <w:r w:rsidR="00BD6BDD">
        <w:t>(2,1)</w:t>
      </w:r>
      <w:r w:rsidRPr="00D63ACE">
        <w:t xml:space="preserve"> = </w:t>
      </w:r>
      <w:r w:rsidRPr="005D0E5C">
        <w:t>.2</w:t>
      </w:r>
      <w:r w:rsidR="0060353C">
        <w:t>1</w:t>
      </w:r>
      <w:r w:rsidRPr="005D0E5C">
        <w:t>, 95% CI [.0</w:t>
      </w:r>
      <w:r w:rsidR="0060353C">
        <w:t>6</w:t>
      </w:r>
      <w:r w:rsidRPr="005D0E5C">
        <w:t>, .3</w:t>
      </w:r>
      <w:r w:rsidR="0060353C">
        <w:t>6</w:t>
      </w:r>
      <w:r w:rsidRPr="005D0E5C">
        <w:t xml:space="preserve">], 95% </w:t>
      </w:r>
      <w:r w:rsidR="0060353C">
        <w:t>PI</w:t>
      </w:r>
      <w:r w:rsidRPr="005D0E5C">
        <w:t xml:space="preserve"> [-.15, .</w:t>
      </w:r>
      <w:r w:rsidR="0060353C">
        <w:t>57</w:t>
      </w:r>
      <w:r w:rsidRPr="005D0E5C">
        <w:t>].</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rsidR="0060353C">
        <w:t>18.23</w:t>
      </w:r>
      <w:r w:rsidRPr="00D63ACE">
        <w:t xml:space="preserve">, </w:t>
      </w:r>
      <w:r w:rsidRPr="00D63ACE">
        <w:rPr>
          <w:i/>
        </w:rPr>
        <w:t>p</w:t>
      </w:r>
      <w:r w:rsidRPr="00D63ACE">
        <w:t xml:space="preserve"> = .0</w:t>
      </w:r>
      <w:r w:rsidR="0060353C">
        <w:t>11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rsidR="0060353C">
        <w:t xml:space="preserve"> 59.48</w:t>
      </w:r>
      <w:r w:rsidRPr="00D63ACE">
        <w:t xml:space="preserve">%, </w:t>
      </w:r>
      <w:r w:rsidRPr="00D63ACE">
        <w:rPr>
          <w:i/>
        </w:rPr>
        <w:t>H</w:t>
      </w:r>
      <w:r w:rsidRPr="00D63ACE">
        <w:rPr>
          <w:rFonts w:cs="Times New Roman (Body CS)"/>
          <w:vertAlign w:val="superscript"/>
        </w:rPr>
        <w:t>2</w:t>
      </w:r>
      <w:r w:rsidRPr="00D63ACE">
        <w:t xml:space="preserve"> = 2.</w:t>
      </w:r>
      <w:r w:rsidR="0060353C">
        <w:t>47</w:t>
      </w:r>
      <w:r w:rsidRPr="00D63ACE">
        <w:t xml:space="preserve">. </w:t>
      </w:r>
      <w:r>
        <w:t xml:space="preserve">Test-retest was near zero for </w:t>
      </w:r>
      <w:r>
        <w:lastRenderedPageBreak/>
        <w:t xml:space="preserve">half of the IRAPs (i.e., gender, body image, race, and Lincoln-Hitler). </w:t>
      </w:r>
    </w:p>
    <w:p w14:paraId="37C76104" w14:textId="36B16425" w:rsidR="00AD1F7D" w:rsidRDefault="00AD1F7D" w:rsidP="00C36EC4">
      <w:r w:rsidRPr="00D63ACE">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716DBE">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76E1B1CA" w14:textId="77777777" w:rsidR="00CF589F" w:rsidRDefault="00CF589F" w:rsidP="00C36EC4"/>
    <w:p w14:paraId="4B6E7C55" w14:textId="2F82605D" w:rsidR="00CF589F" w:rsidRPr="00D63ACE" w:rsidRDefault="00EF2252" w:rsidP="00CF589F">
      <w:pPr>
        <w:ind w:firstLine="0"/>
      </w:pPr>
      <w:r>
        <w:rPr>
          <w:noProof/>
        </w:rPr>
        <w:drawing>
          <wp:inline distT="0" distB="0" distL="0" distR="0" wp14:anchorId="60D2309D" wp14:editId="51A4ECE6">
            <wp:extent cx="2755900" cy="275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755900" cy="2755900"/>
                    </a:xfrm>
                    <a:prstGeom prst="rect">
                      <a:avLst/>
                    </a:prstGeom>
                  </pic:spPr>
                </pic:pic>
              </a:graphicData>
            </a:graphic>
          </wp:inline>
        </w:drawing>
      </w:r>
    </w:p>
    <w:p w14:paraId="68A49CB9" w14:textId="77777777" w:rsidR="00CF589F" w:rsidRPr="00D63ACE" w:rsidRDefault="00CF589F" w:rsidP="00CF589F">
      <w:pPr>
        <w:ind w:firstLine="0"/>
      </w:pPr>
      <w:r w:rsidRPr="00E659A7">
        <w:rPr>
          <w:i/>
        </w:rPr>
        <w:t>Figure 3.</w:t>
      </w:r>
      <w:r w:rsidRPr="00D63ACE">
        <w:t xml:space="preserve"> GOSH plot for test-retest reliability.</w:t>
      </w:r>
    </w:p>
    <w:p w14:paraId="0E1D48DD" w14:textId="77777777" w:rsidR="00CF589F" w:rsidRDefault="00CF589F" w:rsidP="00CF589F">
      <w:pPr>
        <w:ind w:firstLine="0"/>
      </w:pPr>
    </w:p>
    <w:p w14:paraId="14811018" w14:textId="77777777" w:rsidR="00AD1F7D" w:rsidRPr="00D63ACE" w:rsidRDefault="00AD1F7D" w:rsidP="002C2E48">
      <w:pPr>
        <w:pStyle w:val="Heading2"/>
      </w:pPr>
      <w:r w:rsidRPr="00D63ACE">
        <w:t>Implications of low reliability for statistical power</w:t>
      </w:r>
    </w:p>
    <w:p w14:paraId="365318F9" w14:textId="2AE57AD1" w:rsidR="00AD1F7D" w:rsidRDefault="00AD1F7D" w:rsidP="002C2E48">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00716DBE">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14:paraId="2CF1E166" w14:textId="77777777" w:rsidR="00AF1F8E" w:rsidRPr="00D63ACE" w:rsidRDefault="00AF1F8E" w:rsidP="002C2E48"/>
    <w:p w14:paraId="5660D0D5" w14:textId="77777777" w:rsidR="00AD1F7D" w:rsidRPr="00AF1F8E" w:rsidRDefault="00000000" w:rsidP="002C2E48">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14:paraId="5B385FDB" w14:textId="77777777" w:rsidR="00AF1F8E" w:rsidRPr="00D63ACE" w:rsidRDefault="00AF1F8E" w:rsidP="002C2E48"/>
    <w:p w14:paraId="1CC244A7" w14:textId="0AF77959" w:rsidR="00AD1F7D" w:rsidRPr="00D63ACE" w:rsidRDefault="00AD1F7D" w:rsidP="002C2E48">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00716DBE">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 xml:space="preserve">(Nicholson </w:t>
      </w:r>
      <w:r w:rsidRPr="00D63ACE">
        <w:t>&amp;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w:t>
      </w:r>
      <w:r w:rsidR="00260350">
        <w:t>1</w:t>
      </w:r>
      <w:r w:rsidRPr="00D63ACE">
        <w:t>)</w:t>
      </w:r>
      <w:r>
        <w:t xml:space="preserve"> </w:t>
      </w:r>
      <w:r w:rsidRPr="00D63ACE">
        <w:t xml:space="preserve">and internal </w:t>
      </w:r>
      <w:r w:rsidRPr="00286464">
        <w:t>consistency</w:t>
      </w:r>
      <w:r w:rsidRPr="007D1D1A">
        <w:t xml:space="preserve"> (α = .5</w:t>
      </w:r>
      <w:r w:rsidR="00260350">
        <w:t>4</w:t>
      </w:r>
      <w:r w:rsidRPr="007D1D1A">
        <w:t xml:space="preserve">).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w:t>
      </w:r>
      <w:r w:rsidR="004C5329">
        <w:t>6</w:t>
      </w:r>
      <w:r w:rsidRPr="009D39F8">
        <w:t xml:space="preserve">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w:t>
      </w:r>
      <w:r w:rsidR="000C25EC">
        <w:t>3</w:t>
      </w:r>
      <w:r w:rsidRPr="009D39F8">
        <w:t xml:space="preserve">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14:paraId="63D08A51" w14:textId="77777777" w:rsidR="00AD1F7D" w:rsidRDefault="00AD1F7D" w:rsidP="002C2E48">
      <w:pPr>
        <w:pStyle w:val="Heading2"/>
      </w:pPr>
      <w:r>
        <w:t>Possible w</w:t>
      </w:r>
      <w:r w:rsidRPr="00D63ACE">
        <w:t xml:space="preserve">ays to improve reliability </w:t>
      </w:r>
    </w:p>
    <w:p w14:paraId="5257227C" w14:textId="77777777" w:rsidR="00AD1F7D" w:rsidRPr="0074573F" w:rsidRDefault="00AD1F7D" w:rsidP="002C2E48">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73D2DFD0" w14:textId="77777777" w:rsidR="009B13F9" w:rsidRDefault="00AD1F7D" w:rsidP="009B13F9">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9B13F9">
        <w:t xml:space="preserve"> </w:t>
      </w:r>
    </w:p>
    <w:p w14:paraId="7BE1168F" w14:textId="77777777" w:rsidR="009B13F9" w:rsidRPr="009B13F9" w:rsidRDefault="009B13F9" w:rsidP="009B13F9">
      <w:pPr>
        <w:rPr>
          <w:iCs/>
        </w:rPr>
      </w:pPr>
    </w:p>
    <w:p w14:paraId="052B70A7" w14:textId="77777777" w:rsidR="009B13F9" w:rsidRDefault="009B13F9" w:rsidP="009B13F9">
      <w:pPr>
        <w:ind w:firstLine="0"/>
        <w:jc w:val="center"/>
      </w:pPr>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6E8D5E27" w14:textId="77777777" w:rsidR="009B13F9" w:rsidRDefault="009B13F9" w:rsidP="009B13F9"/>
    <w:p w14:paraId="4061F3CE" w14:textId="445DE71E" w:rsidR="00AD1F7D" w:rsidRDefault="009B13F9" w:rsidP="009B13F9">
      <w:r w:rsidRPr="00084DDF">
        <w:t>Using</w:t>
      </w:r>
      <w:r>
        <w:t xml:space="preserve"> </w:t>
      </w:r>
      <w:r w:rsidR="00AD1F7D" w:rsidRPr="00084DDF">
        <w:t>the meta-analytic estimate of the IRAP’s interna</w:t>
      </w:r>
      <w:r w:rsidR="00AD1F7D" w:rsidRPr="005937A0">
        <w:t xml:space="preserve">l consistency </w:t>
      </w:r>
      <w:r w:rsidR="00AD1F7D" w:rsidRPr="000A673D">
        <w:t>(α = .51),</w:t>
      </w:r>
      <w:r w:rsidR="00AD1F7D" w:rsidRPr="005937A0">
        <w:t xml:space="preserve"> in order to increase internal consistency to α = .70, the task would need to contain </w:t>
      </w:r>
      <w:r w:rsidR="00AD1F7D" w:rsidRPr="009D39F8">
        <w:t>2.2</w:t>
      </w:r>
      <w:r w:rsidR="00AD1F7D" w:rsidRPr="00084DDF">
        <w:t xml:space="preserve"> times the number of trials it currently does. Using the meta-analytic estimate of test-retest reliability (ICC = </w:t>
      </w:r>
      <w:r w:rsidR="00AD1F7D" w:rsidRPr="00F96A46">
        <w:t>.2</w:t>
      </w:r>
      <w:r w:rsidR="003F426C">
        <w:t>1</w:t>
      </w:r>
      <w:r w:rsidR="00AD1F7D" w:rsidRPr="009D39F8">
        <w:t xml:space="preserve">), in order to increase internal consistency to ICC = .70, the task would need to contain </w:t>
      </w:r>
      <w:r w:rsidR="003F426C">
        <w:t>8.8</w:t>
      </w:r>
      <w:r w:rsidR="00AD1F7D" w:rsidRPr="00084DDF">
        <w:t xml:space="preserve"> times the number of trials it currently does. In order to put these in context, the IRAP currently takes around 10 to 15 minutes to complete. These </w:t>
      </w:r>
      <w:r w:rsidR="00AD1F7D" w:rsidRPr="00084DDF">
        <w:lastRenderedPageBreak/>
        <w:t>increases would therefore result in a t</w:t>
      </w:r>
      <w:r w:rsidR="00AD1F7D" w:rsidRPr="00F96A46">
        <w:t xml:space="preserve">ask that would take between </w:t>
      </w:r>
      <w:r w:rsidR="00AD1F7D" w:rsidRPr="009D39F8">
        <w:t>22 minutes and 2.5</w:t>
      </w:r>
      <w:r w:rsidR="00AD1F7D" w:rsidRPr="00084DDF">
        <w:t xml:space="preserve"> hours </w:t>
      </w:r>
      <w:r w:rsidR="00AD1F7D" w:rsidRPr="005937A0">
        <w:t>to</w:t>
      </w:r>
      <w:r w:rsidR="00AD1F7D">
        <w:t xml:space="preserve"> </w:t>
      </w:r>
      <w:r w:rsidR="00AD1F7D" w:rsidRPr="00D63ACE">
        <w:t xml:space="preserve">complete, depending on the type of reliability desired. While technically possible, this may either put an unreasonable burden on participants or lower the tasks utility relative to information that could be collected via alternative methodologies. </w:t>
      </w:r>
      <w:r w:rsidR="00AD1F7D">
        <w:t>It therefore seemed useful to explore alternative ways to improve reliability.</w:t>
      </w:r>
    </w:p>
    <w:p w14:paraId="08D30692" w14:textId="3354C2EC" w:rsidR="00AD1F7D" w:rsidRDefault="00AD1F7D" w:rsidP="002C2E48">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716DBE">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716DBE">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rsidR="00B74DA9">
        <w:instrText xml:space="preserve"> ADDIN ZOTERO_ITEM CSL_CITATION {"citationID":"gq06FLaZ","properties":{"formattedCitation":"(Ruscio, 2019)","plainCitation":"(Ruscio, 2019)","noteIndex":0},"citationItems":[{"id":12681,"uris":["http://zotero.org/users/1687755/items/Q865H47C"],"itemData":{"id":12681,"type":"software","abstract":"The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&lt;doi:10.1080/00273171.2012.738184&gt;.","license":"MIT + file LICENSE","source":"R-Packages","title":"RProbSup: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w:t>
      </w:r>
      <w:r w:rsidR="00AD04DF">
        <w:t>2</w:t>
      </w:r>
      <w:r>
        <w:t xml:space="preserve">, 95% CI [.46, .58], A scores: </w:t>
      </w:r>
      <w:r w:rsidRPr="00D63ACE">
        <w:t>α</w:t>
      </w:r>
      <w:r>
        <w:t xml:space="preserve"> = .5</w:t>
      </w:r>
      <w:r w:rsidR="00AD04DF">
        <w:t>4</w:t>
      </w:r>
      <w:r>
        <w:t>, 95% CI [.4</w:t>
      </w:r>
      <w:r w:rsidR="00AD04DF">
        <w:t>7</w:t>
      </w:r>
      <w:r>
        <w:t xml:space="preserve">, .61], </w:t>
      </w:r>
      <w:r w:rsidRPr="009D39F8">
        <w:rPr>
          <w:i/>
        </w:rPr>
        <w:t>Q</w:t>
      </w:r>
      <w:r w:rsidRPr="009D39F8">
        <w:rPr>
          <w:rFonts w:cs="Times New Roman (Body CS)"/>
          <w:vertAlign w:val="subscript"/>
        </w:rPr>
        <w:t>M</w:t>
      </w:r>
      <w:r w:rsidRPr="000F19D1">
        <w:t>(</w:t>
      </w:r>
      <w:r w:rsidRPr="009D39F8">
        <w:rPr>
          <w:i/>
        </w:rPr>
        <w:t>df</w:t>
      </w:r>
      <w:r w:rsidRPr="000F19D1">
        <w:t xml:space="preserve"> = 1) = 0.</w:t>
      </w:r>
      <w:r w:rsidR="003F426C">
        <w:t>3577</w:t>
      </w:r>
      <w:r w:rsidRPr="000F19D1">
        <w:t xml:space="preserve">, </w:t>
      </w:r>
      <w:r w:rsidRPr="009D39F8">
        <w:rPr>
          <w:i/>
        </w:rPr>
        <w:t>p</w:t>
      </w:r>
      <w:r w:rsidRPr="000F19D1">
        <w:t xml:space="preserve"> = .</w:t>
      </w:r>
      <w:r w:rsidR="004725D9">
        <w:t>549</w:t>
      </w:r>
      <w:r>
        <w:t xml:space="preserve">. </w:t>
      </w:r>
    </w:p>
    <w:p w14:paraId="22AFD5A0" w14:textId="26F83558" w:rsidR="00AD1F7D" w:rsidRDefault="00AD1F7D" w:rsidP="00C92F9C">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w:t>
      </w:r>
      <w:r>
        <w:t xml:space="preserve">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in internal consistency </w:t>
      </w:r>
      <w:r w:rsidR="00C92F9C">
        <w:t xml:space="preserve">were observed </w:t>
      </w:r>
      <w:r>
        <w:t xml:space="preserve">between the block orders; consistent block first: </w:t>
      </w:r>
      <w:r w:rsidRPr="00D63ACE">
        <w:t>α</w:t>
      </w:r>
      <w:r>
        <w:t xml:space="preserve"> = .46, 95% [.33, .56], inconsistent block first: </w:t>
      </w:r>
      <w:r w:rsidRPr="00D63ACE">
        <w:t>α</w:t>
      </w:r>
      <w:r>
        <w:t xml:space="preserve"> = .4</w:t>
      </w:r>
      <w:r w:rsidR="006F43B2">
        <w:t>9</w:t>
      </w:r>
      <w:r>
        <w:t>, 95% CI [.</w:t>
      </w:r>
      <w:r w:rsidR="006F43B2">
        <w:t>30</w:t>
      </w:r>
      <w:r>
        <w:t>, .6</w:t>
      </w:r>
      <w:r w:rsidR="006F43B2">
        <w:t>3</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w:t>
      </w:r>
      <w:r w:rsidR="004F6EC8">
        <w:t>1593</w:t>
      </w:r>
      <w:r w:rsidRPr="0082167A">
        <w:t xml:space="preserve">, </w:t>
      </w:r>
      <w:r w:rsidRPr="009D39F8">
        <w:rPr>
          <w:i/>
        </w:rPr>
        <w:t>p</w:t>
      </w:r>
      <w:r w:rsidRPr="0082167A">
        <w:t xml:space="preserve"> = .</w:t>
      </w:r>
      <w:r w:rsidR="004F6EC8">
        <w:t>6</w:t>
      </w:r>
      <w:r w:rsidR="006F43B2">
        <w:t>89</w:t>
      </w:r>
      <w:r>
        <w:t xml:space="preserve">. </w:t>
      </w:r>
    </w:p>
    <w:p w14:paraId="1814812C" w14:textId="4DB48AD7" w:rsidR="005C2CDE" w:rsidRDefault="00AD1F7D" w:rsidP="005C2CDE">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w:t>
      </w:r>
      <w:r w:rsidR="00C92F9C">
        <w:t xml:space="preserve">No evidence of differences in </w:t>
      </w:r>
      <w:r>
        <w:t xml:space="preserve">internal consistency </w:t>
      </w:r>
      <w:r w:rsidR="00C92F9C">
        <w:t xml:space="preserve">was observed between </w:t>
      </w:r>
      <w:r w:rsidR="005C2CDE">
        <w:t>static (</w:t>
      </w:r>
      <w:r w:rsidR="005C2CDE" w:rsidRPr="00D63ACE">
        <w:t>α</w:t>
      </w:r>
      <w:r w:rsidR="005C2CDE">
        <w:t xml:space="preserve"> = .59, 95% [.49, .67]) versus moving response options (</w:t>
      </w:r>
      <w:r w:rsidR="005C2CDE" w:rsidRPr="00D63ACE">
        <w:t>α</w:t>
      </w:r>
      <w:r w:rsidR="005C2CDE">
        <w:t xml:space="preserve"> = .49, 95% CI [.34, .60])</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w:t>
      </w:r>
      <w:r w:rsidR="00FA4F60">
        <w:t xml:space="preserve"> 3.00</w:t>
      </w:r>
      <w:r w:rsidR="00244AE6">
        <w:t>6</w:t>
      </w:r>
      <w:r w:rsidRPr="0082167A">
        <w:t xml:space="preserve">, </w:t>
      </w:r>
      <w:r w:rsidRPr="00D679A1">
        <w:rPr>
          <w:i/>
        </w:rPr>
        <w:t>p</w:t>
      </w:r>
      <w:r w:rsidRPr="0082167A">
        <w:t xml:space="preserve"> = .</w:t>
      </w:r>
      <w:r>
        <w:t>0</w:t>
      </w:r>
      <w:r w:rsidR="00FA4F60">
        <w:t>83</w:t>
      </w:r>
      <w:r>
        <w:t xml:space="preserve">. </w:t>
      </w:r>
    </w:p>
    <w:p w14:paraId="610F34A2" w14:textId="77777777" w:rsidR="00AD1F7D" w:rsidRPr="00D63ACE" w:rsidRDefault="00AD1F7D" w:rsidP="002C2E48">
      <w:pPr>
        <w:pStyle w:val="Heading1"/>
      </w:pPr>
      <w:r w:rsidRPr="00D63ACE">
        <w:t>Discussion</w:t>
      </w:r>
    </w:p>
    <w:p w14:paraId="1F630BE3" w14:textId="77777777" w:rsidR="00AD1F7D" w:rsidRDefault="00AD1F7D" w:rsidP="002C2E48">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14:paraId="779CBAF2" w14:textId="223F45EE" w:rsidR="000A673D" w:rsidRDefault="00AD1F7D" w:rsidP="002C2E48">
      <w:r w:rsidRPr="00D63ACE">
        <w:lastRenderedPageBreak/>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rsidR="006E0600">
        <w:t xml:space="preserve"> </w:t>
      </w:r>
      <w:r>
        <w:t>(</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716DBE">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716DBE">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xml:space="preserve">. </w:t>
      </w:r>
    </w:p>
    <w:p w14:paraId="34B3F69E" w14:textId="21FF8011" w:rsidR="000A673D" w:rsidRDefault="00AD1F7D" w:rsidP="002C2E48">
      <w:r w:rsidRPr="00D63ACE">
        <w:t>Our estimate of test-retest reliability (ICC = .</w:t>
      </w:r>
      <w:r>
        <w:t>2</w:t>
      </w:r>
      <w:r w:rsidR="00CD0213">
        <w:t>1</w:t>
      </w:r>
      <w:r w:rsidRPr="00D63ACE">
        <w:t>, 95% CI [</w:t>
      </w:r>
      <w:r>
        <w:t>.0</w:t>
      </w:r>
      <w:r w:rsidR="00CD0213">
        <w:t>6</w:t>
      </w:r>
      <w:r>
        <w:t>, .3</w:t>
      </w:r>
      <w:r w:rsidR="00CD0213">
        <w:t>6</w:t>
      </w:r>
      <w:r w:rsidRPr="00D63ACE">
        <w:t xml:space="preserve">]) was </w:t>
      </w:r>
      <w:r>
        <w:t xml:space="preserve">much </w:t>
      </w:r>
      <w:r w:rsidRPr="00D63ACE">
        <w:t xml:space="preserve">lower than those reported by either previously published meta-analysis </w:t>
      </w:r>
      <w:r w:rsidRPr="00D63ACE">
        <w:fldChar w:fldCharType="begin"/>
      </w:r>
      <w:r w:rsidR="00716DB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w:t>
      </w:r>
    </w:p>
    <w:p w14:paraId="35CBBF8F" w14:textId="36033924" w:rsidR="00AD1F7D" w:rsidRDefault="00AD1F7D" w:rsidP="002C2E48">
      <w:pPr>
        <w:rPr>
          <w:color w:val="000000" w:themeColor="text1"/>
        </w:rPr>
      </w:pPr>
      <w:r w:rsidRPr="00D63ACE">
        <w:t xml:space="preserve">Differences in results may 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14:paraId="64809E59" w14:textId="00C7CB2F" w:rsidR="00AD1F7D" w:rsidRPr="00CD55CB" w:rsidRDefault="00AD1F7D" w:rsidP="00A153C1">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rsidR="00716DBE">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w:t>
      </w:r>
      <w:r w:rsidR="00CB731B">
        <w:t xml:space="preserve">evidence of a </w:t>
      </w:r>
      <w:r w:rsidR="004D394D">
        <w:t xml:space="preserve">statistically significant </w:t>
      </w:r>
      <w:r>
        <w:t xml:space="preserve">difference </w:t>
      </w:r>
      <w:r w:rsidR="004D394D">
        <w:t xml:space="preserve">was found between either </w:t>
      </w:r>
      <w:r w:rsidR="00CB731B">
        <w:t>block orders</w:t>
      </w:r>
      <w:r w:rsidR="00A153C1">
        <w:t>. While the difference between them was not statistically significant, the numerical differences between static (</w:t>
      </w:r>
      <w:r w:rsidR="00A153C1" w:rsidRPr="00D63ACE">
        <w:t>α</w:t>
      </w:r>
      <w:r w:rsidR="00A153C1">
        <w:t xml:space="preserve"> = .59, 95% [.49, .67]) versus moving response options (</w:t>
      </w:r>
      <w:r w:rsidR="00A153C1" w:rsidRPr="00D63ACE">
        <w:t>α</w:t>
      </w:r>
      <w:r w:rsidR="00A153C1">
        <w:t xml:space="preserve"> = .49, 95% CI [.34, .60]) may suggest that fixing the location of the response options may be worthwhile. Nonetheless</w:t>
      </w:r>
      <w:r>
        <w:t>,</w:t>
      </w:r>
      <w:r w:rsidR="00A153C1">
        <w:t xml:space="preserve"> in both cases</w:t>
      </w:r>
      <w:r>
        <w:t xml:space="preserve"> internal consistency remained to be </w:t>
      </w:r>
      <w:r w:rsidR="00183D0A">
        <w:t xml:space="preserve">much </w:t>
      </w:r>
      <w:r>
        <w:t xml:space="preserve">lower than the most popular implicit measure, the IAT </w:t>
      </w:r>
      <w:r w:rsidRPr="00D63ACE">
        <w:fldChar w:fldCharType="begin"/>
      </w:r>
      <w:r w:rsidR="00716DBE">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rsidR="00716DBE">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3140AE41" w:rsidR="00AD1F7D" w:rsidRPr="007312A8" w:rsidRDefault="00AD1F7D" w:rsidP="002C2E48">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716DBE">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716DBE">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716DBE">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2C2E48">
      <w:pPr>
        <w:pStyle w:val="Heading2"/>
      </w:pPr>
      <w:r w:rsidRPr="00D63ACE">
        <w:t>Conclusions</w:t>
      </w:r>
    </w:p>
    <w:p w14:paraId="6B205FE2" w14:textId="470C0F9B" w:rsidR="00AD1F7D" w:rsidRPr="00DC27E9" w:rsidRDefault="00AD1F7D" w:rsidP="002C2E48">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w:t>
      </w:r>
      <w:r w:rsidR="006437F6">
        <w:t xml:space="preserve">to capture </w:t>
      </w:r>
      <w:r w:rsidRPr="00D63ACE">
        <w:t>the animal</w:t>
      </w:r>
      <w:r w:rsidR="006437F6">
        <w:t>’</w:t>
      </w:r>
      <w:r w:rsidRPr="00D63ACE">
        <w:t xml:space="preserve">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14:paraId="540B5C5C" w14:textId="3D86CED6" w:rsidR="00AD1F7D" w:rsidRPr="00DC27E9" w:rsidRDefault="00AD1F7D" w:rsidP="002C2E48">
      <w:r w:rsidRPr="00D63ACE">
        <w:t xml:space="preserve">Vahey et al.’s </w:t>
      </w:r>
      <w:r w:rsidRPr="00D63ACE">
        <w:fldChar w:fldCharType="begin"/>
      </w:r>
      <w:r w:rsidR="00716DBE">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meta-analysis of criterion validity concluded that the IRAP shows promise as a clinical assessment measure. However, a degree of reliability is a prerequisite for validity </w:t>
      </w:r>
      <w:r w:rsidRPr="00D63ACE">
        <w:fldChar w:fldCharType="begin"/>
      </w:r>
      <w:r w:rsidR="00716DBE">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fldChar w:fldCharType="separate"/>
      </w:r>
      <w:r w:rsidRPr="00D63ACE">
        <w:t>(Loevinger, 1957)</w:t>
      </w:r>
      <w:r w:rsidRPr="00D63ACE">
        <w:fldChar w:fldCharType="end"/>
      </w:r>
      <w:r w:rsidRPr="00D63ACE">
        <w:t xml:space="preserve">. The results of this and two </w:t>
      </w:r>
      <w:r>
        <w:t xml:space="preserve">previous </w:t>
      </w:r>
      <w:r w:rsidRPr="00D63ACE">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fldChar w:fldCharType="begin"/>
      </w:r>
      <w:r w:rsidR="00716DBE">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As such, in its current form, the IRAP likely has limited use as an assessment tool in either research or applied settings. Researchers should be </w:t>
      </w:r>
      <w:r>
        <w:t>very</w:t>
      </w:r>
      <w:r w:rsidRPr="00D63ACE">
        <w:t xml:space="preserve"> cautious when choosing to use the IRAP in their </w:t>
      </w:r>
      <w:r w:rsidRPr="00D63ACE">
        <w:lastRenderedPageBreak/>
        <w:t>research or when interpreting the results of IRAP studies.</w:t>
      </w:r>
    </w:p>
    <w:p w14:paraId="52E3079E" w14:textId="77777777" w:rsidR="00AD1F7D" w:rsidRPr="00D63ACE" w:rsidRDefault="00AD1F7D" w:rsidP="002C2E48">
      <w:pPr>
        <w:pStyle w:val="Heading1"/>
      </w:pPr>
      <w:r w:rsidRPr="00D63ACE">
        <w:t>References</w:t>
      </w:r>
    </w:p>
    <w:p w14:paraId="3AB4B5A7" w14:textId="77777777" w:rsidR="00B74DA9" w:rsidRPr="00B74DA9" w:rsidRDefault="00AD1F7D" w:rsidP="00B74DA9">
      <w:pPr>
        <w:pStyle w:val="Bibliography"/>
        <w:rPr>
          <w:rFonts w:cs="CMU Serif Roman"/>
          <w:lang w:val="en-GB"/>
        </w:rPr>
      </w:pPr>
      <w:r>
        <w:fldChar w:fldCharType="begin"/>
      </w:r>
      <w:r>
        <w:instrText xml:space="preserve"> ADDIN ZOTERO_BIBL {"uncited":[],"omitted":[],"custom":[]} CSL_BIBLIOGRAPHY </w:instrText>
      </w:r>
      <w:r>
        <w:fldChar w:fldCharType="separate"/>
      </w:r>
      <w:r w:rsidR="00B74DA9" w:rsidRPr="00B74DA9">
        <w:rPr>
          <w:rFonts w:cs="CMU Serif Roman"/>
          <w:lang w:val="en-GB"/>
        </w:rPr>
        <w:t xml:space="preserve">Barnes-Holmes, D., Barnes-Holmes, Y., Stewart, I., &amp; Boles, S. (2010). A sketch of the Implicit Relational Assessment Procedure (IRAP) and the Relational Elaboration and Coherence (REC) model. </w:t>
      </w:r>
      <w:r w:rsidR="00B74DA9" w:rsidRPr="00B74DA9">
        <w:rPr>
          <w:rFonts w:cs="CMU Serif Roman"/>
          <w:i/>
          <w:iCs/>
          <w:lang w:val="en-GB"/>
        </w:rPr>
        <w:t>The Psychological Record</w:t>
      </w:r>
      <w:r w:rsidR="00B74DA9" w:rsidRPr="00B74DA9">
        <w:rPr>
          <w:rFonts w:cs="CMU Serif Roman"/>
          <w:lang w:val="en-GB"/>
        </w:rPr>
        <w:t xml:space="preserve">, </w:t>
      </w:r>
      <w:r w:rsidR="00B74DA9" w:rsidRPr="00B74DA9">
        <w:rPr>
          <w:rFonts w:cs="CMU Serif Roman"/>
          <w:i/>
          <w:iCs/>
          <w:lang w:val="en-GB"/>
        </w:rPr>
        <w:t>60</w:t>
      </w:r>
      <w:r w:rsidR="00B74DA9" w:rsidRPr="00B74DA9">
        <w:rPr>
          <w:rFonts w:cs="CMU Serif Roman"/>
          <w:lang w:val="en-GB"/>
        </w:rPr>
        <w:t>, 527–542.</w:t>
      </w:r>
    </w:p>
    <w:p w14:paraId="41A9919F" w14:textId="77777777" w:rsidR="00B74DA9" w:rsidRPr="00B74DA9" w:rsidRDefault="00B74DA9" w:rsidP="00B74DA9">
      <w:pPr>
        <w:pStyle w:val="Bibliography"/>
        <w:rPr>
          <w:rFonts w:cs="CMU Serif Roman"/>
          <w:lang w:val="en-GB"/>
        </w:rPr>
      </w:pPr>
      <w:r w:rsidRPr="00B74DA9">
        <w:rPr>
          <w:rFonts w:cs="CMU Serif Roman"/>
          <w:lang w:val="en-GB"/>
        </w:rPr>
        <w:t xml:space="preserve">De Schryver, M., Hussey, I., De Neve, J., Cartwright, A., &amp; Barnes-Holmes, D. (2018). The PIIRAP: An alternative scoring algorithm for the IRAP using a probabilistic semiparametric effect size measure. </w:t>
      </w:r>
      <w:r w:rsidRPr="00B74DA9">
        <w:rPr>
          <w:rFonts w:cs="CMU Serif Roman"/>
          <w:i/>
          <w:iCs/>
          <w:lang w:val="en-GB"/>
        </w:rPr>
        <w:t>Journal of Contextual Behavioral Science</w:t>
      </w:r>
      <w:r w:rsidRPr="00B74DA9">
        <w:rPr>
          <w:rFonts w:cs="CMU Serif Roman"/>
          <w:lang w:val="en-GB"/>
        </w:rPr>
        <w:t xml:space="preserve">, </w:t>
      </w:r>
      <w:r w:rsidRPr="00B74DA9">
        <w:rPr>
          <w:rFonts w:cs="CMU Serif Roman"/>
          <w:i/>
          <w:iCs/>
          <w:lang w:val="en-GB"/>
        </w:rPr>
        <w:t>7</w:t>
      </w:r>
      <w:r w:rsidRPr="00B74DA9">
        <w:rPr>
          <w:rFonts w:cs="CMU Serif Roman"/>
          <w:lang w:val="en-GB"/>
        </w:rPr>
        <w:t>, 97–103. https://doi.org/10.1016/j.jcbs.2018.01.001</w:t>
      </w:r>
    </w:p>
    <w:p w14:paraId="21446551" w14:textId="77777777" w:rsidR="00B74DA9" w:rsidRPr="00B74DA9" w:rsidRDefault="00B74DA9" w:rsidP="00B74DA9">
      <w:pPr>
        <w:pStyle w:val="Bibliography"/>
        <w:rPr>
          <w:rFonts w:cs="CMU Serif Roman"/>
          <w:lang w:val="en-GB"/>
        </w:rPr>
      </w:pPr>
      <w:r w:rsidRPr="00B74DA9">
        <w:rPr>
          <w:rFonts w:cs="CMU Serif Roman"/>
          <w:lang w:val="en-GB"/>
        </w:rPr>
        <w:t xml:space="preserve">Devezer, B., Navarro, D. J., Vandekerckhove, J., &amp; Buzbas, E. O. (2020). The case for formal methodology in scientific reform. </w:t>
      </w:r>
      <w:r w:rsidRPr="00B74DA9">
        <w:rPr>
          <w:rFonts w:cs="CMU Serif Roman"/>
          <w:i/>
          <w:iCs/>
          <w:lang w:val="en-GB"/>
        </w:rPr>
        <w:t>Preprint</w:t>
      </w:r>
      <w:r w:rsidRPr="00B74DA9">
        <w:rPr>
          <w:rFonts w:cs="CMU Serif Roman"/>
          <w:lang w:val="en-GB"/>
        </w:rPr>
        <w:t>. https://doi.org/10.1101/2020.04.26.048306</w:t>
      </w:r>
    </w:p>
    <w:p w14:paraId="57EFA51F" w14:textId="77777777" w:rsidR="00B74DA9" w:rsidRPr="00B74DA9" w:rsidRDefault="00B74DA9" w:rsidP="00B74DA9">
      <w:pPr>
        <w:pStyle w:val="Bibliography"/>
        <w:rPr>
          <w:rFonts w:cs="CMU Serif Roman"/>
          <w:lang w:val="en-GB"/>
        </w:rPr>
      </w:pPr>
      <w:r w:rsidRPr="00B74DA9">
        <w:rPr>
          <w:rFonts w:cs="CMU Serif Roman"/>
          <w:lang w:val="en-GB"/>
        </w:rPr>
        <w:t xml:space="preserve">Drake, C. E., Kramer, S., Sain, T., Swiatek, R., Kohn, K., &amp; Murphy, M. (2015). Exploring the reliability and convergent validity of implicit racial evaluations. </w:t>
      </w:r>
      <w:r w:rsidRPr="00B74DA9">
        <w:rPr>
          <w:rFonts w:cs="CMU Serif Roman"/>
          <w:i/>
          <w:iCs/>
          <w:lang w:val="en-GB"/>
        </w:rPr>
        <w:t>Behavior and Social Issues</w:t>
      </w:r>
      <w:r w:rsidRPr="00B74DA9">
        <w:rPr>
          <w:rFonts w:cs="CMU Serif Roman"/>
          <w:lang w:val="en-GB"/>
        </w:rPr>
        <w:t xml:space="preserve">, </w:t>
      </w:r>
      <w:r w:rsidRPr="00B74DA9">
        <w:rPr>
          <w:rFonts w:cs="CMU Serif Roman"/>
          <w:i/>
          <w:iCs/>
          <w:lang w:val="en-GB"/>
        </w:rPr>
        <w:t>24</w:t>
      </w:r>
      <w:r w:rsidRPr="00B74DA9">
        <w:rPr>
          <w:rFonts w:cs="CMU Serif Roman"/>
          <w:lang w:val="en-GB"/>
        </w:rPr>
        <w:t>. https://doi.org/10.5210/bsi.v24i0.5496</w:t>
      </w:r>
    </w:p>
    <w:p w14:paraId="1F9E8828" w14:textId="77777777" w:rsidR="00B74DA9" w:rsidRPr="00B74DA9" w:rsidRDefault="00B74DA9" w:rsidP="00B74DA9">
      <w:pPr>
        <w:pStyle w:val="Bibliography"/>
        <w:rPr>
          <w:rFonts w:cs="CMU Serif Roman"/>
          <w:lang w:val="en-GB"/>
        </w:rPr>
      </w:pPr>
      <w:r w:rsidRPr="00B74DA9">
        <w:rPr>
          <w:rFonts w:cs="CMU Serif Roman"/>
          <w:lang w:val="en-GB"/>
        </w:rPr>
        <w:t xml:space="preserve">Drake, C. E., Primeaux, S., &amp; Thomas, J. (2018). Comparing Implicit Gender Stereotypes Between Women and Men with the Implicit Relational Assessment Procedure. </w:t>
      </w:r>
      <w:r w:rsidRPr="00B74DA9">
        <w:rPr>
          <w:rFonts w:cs="CMU Serif Roman"/>
          <w:i/>
          <w:iCs/>
          <w:lang w:val="en-GB"/>
        </w:rPr>
        <w:t>Gender Issues</w:t>
      </w:r>
      <w:r w:rsidRPr="00B74DA9">
        <w:rPr>
          <w:rFonts w:cs="CMU Serif Roman"/>
          <w:lang w:val="en-GB"/>
        </w:rPr>
        <w:t xml:space="preserve">, </w:t>
      </w:r>
      <w:r w:rsidRPr="00B74DA9">
        <w:rPr>
          <w:rFonts w:cs="CMU Serif Roman"/>
          <w:i/>
          <w:iCs/>
          <w:lang w:val="en-GB"/>
        </w:rPr>
        <w:t>35</w:t>
      </w:r>
      <w:r w:rsidRPr="00B74DA9">
        <w:rPr>
          <w:rFonts w:cs="CMU Serif Roman"/>
          <w:lang w:val="en-GB"/>
        </w:rPr>
        <w:t>(1), 3–20. https://doi.org/10.1007/s12147-017-9189-6</w:t>
      </w:r>
    </w:p>
    <w:p w14:paraId="1FDA1D9B" w14:textId="77777777" w:rsidR="00B74DA9" w:rsidRPr="00B74DA9" w:rsidRDefault="00B74DA9" w:rsidP="00B74DA9">
      <w:pPr>
        <w:pStyle w:val="Bibliography"/>
        <w:rPr>
          <w:rFonts w:cs="CMU Serif Roman"/>
          <w:lang w:val="en-GB"/>
        </w:rPr>
      </w:pPr>
      <w:r w:rsidRPr="00B74DA9">
        <w:rPr>
          <w:rFonts w:cs="CMU Serif Roman"/>
          <w:lang w:val="en-GB"/>
        </w:rPr>
        <w:t xml:space="preserve">Drake, C. E., Seymour, K. H., &amp; Habib, R. (2016). Testing the IRAP: Exploring the Reliability and Fakability of an Idiographic Approach to Interpersonal Attitudes. </w:t>
      </w:r>
      <w:r w:rsidRPr="00B74DA9">
        <w:rPr>
          <w:rFonts w:cs="CMU Serif Roman"/>
          <w:i/>
          <w:iCs/>
          <w:lang w:val="en-GB"/>
        </w:rPr>
        <w:t>The Psychological Record</w:t>
      </w:r>
      <w:r w:rsidRPr="00B74DA9">
        <w:rPr>
          <w:rFonts w:cs="CMU Serif Roman"/>
          <w:lang w:val="en-GB"/>
        </w:rPr>
        <w:t xml:space="preserve">, </w:t>
      </w:r>
      <w:r w:rsidRPr="00B74DA9">
        <w:rPr>
          <w:rFonts w:cs="CMU Serif Roman"/>
          <w:i/>
          <w:iCs/>
          <w:lang w:val="en-GB"/>
        </w:rPr>
        <w:t>66</w:t>
      </w:r>
      <w:r w:rsidRPr="00B74DA9">
        <w:rPr>
          <w:rFonts w:cs="CMU Serif Roman"/>
          <w:lang w:val="en-GB"/>
        </w:rPr>
        <w:t>(1), 153–163. https://doi.org/10.1007/s40732-015-0160-1</w:t>
      </w:r>
    </w:p>
    <w:p w14:paraId="0DAE8A32" w14:textId="77777777" w:rsidR="00B74DA9" w:rsidRPr="00B74DA9" w:rsidRDefault="00B74DA9" w:rsidP="00B74DA9">
      <w:pPr>
        <w:pStyle w:val="Bibliography"/>
        <w:rPr>
          <w:rFonts w:cs="CMU Serif Roman"/>
          <w:lang w:val="en-GB"/>
        </w:rPr>
      </w:pPr>
      <w:r w:rsidRPr="00B74DA9">
        <w:rPr>
          <w:rFonts w:cs="CMU Serif Roman"/>
          <w:lang w:val="en-GB"/>
        </w:rPr>
        <w:t xml:space="preserve">Finn, M., Barnes-Holmes, D., Hussey, I., &amp; Graddy, J. (2016). Exploring the Behavioral Dynamics of the Implicit Relational Assessment Procedure: The Impact of Three Types of Introductory Rules. </w:t>
      </w:r>
      <w:r w:rsidRPr="00B74DA9">
        <w:rPr>
          <w:rFonts w:cs="CMU Serif Roman"/>
          <w:i/>
          <w:iCs/>
          <w:lang w:val="en-GB"/>
        </w:rPr>
        <w:t>The Psychological Record</w:t>
      </w:r>
      <w:r w:rsidRPr="00B74DA9">
        <w:rPr>
          <w:rFonts w:cs="CMU Serif Roman"/>
          <w:lang w:val="en-GB"/>
        </w:rPr>
        <w:t>, 1–13.</w:t>
      </w:r>
    </w:p>
    <w:p w14:paraId="7BF84D31" w14:textId="77777777" w:rsidR="00B74DA9" w:rsidRPr="00B74DA9" w:rsidRDefault="00B74DA9" w:rsidP="00B74DA9">
      <w:pPr>
        <w:pStyle w:val="Bibliography"/>
        <w:rPr>
          <w:rFonts w:cs="CMU Serif Roman"/>
          <w:lang w:val="en-GB"/>
        </w:rPr>
      </w:pPr>
      <w:r w:rsidRPr="00B74DA9">
        <w:rPr>
          <w:rFonts w:cs="CMU Serif Roman"/>
          <w:lang w:val="en-GB"/>
        </w:rPr>
        <w:t xml:space="preserve">Flake, J. K., &amp; Fried, E. I. (2019). </w:t>
      </w:r>
      <w:r w:rsidRPr="00B74DA9">
        <w:rPr>
          <w:rFonts w:cs="CMU Serif Roman"/>
          <w:i/>
          <w:iCs/>
          <w:lang w:val="en-GB"/>
        </w:rPr>
        <w:t>Measurement Schmeasurement: Questionable Measurement Practices and How to Avoid Them</w:t>
      </w:r>
      <w:r w:rsidRPr="00B74DA9">
        <w:rPr>
          <w:rFonts w:cs="CMU Serif Roman"/>
          <w:lang w:val="en-GB"/>
        </w:rPr>
        <w:t xml:space="preserve">. </w:t>
      </w:r>
      <w:r w:rsidRPr="00B74DA9">
        <w:rPr>
          <w:rFonts w:cs="CMU Serif Roman"/>
          <w:i/>
          <w:iCs/>
          <w:lang w:val="en-GB"/>
        </w:rPr>
        <w:t>Preprint</w:t>
      </w:r>
      <w:r w:rsidRPr="00B74DA9">
        <w:rPr>
          <w:rFonts w:cs="CMU Serif Roman"/>
          <w:lang w:val="en-GB"/>
        </w:rPr>
        <w:t>. https://doi.org/10.31234/osf.io/hs7wm</w:t>
      </w:r>
    </w:p>
    <w:p w14:paraId="7FB6575E" w14:textId="77777777" w:rsidR="00B74DA9" w:rsidRPr="00B74DA9" w:rsidRDefault="00B74DA9" w:rsidP="00B74DA9">
      <w:pPr>
        <w:pStyle w:val="Bibliography"/>
        <w:rPr>
          <w:rFonts w:cs="CMU Serif Roman"/>
          <w:lang w:val="en-GB"/>
        </w:rPr>
      </w:pPr>
      <w:r w:rsidRPr="00B74DA9">
        <w:rPr>
          <w:rFonts w:cs="CMU Serif Roman"/>
          <w:lang w:val="en-GB"/>
        </w:rPr>
        <w:t xml:space="preserve">Gawronski, B., &amp; De Houwer, J. (2011). Implicit measures in social and personality psychology. In C. M. Judd (Ed.), </w:t>
      </w:r>
      <w:r w:rsidRPr="00B74DA9">
        <w:rPr>
          <w:rFonts w:cs="CMU Serif Roman"/>
          <w:i/>
          <w:iCs/>
          <w:lang w:val="en-GB"/>
        </w:rPr>
        <w:t>Handbook of research methods in social and personality psychology</w:t>
      </w:r>
      <w:r w:rsidRPr="00B74DA9">
        <w:rPr>
          <w:rFonts w:cs="CMU Serif Roman"/>
          <w:lang w:val="en-GB"/>
        </w:rPr>
        <w:t xml:space="preserve"> (Vol. 2). Cambridge University Press. 10.1017/CBO9780511996481.016</w:t>
      </w:r>
    </w:p>
    <w:p w14:paraId="1142BA0C" w14:textId="77777777" w:rsidR="00B74DA9" w:rsidRPr="00B74DA9" w:rsidRDefault="00B74DA9" w:rsidP="00B74DA9">
      <w:pPr>
        <w:pStyle w:val="Bibliography"/>
        <w:rPr>
          <w:rFonts w:cs="CMU Serif Roman"/>
          <w:lang w:val="en-GB"/>
        </w:rPr>
      </w:pPr>
      <w:r w:rsidRPr="00B74DA9">
        <w:rPr>
          <w:rFonts w:cs="CMU Serif Roman"/>
          <w:lang w:val="en-GB"/>
        </w:rPr>
        <w:t xml:space="preserve">Golijani-Moghaddam, N., Hart, A., &amp; Dawson, D. L. (2013). The Implicit Relational Assessment Procedure: Emerging reliability and validity data. </w:t>
      </w:r>
      <w:r w:rsidRPr="00B74DA9">
        <w:rPr>
          <w:rFonts w:cs="CMU Serif Roman"/>
          <w:i/>
          <w:iCs/>
          <w:lang w:val="en-GB"/>
        </w:rPr>
        <w:t>Journal of Contextual Behavioral Science</w:t>
      </w:r>
      <w:r w:rsidRPr="00B74DA9">
        <w:rPr>
          <w:rFonts w:cs="CMU Serif Roman"/>
          <w:lang w:val="en-GB"/>
        </w:rPr>
        <w:t xml:space="preserve">, </w:t>
      </w:r>
      <w:r w:rsidRPr="00B74DA9">
        <w:rPr>
          <w:rFonts w:cs="CMU Serif Roman"/>
          <w:i/>
          <w:iCs/>
          <w:lang w:val="en-GB"/>
        </w:rPr>
        <w:t>2</w:t>
      </w:r>
      <w:r w:rsidRPr="00B74DA9">
        <w:rPr>
          <w:rFonts w:cs="CMU Serif Roman"/>
          <w:lang w:val="en-GB"/>
        </w:rPr>
        <w:t>(3–4), 105–119. https://doi.org/10.1016/j.jcbs.2013.05.002</w:t>
      </w:r>
    </w:p>
    <w:p w14:paraId="47E80C71" w14:textId="77777777" w:rsidR="00B74DA9" w:rsidRPr="00B74DA9" w:rsidRDefault="00B74DA9" w:rsidP="00B74DA9">
      <w:pPr>
        <w:pStyle w:val="Bibliography"/>
        <w:rPr>
          <w:rFonts w:cs="CMU Serif Roman"/>
          <w:lang w:val="en-GB"/>
        </w:rPr>
      </w:pPr>
      <w:r w:rsidRPr="00B74DA9">
        <w:rPr>
          <w:rFonts w:cs="CMU Serif Roman"/>
          <w:lang w:val="en-GB"/>
        </w:rPr>
        <w:t xml:space="preserve">Greenwald, A. G., &amp; Banaji, M. R. (1995). Implicit social cognition: Attitudes, self-esteem, and stereotypes. </w:t>
      </w:r>
      <w:r w:rsidRPr="00B74DA9">
        <w:rPr>
          <w:rFonts w:cs="CMU Serif Roman"/>
          <w:i/>
          <w:iCs/>
          <w:lang w:val="en-GB"/>
        </w:rPr>
        <w:t>Psychological Review</w:t>
      </w:r>
      <w:r w:rsidRPr="00B74DA9">
        <w:rPr>
          <w:rFonts w:cs="CMU Serif Roman"/>
          <w:lang w:val="en-GB"/>
        </w:rPr>
        <w:t xml:space="preserve">, </w:t>
      </w:r>
      <w:r w:rsidRPr="00B74DA9">
        <w:rPr>
          <w:rFonts w:cs="CMU Serif Roman"/>
          <w:i/>
          <w:iCs/>
          <w:lang w:val="en-GB"/>
        </w:rPr>
        <w:t>102</w:t>
      </w:r>
      <w:r w:rsidRPr="00B74DA9">
        <w:rPr>
          <w:rFonts w:cs="CMU Serif Roman"/>
          <w:lang w:val="en-GB"/>
        </w:rPr>
        <w:t>(1), 4.</w:t>
      </w:r>
    </w:p>
    <w:p w14:paraId="2C3219BA" w14:textId="77777777" w:rsidR="00B74DA9" w:rsidRPr="00B74DA9" w:rsidRDefault="00B74DA9" w:rsidP="00B74DA9">
      <w:pPr>
        <w:pStyle w:val="Bibliography"/>
        <w:rPr>
          <w:rFonts w:cs="CMU Serif Roman"/>
          <w:lang w:val="en-GB"/>
        </w:rPr>
      </w:pPr>
      <w:r w:rsidRPr="00B74DA9">
        <w:rPr>
          <w:rFonts w:cs="CMU Serif Roman"/>
          <w:lang w:val="en-GB"/>
        </w:rPr>
        <w:t xml:space="preserve">Greenwald, A. G., &amp; Lai, C. K. (2020). Implicit Social Cognition. </w:t>
      </w:r>
      <w:r w:rsidRPr="00B74DA9">
        <w:rPr>
          <w:rFonts w:cs="CMU Serif Roman"/>
          <w:i/>
          <w:iCs/>
          <w:lang w:val="en-GB"/>
        </w:rPr>
        <w:t>Annual Review of Psychology</w:t>
      </w:r>
      <w:r w:rsidRPr="00B74DA9">
        <w:rPr>
          <w:rFonts w:cs="CMU Serif Roman"/>
          <w:lang w:val="en-GB"/>
        </w:rPr>
        <w:t xml:space="preserve">, </w:t>
      </w:r>
      <w:r w:rsidRPr="00B74DA9">
        <w:rPr>
          <w:rFonts w:cs="CMU Serif Roman"/>
          <w:i/>
          <w:iCs/>
          <w:lang w:val="en-GB"/>
        </w:rPr>
        <w:t>71</w:t>
      </w:r>
      <w:r w:rsidRPr="00B74DA9">
        <w:rPr>
          <w:rFonts w:cs="CMU Serif Roman"/>
          <w:lang w:val="en-GB"/>
        </w:rPr>
        <w:t>(1), 419–445. https://doi.org/10.1146/annurev-psych-010419-050837</w:t>
      </w:r>
    </w:p>
    <w:p w14:paraId="1911C3C6" w14:textId="77777777" w:rsidR="00B74DA9" w:rsidRPr="00B74DA9" w:rsidRDefault="00B74DA9" w:rsidP="00B74DA9">
      <w:pPr>
        <w:pStyle w:val="Bibliography"/>
        <w:rPr>
          <w:rFonts w:cs="CMU Serif Roman"/>
          <w:lang w:val="en-GB"/>
        </w:rPr>
      </w:pPr>
      <w:r w:rsidRPr="00B74DA9">
        <w:rPr>
          <w:rFonts w:cs="CMU Serif Roman"/>
          <w:lang w:val="en-GB"/>
        </w:rPr>
        <w:t xml:space="preserve">Greenwald, A. G., McGhee, D. E., &amp; Schwartz, J. L. (1998). Measuring individual differences in implicit cognition: The Implicit Association Test. </w:t>
      </w:r>
      <w:r w:rsidRPr="00B74DA9">
        <w:rPr>
          <w:rFonts w:cs="CMU Serif Roman"/>
          <w:i/>
          <w:iCs/>
          <w:lang w:val="en-GB"/>
        </w:rPr>
        <w:t>Journal of Personality and Social Psychology</w:t>
      </w:r>
      <w:r w:rsidRPr="00B74DA9">
        <w:rPr>
          <w:rFonts w:cs="CMU Serif Roman"/>
          <w:lang w:val="en-GB"/>
        </w:rPr>
        <w:t xml:space="preserve">, </w:t>
      </w:r>
      <w:r w:rsidRPr="00B74DA9">
        <w:rPr>
          <w:rFonts w:cs="CMU Serif Roman"/>
          <w:i/>
          <w:iCs/>
          <w:lang w:val="en-GB"/>
        </w:rPr>
        <w:t>74</w:t>
      </w:r>
      <w:r w:rsidRPr="00B74DA9">
        <w:rPr>
          <w:rFonts w:cs="CMU Serif Roman"/>
          <w:lang w:val="en-GB"/>
        </w:rPr>
        <w:t>(6), 1464–1480. https://doi.org/10.1037/0022-3514.74.6.1464</w:t>
      </w:r>
    </w:p>
    <w:p w14:paraId="5990362E" w14:textId="77777777" w:rsidR="00B74DA9" w:rsidRPr="00B74DA9" w:rsidRDefault="00B74DA9" w:rsidP="00B74DA9">
      <w:pPr>
        <w:pStyle w:val="Bibliography"/>
        <w:rPr>
          <w:rFonts w:cs="CMU Serif Roman"/>
          <w:lang w:val="en-GB"/>
        </w:rPr>
      </w:pPr>
      <w:r w:rsidRPr="00B74DA9">
        <w:rPr>
          <w:rFonts w:cs="CMU Serif Roman"/>
          <w:lang w:val="en-GB"/>
        </w:rPr>
        <w:t xml:space="preserve">Hussey, I. (2020). The IRAP is not suitable for individual use due to very wide confidence intervals around D scores. </w:t>
      </w:r>
      <w:r w:rsidRPr="00B74DA9">
        <w:rPr>
          <w:rFonts w:cs="CMU Serif Roman"/>
          <w:i/>
          <w:iCs/>
          <w:lang w:val="en-GB"/>
        </w:rPr>
        <w:t>Preprint</w:t>
      </w:r>
      <w:r w:rsidRPr="00B74DA9">
        <w:rPr>
          <w:rFonts w:cs="CMU Serif Roman"/>
          <w:lang w:val="en-GB"/>
        </w:rPr>
        <w:t>. https://doi.org/10.31234/osf.io/w2ygr</w:t>
      </w:r>
    </w:p>
    <w:p w14:paraId="0C7B65D8" w14:textId="77777777" w:rsidR="00B74DA9" w:rsidRPr="00B74DA9" w:rsidRDefault="00B74DA9" w:rsidP="00B74DA9">
      <w:pPr>
        <w:pStyle w:val="Bibliography"/>
        <w:rPr>
          <w:rFonts w:cs="CMU Serif Roman"/>
          <w:lang w:val="en-GB"/>
        </w:rPr>
      </w:pPr>
      <w:r w:rsidRPr="00B74DA9">
        <w:rPr>
          <w:rFonts w:cs="CMU Serif Roman"/>
          <w:lang w:val="en-GB"/>
        </w:rPr>
        <w:t xml:space="preserve">Hussey, I., Daly, T., &amp; Barnes-Holmes, D. (2015). Life is Good, But Death Ain’t Bad Either: Counter-Intuitive Implicit Biases to Death in a Normative Population. </w:t>
      </w:r>
      <w:r w:rsidRPr="00B74DA9">
        <w:rPr>
          <w:rFonts w:cs="CMU Serif Roman"/>
          <w:i/>
          <w:iCs/>
          <w:lang w:val="en-GB"/>
        </w:rPr>
        <w:t>The Psychological Record</w:t>
      </w:r>
      <w:r w:rsidRPr="00B74DA9">
        <w:rPr>
          <w:rFonts w:cs="CMU Serif Roman"/>
          <w:lang w:val="en-GB"/>
        </w:rPr>
        <w:t xml:space="preserve">, </w:t>
      </w:r>
      <w:r w:rsidRPr="00B74DA9">
        <w:rPr>
          <w:rFonts w:cs="CMU Serif Roman"/>
          <w:i/>
          <w:iCs/>
          <w:lang w:val="en-GB"/>
        </w:rPr>
        <w:t>65</w:t>
      </w:r>
      <w:r w:rsidRPr="00B74DA9">
        <w:rPr>
          <w:rFonts w:cs="CMU Serif Roman"/>
          <w:lang w:val="en-GB"/>
        </w:rPr>
        <w:t>(4), 731–742. https://doi.org/10.1007/s40732-015-0142-3</w:t>
      </w:r>
    </w:p>
    <w:p w14:paraId="74FECEDB" w14:textId="77777777" w:rsidR="00B74DA9" w:rsidRPr="00B74DA9" w:rsidRDefault="00B74DA9" w:rsidP="00B74DA9">
      <w:pPr>
        <w:pStyle w:val="Bibliography"/>
        <w:rPr>
          <w:rFonts w:cs="CMU Serif Roman"/>
          <w:lang w:val="en-GB"/>
        </w:rPr>
      </w:pPr>
      <w:r w:rsidRPr="00B74DA9">
        <w:rPr>
          <w:rFonts w:cs="CMU Serif Roman"/>
          <w:lang w:val="en-GB"/>
        </w:rPr>
        <w:t xml:space="preserve">Hussey, I., &amp; Hughes, S. (2020). Hidden Invalidity Among 15 Commonly Used Measures in Social and Personality Psychology. </w:t>
      </w:r>
      <w:r w:rsidRPr="00B74DA9">
        <w:rPr>
          <w:rFonts w:cs="CMU Serif Roman"/>
          <w:i/>
          <w:iCs/>
          <w:lang w:val="en-GB"/>
        </w:rPr>
        <w:t>Advances in Methods and Practices in Psychological Science</w:t>
      </w:r>
      <w:r w:rsidRPr="00B74DA9">
        <w:rPr>
          <w:rFonts w:cs="CMU Serif Roman"/>
          <w:lang w:val="en-GB"/>
        </w:rPr>
        <w:t>, 2515245919882903. https://doi.org/10.1177/2515245919882903</w:t>
      </w:r>
    </w:p>
    <w:p w14:paraId="6E529B05" w14:textId="77777777" w:rsidR="00B74DA9" w:rsidRPr="00B74DA9" w:rsidRDefault="00B74DA9" w:rsidP="00B74DA9">
      <w:pPr>
        <w:pStyle w:val="Bibliography"/>
        <w:rPr>
          <w:rFonts w:cs="CMU Serif Roman"/>
          <w:lang w:val="en-GB"/>
        </w:rPr>
      </w:pPr>
      <w:r w:rsidRPr="00B74DA9">
        <w:rPr>
          <w:rFonts w:cs="CMU Serif Roman"/>
          <w:lang w:val="en-GB"/>
        </w:rPr>
        <w:t xml:space="preserve">Hussey, I., Mhaoileoin, D. N., Barnes-Holmes, D., Ohtsuki, T., Kishita, N., Hughes, S., &amp; Murphy, C. (2016). The IRAP Is Nonrelative but not Acontextual: Changes to the Contrast Category Influence Men’s Dehumanization of Women. </w:t>
      </w:r>
      <w:r w:rsidRPr="00B74DA9">
        <w:rPr>
          <w:rFonts w:cs="CMU Serif Roman"/>
          <w:i/>
          <w:iCs/>
          <w:lang w:val="en-GB"/>
        </w:rPr>
        <w:t>The Psychological Record</w:t>
      </w:r>
      <w:r w:rsidRPr="00B74DA9">
        <w:rPr>
          <w:rFonts w:cs="CMU Serif Roman"/>
          <w:lang w:val="en-GB"/>
        </w:rPr>
        <w:t xml:space="preserve">, </w:t>
      </w:r>
      <w:r w:rsidRPr="00B74DA9">
        <w:rPr>
          <w:rFonts w:cs="CMU Serif Roman"/>
          <w:i/>
          <w:iCs/>
          <w:lang w:val="en-GB"/>
        </w:rPr>
        <w:t>66</w:t>
      </w:r>
      <w:r w:rsidRPr="00B74DA9">
        <w:rPr>
          <w:rFonts w:cs="CMU Serif Roman"/>
          <w:lang w:val="en-GB"/>
        </w:rPr>
        <w:t>(2), 291–299. https://doi.org/10.1007/s40732-016-0171-6</w:t>
      </w:r>
    </w:p>
    <w:p w14:paraId="72120B92" w14:textId="77777777" w:rsidR="00B74DA9" w:rsidRPr="00B74DA9" w:rsidRDefault="00B74DA9" w:rsidP="00B74DA9">
      <w:pPr>
        <w:pStyle w:val="Bibliography"/>
        <w:rPr>
          <w:rFonts w:cs="CMU Serif Roman"/>
          <w:lang w:val="en-GB"/>
        </w:rPr>
      </w:pPr>
      <w:r w:rsidRPr="00B74DA9">
        <w:rPr>
          <w:rFonts w:cs="CMU Serif Roman"/>
          <w:lang w:val="en-GB"/>
        </w:rPr>
        <w:t xml:space="preserve">Hussey, I., Thompson, M., McEnteggart, C., Barnes-Holmes, D., &amp; Barnes-Holmes, Y. (2015). Interpreting and inverting with less cursing: A guide to interpreting IRAP data. </w:t>
      </w:r>
      <w:r w:rsidRPr="00B74DA9">
        <w:rPr>
          <w:rFonts w:cs="CMU Serif Roman"/>
          <w:i/>
          <w:iCs/>
          <w:lang w:val="en-GB"/>
        </w:rPr>
        <w:t>Journal of Contextual Behavioral Science</w:t>
      </w:r>
      <w:r w:rsidRPr="00B74DA9">
        <w:rPr>
          <w:rFonts w:cs="CMU Serif Roman"/>
          <w:lang w:val="en-GB"/>
        </w:rPr>
        <w:t xml:space="preserve">, </w:t>
      </w:r>
      <w:r w:rsidRPr="00B74DA9">
        <w:rPr>
          <w:rFonts w:cs="CMU Serif Roman"/>
          <w:i/>
          <w:iCs/>
          <w:lang w:val="en-GB"/>
        </w:rPr>
        <w:t>4</w:t>
      </w:r>
      <w:r w:rsidRPr="00B74DA9">
        <w:rPr>
          <w:rFonts w:cs="CMU Serif Roman"/>
          <w:lang w:val="en-GB"/>
        </w:rPr>
        <w:t>(3), 157–162. https://doi.org/10.1016/j.jcbs.2015.05.001</w:t>
      </w:r>
    </w:p>
    <w:p w14:paraId="3952CA83" w14:textId="77777777" w:rsidR="00B74DA9" w:rsidRPr="00B74DA9" w:rsidRDefault="00B74DA9" w:rsidP="00B74DA9">
      <w:pPr>
        <w:pStyle w:val="Bibliography"/>
        <w:rPr>
          <w:rFonts w:cs="CMU Serif Roman"/>
          <w:lang w:val="en-GB"/>
        </w:rPr>
      </w:pPr>
      <w:r w:rsidRPr="00B74DA9">
        <w:rPr>
          <w:rFonts w:cs="CMU Serif Roman"/>
          <w:lang w:val="en-GB"/>
        </w:rPr>
        <w:t xml:space="preserve">Loevinger, J. (1957). Objective Tests as Instruments of Psychological Theory. </w:t>
      </w:r>
      <w:r w:rsidRPr="00B74DA9">
        <w:rPr>
          <w:rFonts w:cs="CMU Serif Roman"/>
          <w:i/>
          <w:iCs/>
          <w:lang w:val="en-GB"/>
        </w:rPr>
        <w:t>Psychological Reports</w:t>
      </w:r>
      <w:r w:rsidRPr="00B74DA9">
        <w:rPr>
          <w:rFonts w:cs="CMU Serif Roman"/>
          <w:lang w:val="en-GB"/>
        </w:rPr>
        <w:t xml:space="preserve">, </w:t>
      </w:r>
      <w:r w:rsidRPr="00B74DA9">
        <w:rPr>
          <w:rFonts w:cs="CMU Serif Roman"/>
          <w:i/>
          <w:iCs/>
          <w:lang w:val="en-GB"/>
        </w:rPr>
        <w:t>3</w:t>
      </w:r>
      <w:r w:rsidRPr="00B74DA9">
        <w:rPr>
          <w:rFonts w:cs="CMU Serif Roman"/>
          <w:lang w:val="en-GB"/>
        </w:rPr>
        <w:t>(3), 635–694. https://doi.org/10.2466/pr0.1957.3.3.635</w:t>
      </w:r>
    </w:p>
    <w:p w14:paraId="382FE1C7" w14:textId="77777777" w:rsidR="00B74DA9" w:rsidRPr="00B74DA9" w:rsidRDefault="00B74DA9" w:rsidP="00B74DA9">
      <w:pPr>
        <w:pStyle w:val="Bibliography"/>
        <w:rPr>
          <w:rFonts w:cs="CMU Serif Roman"/>
          <w:lang w:val="en-GB"/>
        </w:rPr>
      </w:pPr>
      <w:r w:rsidRPr="00B74DA9">
        <w:rPr>
          <w:rFonts w:cs="CMU Serif Roman"/>
          <w:lang w:val="en-GB"/>
        </w:rPr>
        <w:t xml:space="preserve">Nicholson, E., &amp; Barnes-Holmes, D. (2012). Developing an implicit measure of disgust propensity and disgust sensitivity: Examining the role of implicit disgust propensity and sensitivity in obsessive-compulsive tendencies. </w:t>
      </w:r>
      <w:r w:rsidRPr="00B74DA9">
        <w:rPr>
          <w:rFonts w:cs="CMU Serif Roman"/>
          <w:i/>
          <w:iCs/>
          <w:lang w:val="en-GB"/>
        </w:rPr>
        <w:t>Journal of Behavior Therapy and Experimental Psychiatry</w:t>
      </w:r>
      <w:r w:rsidRPr="00B74DA9">
        <w:rPr>
          <w:rFonts w:cs="CMU Serif Roman"/>
          <w:lang w:val="en-GB"/>
        </w:rPr>
        <w:t xml:space="preserve">, </w:t>
      </w:r>
      <w:r w:rsidRPr="00B74DA9">
        <w:rPr>
          <w:rFonts w:cs="CMU Serif Roman"/>
          <w:i/>
          <w:iCs/>
          <w:lang w:val="en-GB"/>
        </w:rPr>
        <w:t>43</w:t>
      </w:r>
      <w:r w:rsidRPr="00B74DA9">
        <w:rPr>
          <w:rFonts w:cs="CMU Serif Roman"/>
          <w:lang w:val="en-GB"/>
        </w:rPr>
        <w:t>(3), 922–930. https://doi.org/10.1016/j.jbtep.2012.02.001</w:t>
      </w:r>
    </w:p>
    <w:p w14:paraId="1FF54F22" w14:textId="77777777" w:rsidR="00B74DA9" w:rsidRPr="00B74DA9" w:rsidRDefault="00B74DA9" w:rsidP="00B74DA9">
      <w:pPr>
        <w:pStyle w:val="Bibliography"/>
        <w:rPr>
          <w:rFonts w:cs="CMU Serif Roman"/>
          <w:lang w:val="en-GB"/>
        </w:rPr>
      </w:pPr>
      <w:r w:rsidRPr="00B74DA9">
        <w:rPr>
          <w:rFonts w:cs="CMU Serif Roman"/>
          <w:lang w:val="en-GB"/>
        </w:rPr>
        <w:lastRenderedPageBreak/>
        <w:t xml:space="preserve">Nosek, B. A., Bar-Anan, Y., Sriram, N., &amp; Greenwald, A. G. (2013). Understanding and using the Brief Implicit Association Test: Recommended scoring procedures. </w:t>
      </w:r>
      <w:r w:rsidRPr="00B74DA9">
        <w:rPr>
          <w:rFonts w:cs="CMU Serif Roman"/>
          <w:i/>
          <w:iCs/>
          <w:lang w:val="en-GB"/>
        </w:rPr>
        <w:t>Preprint</w:t>
      </w:r>
      <w:r w:rsidRPr="00B74DA9">
        <w:rPr>
          <w:rFonts w:cs="CMU Serif Roman"/>
          <w:lang w:val="en-GB"/>
        </w:rPr>
        <w:t>. http://ssrn.com/abstract=2196002</w:t>
      </w:r>
    </w:p>
    <w:p w14:paraId="20E99BE7" w14:textId="77777777" w:rsidR="00B74DA9" w:rsidRPr="00B74DA9" w:rsidRDefault="00B74DA9" w:rsidP="00B74DA9">
      <w:pPr>
        <w:pStyle w:val="Bibliography"/>
        <w:rPr>
          <w:rFonts w:cs="CMU Serif Roman"/>
          <w:lang w:val="en-GB"/>
        </w:rPr>
      </w:pPr>
      <w:r w:rsidRPr="00B74DA9">
        <w:rPr>
          <w:rFonts w:cs="CMU Serif Roman"/>
          <w:lang w:val="en-GB"/>
        </w:rPr>
        <w:t xml:space="preserve">Nosek, B. A., Hawkins, C. B., &amp; Frazier, R. S. (2011). Implicit social cognition: From measures to mechanisms. </w:t>
      </w:r>
      <w:r w:rsidRPr="00B74DA9">
        <w:rPr>
          <w:rFonts w:cs="CMU Serif Roman"/>
          <w:i/>
          <w:iCs/>
          <w:lang w:val="en-GB"/>
        </w:rPr>
        <w:t>Trends in Cognitive Sciences</w:t>
      </w:r>
      <w:r w:rsidRPr="00B74DA9">
        <w:rPr>
          <w:rFonts w:cs="CMU Serif Roman"/>
          <w:lang w:val="en-GB"/>
        </w:rPr>
        <w:t xml:space="preserve">, </w:t>
      </w:r>
      <w:r w:rsidRPr="00B74DA9">
        <w:rPr>
          <w:rFonts w:cs="CMU Serif Roman"/>
          <w:i/>
          <w:iCs/>
          <w:lang w:val="en-GB"/>
        </w:rPr>
        <w:t>15</w:t>
      </w:r>
      <w:r w:rsidRPr="00B74DA9">
        <w:rPr>
          <w:rFonts w:cs="CMU Serif Roman"/>
          <w:lang w:val="en-GB"/>
        </w:rPr>
        <w:t>(4), 152–159. https://doi.org/10.1016/j.tics.2011.01.005</w:t>
      </w:r>
    </w:p>
    <w:p w14:paraId="3D0EAA82" w14:textId="77777777" w:rsidR="00B74DA9" w:rsidRPr="00B74DA9" w:rsidRDefault="00B74DA9" w:rsidP="00B74DA9">
      <w:pPr>
        <w:pStyle w:val="Bibliography"/>
        <w:rPr>
          <w:rFonts w:cs="CMU Serif Roman"/>
          <w:lang w:val="en-GB"/>
        </w:rPr>
      </w:pPr>
      <w:r w:rsidRPr="00B74DA9">
        <w:rPr>
          <w:rFonts w:cs="CMU Serif Roman"/>
          <w:lang w:val="en-GB"/>
        </w:rPr>
        <w:t xml:space="preserve">Nunnally, J., &amp; Bernstein, I. (1994). </w:t>
      </w:r>
      <w:r w:rsidRPr="00B74DA9">
        <w:rPr>
          <w:rFonts w:cs="CMU Serif Roman"/>
          <w:i/>
          <w:iCs/>
          <w:lang w:val="en-GB"/>
        </w:rPr>
        <w:t>Psychometric Theory</w:t>
      </w:r>
      <w:r w:rsidRPr="00B74DA9">
        <w:rPr>
          <w:rFonts w:cs="CMU Serif Roman"/>
          <w:lang w:val="en-GB"/>
        </w:rPr>
        <w:t xml:space="preserve"> (3rd edition). McGraw-Hill.</w:t>
      </w:r>
    </w:p>
    <w:p w14:paraId="76B022E7" w14:textId="77777777" w:rsidR="00B74DA9" w:rsidRPr="00B74DA9" w:rsidRDefault="00B74DA9" w:rsidP="00B74DA9">
      <w:pPr>
        <w:pStyle w:val="Bibliography"/>
        <w:rPr>
          <w:rFonts w:cs="CMU Serif Roman"/>
          <w:lang w:val="en-GB"/>
        </w:rPr>
      </w:pPr>
      <w:r w:rsidRPr="00B74DA9">
        <w:rPr>
          <w:rFonts w:cs="CMU Serif Roman"/>
          <w:lang w:val="en-GB"/>
        </w:rPr>
        <w:t xml:space="preserve">Olkin, I., Dahabreh, I. J., &amp; Trikalinos, T. A. (2012). GOSH - a graphical display of study heterogeneity. </w:t>
      </w:r>
      <w:r w:rsidRPr="00B74DA9">
        <w:rPr>
          <w:rFonts w:cs="CMU Serif Roman"/>
          <w:i/>
          <w:iCs/>
          <w:lang w:val="en-GB"/>
        </w:rPr>
        <w:t>Research Synthesis Methods</w:t>
      </w:r>
      <w:r w:rsidRPr="00B74DA9">
        <w:rPr>
          <w:rFonts w:cs="CMU Serif Roman"/>
          <w:lang w:val="en-GB"/>
        </w:rPr>
        <w:t xml:space="preserve">, </w:t>
      </w:r>
      <w:r w:rsidRPr="00B74DA9">
        <w:rPr>
          <w:rFonts w:cs="CMU Serif Roman"/>
          <w:i/>
          <w:iCs/>
          <w:lang w:val="en-GB"/>
        </w:rPr>
        <w:t>3</w:t>
      </w:r>
      <w:r w:rsidRPr="00B74DA9">
        <w:rPr>
          <w:rFonts w:cs="CMU Serif Roman"/>
          <w:lang w:val="en-GB"/>
        </w:rPr>
        <w:t>(3), 214–223. https://doi.org/10.1002/jrsm.1053</w:t>
      </w:r>
    </w:p>
    <w:p w14:paraId="5E37E46A" w14:textId="77777777" w:rsidR="00B74DA9" w:rsidRPr="00B74DA9" w:rsidRDefault="00B74DA9" w:rsidP="00B74DA9">
      <w:pPr>
        <w:pStyle w:val="Bibliography"/>
        <w:rPr>
          <w:rFonts w:cs="CMU Serif Roman"/>
          <w:lang w:val="en-GB"/>
        </w:rPr>
      </w:pPr>
      <w:r w:rsidRPr="00B74DA9">
        <w:rPr>
          <w:rFonts w:cs="CMU Serif Roman"/>
          <w:lang w:val="en-GB"/>
        </w:rPr>
        <w:t xml:space="preserve">Parsons, S. (2018). </w:t>
      </w:r>
      <w:r w:rsidRPr="00B74DA9">
        <w:rPr>
          <w:rFonts w:cs="CMU Serif Roman"/>
          <w:i/>
          <w:iCs/>
          <w:lang w:val="en-GB"/>
        </w:rPr>
        <w:t>Visualising two approaches to explore reliability-power relationships</w:t>
      </w:r>
      <w:r w:rsidRPr="00B74DA9">
        <w:rPr>
          <w:rFonts w:cs="CMU Serif Roman"/>
          <w:lang w:val="en-GB"/>
        </w:rPr>
        <w:t>. https://doi.org/10.31234/osf.io/qh5mf</w:t>
      </w:r>
    </w:p>
    <w:p w14:paraId="214290F3" w14:textId="77777777" w:rsidR="00B74DA9" w:rsidRPr="00B74DA9" w:rsidRDefault="00B74DA9" w:rsidP="00B74DA9">
      <w:pPr>
        <w:pStyle w:val="Bibliography"/>
        <w:rPr>
          <w:rFonts w:cs="CMU Serif Roman"/>
          <w:lang w:val="en-GB"/>
        </w:rPr>
      </w:pPr>
      <w:r w:rsidRPr="00B74DA9">
        <w:rPr>
          <w:rFonts w:cs="CMU Serif Roman"/>
          <w:lang w:val="en-GB"/>
        </w:rPr>
        <w:t xml:space="preserve">Parsons, S., Kruijt, A.-W., &amp; Fox, E. (2019). Psychological Science Needs a Standard Practice of Reporting the Reliability of Cognitive-Behavioral Measurements. </w:t>
      </w:r>
      <w:r w:rsidRPr="00B74DA9">
        <w:rPr>
          <w:rFonts w:cs="CMU Serif Roman"/>
          <w:i/>
          <w:iCs/>
          <w:lang w:val="en-GB"/>
        </w:rPr>
        <w:t>Advances in Methods and Practices in Psychological Science</w:t>
      </w:r>
      <w:r w:rsidRPr="00B74DA9">
        <w:rPr>
          <w:rFonts w:cs="CMU Serif Roman"/>
          <w:lang w:val="en-GB"/>
        </w:rPr>
        <w:t xml:space="preserve">, </w:t>
      </w:r>
      <w:r w:rsidRPr="00B74DA9">
        <w:rPr>
          <w:rFonts w:cs="CMU Serif Roman"/>
          <w:i/>
          <w:iCs/>
          <w:lang w:val="en-GB"/>
        </w:rPr>
        <w:t>2</w:t>
      </w:r>
      <w:r w:rsidRPr="00B74DA9">
        <w:rPr>
          <w:rFonts w:cs="CMU Serif Roman"/>
          <w:lang w:val="en-GB"/>
        </w:rPr>
        <w:t>(4), 378–395. https://doi.org/10.1177/2515245919879695</w:t>
      </w:r>
    </w:p>
    <w:p w14:paraId="11BF76F9" w14:textId="77777777" w:rsidR="00B74DA9" w:rsidRPr="00B74DA9" w:rsidRDefault="00B74DA9" w:rsidP="00B74DA9">
      <w:pPr>
        <w:pStyle w:val="Bibliography"/>
        <w:rPr>
          <w:rFonts w:cs="CMU Serif Roman"/>
          <w:lang w:val="en-GB"/>
        </w:rPr>
      </w:pPr>
      <w:r w:rsidRPr="00B74DA9">
        <w:rPr>
          <w:rFonts w:cs="CMU Serif Roman"/>
          <w:lang w:val="en-GB"/>
        </w:rPr>
        <w:t xml:space="preserve">R Core Team. (2022). </w:t>
      </w:r>
      <w:r w:rsidRPr="00B74DA9">
        <w:rPr>
          <w:rFonts w:cs="CMU Serif Roman"/>
          <w:i/>
          <w:iCs/>
          <w:lang w:val="en-GB"/>
        </w:rPr>
        <w:t>R: A language and environment for statistical computing</w:t>
      </w:r>
      <w:r w:rsidRPr="00B74DA9">
        <w:rPr>
          <w:rFonts w:cs="CMU Serif Roman"/>
          <w:lang w:val="en-GB"/>
        </w:rPr>
        <w:t xml:space="preserve"> (4.2). R Foundation for Statistical Computing. https://www.R-project.org/</w:t>
      </w:r>
    </w:p>
    <w:p w14:paraId="7943E6E0" w14:textId="77777777" w:rsidR="00B74DA9" w:rsidRPr="00B74DA9" w:rsidRDefault="00B74DA9" w:rsidP="00B74DA9">
      <w:pPr>
        <w:pStyle w:val="Bibliography"/>
        <w:rPr>
          <w:rFonts w:cs="CMU Serif Roman"/>
          <w:lang w:val="en-GB"/>
        </w:rPr>
      </w:pPr>
      <w:r w:rsidRPr="00B74DA9">
        <w:rPr>
          <w:rFonts w:cs="CMU Serif Roman"/>
          <w:lang w:val="en-GB"/>
        </w:rPr>
        <w:t xml:space="preserve">Remue, J., De Houwer, J., Barnes-Holmes, D., Vanderhasselt, M. A., &amp; De Raedt, R. (2013). Self-esteem revisited: Performance on the implicit relational assessment procedure as a measure of </w:t>
      </w:r>
      <w:r w:rsidRPr="00B74DA9">
        <w:rPr>
          <w:rFonts w:cs="CMU Serif Roman"/>
          <w:lang w:val="en-GB"/>
        </w:rPr>
        <w:t xml:space="preserve">self-versus ideal self-related cognitions in dysphoria. </w:t>
      </w:r>
      <w:r w:rsidRPr="00B74DA9">
        <w:rPr>
          <w:rFonts w:cs="CMU Serif Roman"/>
          <w:i/>
          <w:iCs/>
          <w:lang w:val="en-GB"/>
        </w:rPr>
        <w:t>Cognition &amp; Emotion</w:t>
      </w:r>
      <w:r w:rsidRPr="00B74DA9">
        <w:rPr>
          <w:rFonts w:cs="CMU Serif Roman"/>
          <w:lang w:val="en-GB"/>
        </w:rPr>
        <w:t xml:space="preserve">, </w:t>
      </w:r>
      <w:r w:rsidRPr="00B74DA9">
        <w:rPr>
          <w:rFonts w:cs="CMU Serif Roman"/>
          <w:i/>
          <w:iCs/>
          <w:lang w:val="en-GB"/>
        </w:rPr>
        <w:t>27</w:t>
      </w:r>
      <w:r w:rsidRPr="00B74DA9">
        <w:rPr>
          <w:rFonts w:cs="CMU Serif Roman"/>
          <w:lang w:val="en-GB"/>
        </w:rPr>
        <w:t>(8), 1441–1449. https://doi.org/10.1080/02699931.2013.786681</w:t>
      </w:r>
    </w:p>
    <w:p w14:paraId="3CFD16F6" w14:textId="77777777" w:rsidR="00B74DA9" w:rsidRPr="00B74DA9" w:rsidRDefault="00B74DA9" w:rsidP="00B74DA9">
      <w:pPr>
        <w:pStyle w:val="Bibliography"/>
        <w:rPr>
          <w:rFonts w:cs="CMU Serif Roman"/>
          <w:lang w:val="en-GB"/>
        </w:rPr>
      </w:pPr>
      <w:r w:rsidRPr="00B74DA9">
        <w:rPr>
          <w:rFonts w:cs="CMU Serif Roman"/>
          <w:lang w:val="en-GB"/>
        </w:rPr>
        <w:t xml:space="preserve">Remue, J., Hughes, S., De Houwer, J., &amp; De Raedt, R. (2014). To Be or Want to Be: Disentangling the Role of Actual versus Ideal Self in Implicit Self-Esteem. </w:t>
      </w:r>
      <w:r w:rsidRPr="00B74DA9">
        <w:rPr>
          <w:rFonts w:cs="CMU Serif Roman"/>
          <w:i/>
          <w:iCs/>
          <w:lang w:val="en-GB"/>
        </w:rPr>
        <w:t>PLoS ONE</w:t>
      </w:r>
      <w:r w:rsidRPr="00B74DA9">
        <w:rPr>
          <w:rFonts w:cs="CMU Serif Roman"/>
          <w:lang w:val="en-GB"/>
        </w:rPr>
        <w:t xml:space="preserve">, </w:t>
      </w:r>
      <w:r w:rsidRPr="00B74DA9">
        <w:rPr>
          <w:rFonts w:cs="CMU Serif Roman"/>
          <w:i/>
          <w:iCs/>
          <w:lang w:val="en-GB"/>
        </w:rPr>
        <w:t>9</w:t>
      </w:r>
      <w:r w:rsidRPr="00B74DA9">
        <w:rPr>
          <w:rFonts w:cs="CMU Serif Roman"/>
          <w:lang w:val="en-GB"/>
        </w:rPr>
        <w:t>(9), e108837. https://doi.org/10.1371/journal.pone.0108837</w:t>
      </w:r>
    </w:p>
    <w:p w14:paraId="5466B14F" w14:textId="77777777" w:rsidR="00B74DA9" w:rsidRPr="00B74DA9" w:rsidRDefault="00B74DA9" w:rsidP="00B74DA9">
      <w:pPr>
        <w:pStyle w:val="Bibliography"/>
        <w:rPr>
          <w:rFonts w:cs="CMU Serif Roman"/>
          <w:lang w:val="en-GB"/>
        </w:rPr>
      </w:pPr>
      <w:r w:rsidRPr="00B74DA9">
        <w:rPr>
          <w:rFonts w:cs="CMU Serif Roman"/>
          <w:lang w:val="en-GB"/>
        </w:rPr>
        <w:t xml:space="preserve">Revelle, W. (2016). </w:t>
      </w:r>
      <w:r w:rsidRPr="00B74DA9">
        <w:rPr>
          <w:rFonts w:cs="CMU Serif Roman"/>
          <w:i/>
          <w:iCs/>
          <w:lang w:val="en-GB"/>
        </w:rPr>
        <w:t>psych: Procedures for Psychological, Psychometric, and Personality Research</w:t>
      </w:r>
      <w:r w:rsidRPr="00B74DA9">
        <w:rPr>
          <w:rFonts w:cs="CMU Serif Roman"/>
          <w:lang w:val="en-GB"/>
        </w:rPr>
        <w:t>. Northwestern University. http://CRAN.R-project.org/package=psych</w:t>
      </w:r>
    </w:p>
    <w:p w14:paraId="02AD0AA8" w14:textId="77777777" w:rsidR="00B74DA9" w:rsidRPr="00B74DA9" w:rsidRDefault="00B74DA9" w:rsidP="00B74DA9">
      <w:pPr>
        <w:pStyle w:val="Bibliography"/>
        <w:rPr>
          <w:rFonts w:cs="CMU Serif Roman"/>
          <w:lang w:val="en-GB"/>
        </w:rPr>
      </w:pPr>
      <w:r w:rsidRPr="00B74DA9">
        <w:rPr>
          <w:rFonts w:cs="CMU Serif Roman"/>
          <w:lang w:val="en-GB"/>
        </w:rPr>
        <w:t xml:space="preserve">Ruscio, J. (2008). A probability-based measure of effect size: Robustness to base rates and other factors. </w:t>
      </w:r>
      <w:r w:rsidRPr="00B74DA9">
        <w:rPr>
          <w:rFonts w:cs="CMU Serif Roman"/>
          <w:i/>
          <w:iCs/>
          <w:lang w:val="en-GB"/>
        </w:rPr>
        <w:t>Psychological Methods</w:t>
      </w:r>
      <w:r w:rsidRPr="00B74DA9">
        <w:rPr>
          <w:rFonts w:cs="CMU Serif Roman"/>
          <w:lang w:val="en-GB"/>
        </w:rPr>
        <w:t xml:space="preserve">, </w:t>
      </w:r>
      <w:r w:rsidRPr="00B74DA9">
        <w:rPr>
          <w:rFonts w:cs="CMU Serif Roman"/>
          <w:i/>
          <w:iCs/>
          <w:lang w:val="en-GB"/>
        </w:rPr>
        <w:t>13</w:t>
      </w:r>
      <w:r w:rsidRPr="00B74DA9">
        <w:rPr>
          <w:rFonts w:cs="CMU Serif Roman"/>
          <w:lang w:val="en-GB"/>
        </w:rPr>
        <w:t>(1), 19–30. https://doi.org/10.1037/1082-989X.13.1.19</w:t>
      </w:r>
    </w:p>
    <w:p w14:paraId="437E722C" w14:textId="77777777" w:rsidR="00B74DA9" w:rsidRPr="00B74DA9" w:rsidRDefault="00B74DA9" w:rsidP="00B74DA9">
      <w:pPr>
        <w:pStyle w:val="Bibliography"/>
        <w:rPr>
          <w:rFonts w:cs="CMU Serif Roman"/>
          <w:lang w:val="en-GB"/>
        </w:rPr>
      </w:pPr>
      <w:r w:rsidRPr="00B74DA9">
        <w:rPr>
          <w:rFonts w:cs="CMU Serif Roman"/>
          <w:lang w:val="en-GB"/>
        </w:rPr>
        <w:t xml:space="preserve">Ruscio, J. (2019). </w:t>
      </w:r>
      <w:r w:rsidRPr="00B74DA9">
        <w:rPr>
          <w:rFonts w:cs="CMU Serif Roman"/>
          <w:i/>
          <w:iCs/>
          <w:lang w:val="en-GB"/>
        </w:rPr>
        <w:t>RProbSup: Calculates Probability of Superiority</w:t>
      </w:r>
      <w:r w:rsidRPr="00B74DA9">
        <w:rPr>
          <w:rFonts w:cs="CMU Serif Roman"/>
          <w:lang w:val="en-GB"/>
        </w:rPr>
        <w:t xml:space="preserve"> (2.1). https://CRAN.R-project.org/package=RProbSup</w:t>
      </w:r>
    </w:p>
    <w:p w14:paraId="64EEE318" w14:textId="77777777" w:rsidR="00B74DA9" w:rsidRPr="00B74DA9" w:rsidRDefault="00B74DA9" w:rsidP="00B74DA9">
      <w:pPr>
        <w:pStyle w:val="Bibliography"/>
        <w:rPr>
          <w:rFonts w:cs="CMU Serif Roman"/>
          <w:lang w:val="en-GB"/>
        </w:rPr>
      </w:pPr>
      <w:r w:rsidRPr="00B74DA9">
        <w:rPr>
          <w:rFonts w:cs="CMU Serif Roman"/>
          <w:lang w:val="en-GB"/>
        </w:rPr>
        <w:t xml:space="preserve">Shrout, P. E., &amp; Fleiss, J. L. (1979). Intraclass correlations: Uses in assessing rater reliability. </w:t>
      </w:r>
      <w:r w:rsidRPr="00B74DA9">
        <w:rPr>
          <w:rFonts w:cs="CMU Serif Roman"/>
          <w:i/>
          <w:iCs/>
          <w:lang w:val="en-GB"/>
        </w:rPr>
        <w:t>Psychological Bulletin</w:t>
      </w:r>
      <w:r w:rsidRPr="00B74DA9">
        <w:rPr>
          <w:rFonts w:cs="CMU Serif Roman"/>
          <w:lang w:val="en-GB"/>
        </w:rPr>
        <w:t xml:space="preserve">, </w:t>
      </w:r>
      <w:r w:rsidRPr="00B74DA9">
        <w:rPr>
          <w:rFonts w:cs="CMU Serif Roman"/>
          <w:i/>
          <w:iCs/>
          <w:lang w:val="en-GB"/>
        </w:rPr>
        <w:t>86</w:t>
      </w:r>
      <w:r w:rsidRPr="00B74DA9">
        <w:rPr>
          <w:rFonts w:cs="CMU Serif Roman"/>
          <w:lang w:val="en-GB"/>
        </w:rPr>
        <w:t>(2), 420.</w:t>
      </w:r>
    </w:p>
    <w:p w14:paraId="3B8AE9C8" w14:textId="77777777" w:rsidR="00B74DA9" w:rsidRPr="00B74DA9" w:rsidRDefault="00B74DA9" w:rsidP="00B74DA9">
      <w:pPr>
        <w:pStyle w:val="Bibliography"/>
        <w:rPr>
          <w:rFonts w:cs="CMU Serif Roman"/>
          <w:lang w:val="en-GB"/>
        </w:rPr>
      </w:pPr>
      <w:r w:rsidRPr="00B74DA9">
        <w:rPr>
          <w:rFonts w:cs="CMU Serif Roman"/>
          <w:lang w:val="en-GB"/>
        </w:rPr>
        <w:t xml:space="preserve">Vahey, N. A., Nicholson, E., &amp; Barnes-Holmes, D. (2015). A meta-analysis of criterion effects for the Implicit Relational Assessment Procedure (IRAP) in the clinical domain. </w:t>
      </w:r>
      <w:r w:rsidRPr="00B74DA9">
        <w:rPr>
          <w:rFonts w:cs="CMU Serif Roman"/>
          <w:i/>
          <w:iCs/>
          <w:lang w:val="en-GB"/>
        </w:rPr>
        <w:t>Journal of Behavior Therapy and Experimental Psychiatry</w:t>
      </w:r>
      <w:r w:rsidRPr="00B74DA9">
        <w:rPr>
          <w:rFonts w:cs="CMU Serif Roman"/>
          <w:lang w:val="en-GB"/>
        </w:rPr>
        <w:t xml:space="preserve">, </w:t>
      </w:r>
      <w:r w:rsidRPr="00B74DA9">
        <w:rPr>
          <w:rFonts w:cs="CMU Serif Roman"/>
          <w:i/>
          <w:iCs/>
          <w:lang w:val="en-GB"/>
        </w:rPr>
        <w:t>48</w:t>
      </w:r>
      <w:r w:rsidRPr="00B74DA9">
        <w:rPr>
          <w:rFonts w:cs="CMU Serif Roman"/>
          <w:lang w:val="en-GB"/>
        </w:rPr>
        <w:t>, 59–65. https://doi.org/10.1016/j.jbtep.2015.01.004</w:t>
      </w:r>
    </w:p>
    <w:p w14:paraId="5B37843B" w14:textId="77777777" w:rsidR="00B74DA9" w:rsidRPr="00B74DA9" w:rsidRDefault="00B74DA9" w:rsidP="00B74DA9">
      <w:pPr>
        <w:pStyle w:val="Bibliography"/>
        <w:rPr>
          <w:rFonts w:cs="CMU Serif Roman"/>
          <w:lang w:val="en-GB"/>
        </w:rPr>
      </w:pPr>
      <w:r w:rsidRPr="00B74DA9">
        <w:rPr>
          <w:rFonts w:cs="CMU Serif Roman"/>
          <w:lang w:val="en-GB"/>
        </w:rPr>
        <w:t xml:space="preserve">Viechtbauer, W. (2010). Conducting Meta-Analyses in R with the metafor Package. </w:t>
      </w:r>
      <w:r w:rsidRPr="00B74DA9">
        <w:rPr>
          <w:rFonts w:cs="CMU Serif Roman"/>
          <w:i/>
          <w:iCs/>
          <w:lang w:val="en-GB"/>
        </w:rPr>
        <w:t>Journal of Statistical Software</w:t>
      </w:r>
      <w:r w:rsidRPr="00B74DA9">
        <w:rPr>
          <w:rFonts w:cs="CMU Serif Roman"/>
          <w:lang w:val="en-GB"/>
        </w:rPr>
        <w:t xml:space="preserve">, </w:t>
      </w:r>
      <w:r w:rsidRPr="00B74DA9">
        <w:rPr>
          <w:rFonts w:cs="CMU Serif Roman"/>
          <w:i/>
          <w:iCs/>
          <w:lang w:val="en-GB"/>
        </w:rPr>
        <w:t>36</w:t>
      </w:r>
      <w:r w:rsidRPr="00B74DA9">
        <w:rPr>
          <w:rFonts w:cs="CMU Serif Roman"/>
          <w:lang w:val="en-GB"/>
        </w:rPr>
        <w:t>(3). https://doi.org/10.18637/jss.v036.i03</w:t>
      </w:r>
    </w:p>
    <w:p w14:paraId="24E351E9" w14:textId="451D7400" w:rsidR="00E01432" w:rsidRDefault="00AD1F7D" w:rsidP="004B5A7D">
      <w:pPr>
        <w:ind w:left="360" w:hanging="360"/>
        <w:jc w:val="left"/>
        <w:sectPr w:rsidR="00E01432" w:rsidSect="00E01432">
          <w:type w:val="continuous"/>
          <w:pgSz w:w="11900" w:h="16840"/>
          <w:pgMar w:top="1440" w:right="1440" w:bottom="1440" w:left="1440" w:header="708" w:footer="708" w:gutter="0"/>
          <w:cols w:num="2" w:space="340"/>
          <w:docGrid w:linePitch="360"/>
        </w:sectPr>
      </w:pPr>
      <w:r>
        <w:fldChar w:fldCharType="end"/>
      </w:r>
    </w:p>
    <w:p w14:paraId="3FCA1503" w14:textId="77777777" w:rsidR="00EE78FA" w:rsidRDefault="00EE78FA" w:rsidP="004B5A7D">
      <w:pPr>
        <w:ind w:left="360" w:hanging="360"/>
        <w:jc w:val="left"/>
      </w:pPr>
    </w:p>
    <w:sectPr w:rsidR="00EE78FA" w:rsidSect="00E0143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91729" w14:textId="77777777" w:rsidR="00792A28" w:rsidRDefault="00792A28" w:rsidP="003158CF">
      <w:r>
        <w:separator/>
      </w:r>
    </w:p>
  </w:endnote>
  <w:endnote w:type="continuationSeparator" w:id="0">
    <w:p w14:paraId="7C3CA0C9" w14:textId="77777777" w:rsidR="00792A28" w:rsidRDefault="00792A28" w:rsidP="0031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5D354F" w14:textId="77777777" w:rsidR="003158CF" w:rsidRDefault="00315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837084"/>
      <w:docPartObj>
        <w:docPartGallery w:val="Page Numbers (Bottom of Page)"/>
        <w:docPartUnique/>
      </w:docPartObj>
    </w:sdtPr>
    <w:sdtContent>
      <w:p w14:paraId="21B65CC6"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C11D36C" w14:textId="77777777" w:rsidR="003158CF" w:rsidRDefault="0031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A2439" w14:textId="77777777" w:rsidR="00792A28" w:rsidRDefault="00792A28" w:rsidP="003158CF">
      <w:r>
        <w:separator/>
      </w:r>
    </w:p>
  </w:footnote>
  <w:footnote w:type="continuationSeparator" w:id="0">
    <w:p w14:paraId="06E3B64C" w14:textId="77777777" w:rsidR="00792A28" w:rsidRDefault="00792A28" w:rsidP="0031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569D5"/>
    <w:rsid w:val="000A673D"/>
    <w:rsid w:val="000C25EC"/>
    <w:rsid w:val="000F702E"/>
    <w:rsid w:val="000F7CCD"/>
    <w:rsid w:val="00104399"/>
    <w:rsid w:val="001261C9"/>
    <w:rsid w:val="00127434"/>
    <w:rsid w:val="00161E1F"/>
    <w:rsid w:val="00183D0A"/>
    <w:rsid w:val="00192F5F"/>
    <w:rsid w:val="001B0EAC"/>
    <w:rsid w:val="001B2D17"/>
    <w:rsid w:val="001E0E75"/>
    <w:rsid w:val="00222865"/>
    <w:rsid w:val="00233C8A"/>
    <w:rsid w:val="00244AE6"/>
    <w:rsid w:val="00260350"/>
    <w:rsid w:val="002A24F5"/>
    <w:rsid w:val="002C2E48"/>
    <w:rsid w:val="003158CF"/>
    <w:rsid w:val="00334440"/>
    <w:rsid w:val="003A67F3"/>
    <w:rsid w:val="003D5FD0"/>
    <w:rsid w:val="003F3FED"/>
    <w:rsid w:val="003F426C"/>
    <w:rsid w:val="00434862"/>
    <w:rsid w:val="00436EAB"/>
    <w:rsid w:val="00464981"/>
    <w:rsid w:val="004725D9"/>
    <w:rsid w:val="004862D6"/>
    <w:rsid w:val="004A697D"/>
    <w:rsid w:val="004B3262"/>
    <w:rsid w:val="004B5A7D"/>
    <w:rsid w:val="004C5329"/>
    <w:rsid w:val="004D394D"/>
    <w:rsid w:val="004D536C"/>
    <w:rsid w:val="004F6EC8"/>
    <w:rsid w:val="005364CC"/>
    <w:rsid w:val="00547CAE"/>
    <w:rsid w:val="005A5932"/>
    <w:rsid w:val="005C2CDE"/>
    <w:rsid w:val="005D1886"/>
    <w:rsid w:val="0060353C"/>
    <w:rsid w:val="00613F4B"/>
    <w:rsid w:val="00616CAA"/>
    <w:rsid w:val="00624641"/>
    <w:rsid w:val="00630DDD"/>
    <w:rsid w:val="006331E7"/>
    <w:rsid w:val="006437F6"/>
    <w:rsid w:val="00646B65"/>
    <w:rsid w:val="006513D8"/>
    <w:rsid w:val="006B5975"/>
    <w:rsid w:val="006C06BA"/>
    <w:rsid w:val="006E0600"/>
    <w:rsid w:val="006E4F2D"/>
    <w:rsid w:val="006F43B2"/>
    <w:rsid w:val="00716DBE"/>
    <w:rsid w:val="00721BE3"/>
    <w:rsid w:val="00742143"/>
    <w:rsid w:val="00773915"/>
    <w:rsid w:val="007906FB"/>
    <w:rsid w:val="00792A28"/>
    <w:rsid w:val="00794EF6"/>
    <w:rsid w:val="007B5438"/>
    <w:rsid w:val="007D7B55"/>
    <w:rsid w:val="007F282E"/>
    <w:rsid w:val="008018A7"/>
    <w:rsid w:val="00822F4D"/>
    <w:rsid w:val="008A7F54"/>
    <w:rsid w:val="008B54AC"/>
    <w:rsid w:val="00937C28"/>
    <w:rsid w:val="009A5831"/>
    <w:rsid w:val="009B13F9"/>
    <w:rsid w:val="009D6594"/>
    <w:rsid w:val="009E6E87"/>
    <w:rsid w:val="009F6857"/>
    <w:rsid w:val="00A1364D"/>
    <w:rsid w:val="00A153C1"/>
    <w:rsid w:val="00A54572"/>
    <w:rsid w:val="00AD04DF"/>
    <w:rsid w:val="00AD1F7D"/>
    <w:rsid w:val="00AF1F8E"/>
    <w:rsid w:val="00B13B55"/>
    <w:rsid w:val="00B44E27"/>
    <w:rsid w:val="00B61118"/>
    <w:rsid w:val="00B74DA9"/>
    <w:rsid w:val="00B85D8A"/>
    <w:rsid w:val="00BA4520"/>
    <w:rsid w:val="00BD6BDD"/>
    <w:rsid w:val="00BE078C"/>
    <w:rsid w:val="00BF2102"/>
    <w:rsid w:val="00BF3317"/>
    <w:rsid w:val="00C109E5"/>
    <w:rsid w:val="00C36EC4"/>
    <w:rsid w:val="00C53DC6"/>
    <w:rsid w:val="00C5516C"/>
    <w:rsid w:val="00C55371"/>
    <w:rsid w:val="00C618CA"/>
    <w:rsid w:val="00C92F9C"/>
    <w:rsid w:val="00CB731B"/>
    <w:rsid w:val="00CD0213"/>
    <w:rsid w:val="00CE2DC2"/>
    <w:rsid w:val="00CF589F"/>
    <w:rsid w:val="00D212CD"/>
    <w:rsid w:val="00DF0DF9"/>
    <w:rsid w:val="00E01432"/>
    <w:rsid w:val="00E040A8"/>
    <w:rsid w:val="00E659A7"/>
    <w:rsid w:val="00E961B1"/>
    <w:rsid w:val="00ED4CEC"/>
    <w:rsid w:val="00EE78FA"/>
    <w:rsid w:val="00EF2252"/>
    <w:rsid w:val="00F53C8E"/>
    <w:rsid w:val="00F7773F"/>
    <w:rsid w:val="00F879F4"/>
    <w:rsid w:val="00FA4F60"/>
    <w:rsid w:val="00FA7AF0"/>
    <w:rsid w:val="00FD0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E48"/>
    <w:pPr>
      <w:ind w:firstLine="360"/>
      <w:jc w:val="both"/>
    </w:pPr>
    <w:rPr>
      <w:rFonts w:ascii="CMU Serif Roman" w:eastAsiaTheme="minorEastAsia" w:hAnsi="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E01432"/>
    <w:rPr>
      <w:b w:val="0"/>
      <w:sz w:val="28"/>
      <w:szCs w:val="28"/>
    </w:rPr>
  </w:style>
  <w:style w:type="character" w:customStyle="1" w:styleId="TitleChar">
    <w:name w:val="Title Char"/>
    <w:basedOn w:val="DefaultParagraphFont"/>
    <w:link w:val="Title"/>
    <w:uiPriority w:val="10"/>
    <w:rsid w:val="00E01432"/>
    <w:rPr>
      <w:rFonts w:ascii="CMU Serif Roman" w:eastAsiaTheme="majorEastAsia" w:hAnsi="CMU Serif Roman" w:cstheme="majorBidi"/>
      <w:bCs/>
      <w:kern w:val="24"/>
      <w:sz w:val="28"/>
      <w:szCs w:val="28"/>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E01432"/>
    <w:pPr>
      <w:ind w:left="720" w:right="740" w:firstLine="0"/>
    </w:pPr>
    <w:rPr>
      <w:sz w:val="20"/>
      <w:szCs w:val="20"/>
    </w:rPr>
  </w:style>
  <w:style w:type="paragraph" w:customStyle="1" w:styleId="authors">
    <w:name w:val="authors"/>
    <w:basedOn w:val="Heading1"/>
    <w:qFormat/>
    <w:rsid w:val="00E01432"/>
    <w:rPr>
      <w:b w:val="0"/>
      <w:sz w:val="24"/>
      <w:szCs w:val="24"/>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0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3twe/"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osf.io/v3twe/" TargetMode="External"/><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18919</Words>
  <Characters>107843</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124</cp:revision>
  <dcterms:created xsi:type="dcterms:W3CDTF">2020-07-06T15:38:00Z</dcterms:created>
  <dcterms:modified xsi:type="dcterms:W3CDTF">2022-07-28T15:33:00Z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id="URyVAm4J"/&gt;&lt;style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