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B9C43" w14:textId="77777777" w:rsidR="005C2495" w:rsidRPr="00D43D1A" w:rsidRDefault="00000000">
      <w:pPr>
        <w:pStyle w:val="Heading1"/>
      </w:pPr>
      <w:bookmarkStart w:id="0" w:name="_byimnar5wyrv" w:colFirst="0" w:colLast="0"/>
      <w:bookmarkEnd w:id="0"/>
      <w:r w:rsidRPr="00D43D1A">
        <w:t>Supplementary Materials</w:t>
      </w:r>
    </w:p>
    <w:p w14:paraId="4C05217C" w14:textId="77777777" w:rsidR="00D43D1A" w:rsidRPr="00D43D1A" w:rsidRDefault="00D43D1A">
      <w:pPr>
        <w:pStyle w:val="Heading1"/>
      </w:pPr>
      <w:bookmarkStart w:id="1" w:name="_oo8x3ade00nh" w:colFirst="0" w:colLast="0"/>
      <w:bookmarkEnd w:id="1"/>
    </w:p>
    <w:p w14:paraId="52567AD3" w14:textId="1D8D2D07" w:rsidR="005C2495" w:rsidRPr="00D43D1A" w:rsidRDefault="00000000">
      <w:pPr>
        <w:pStyle w:val="Heading1"/>
      </w:pPr>
      <w:r w:rsidRPr="00D43D1A">
        <w:t>Table S1. Length of the Perspective-Taking Protocol across adult studies</w:t>
      </w:r>
    </w:p>
    <w:p w14:paraId="5AB2CB3D" w14:textId="77777777" w:rsidR="005C2495" w:rsidRPr="00D43D1A" w:rsidRDefault="00000000">
      <w:r w:rsidRPr="00D43D1A">
        <w:t>Number of test trials, and their distribution across the three levels of relational complexity, in published adult administrations of the McHugh/Barnes-Holmes deictic Perspective-Taking Protocol (or close modifications of it), with the present study shown for comparison. Trial counts were taken from the Method section of each source.</w:t>
      </w:r>
    </w:p>
    <w:p w14:paraId="182BD428" w14:textId="77777777" w:rsidR="005C2495" w:rsidRPr="00D43D1A" w:rsidRDefault="005C2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C2495" w:rsidRPr="00D43D1A" w14:paraId="52B46CF9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B2B5" w14:textId="77777777" w:rsidR="005C2495" w:rsidRPr="00D43D1A" w:rsidRDefault="00000000">
            <w:pPr>
              <w:spacing w:line="240" w:lineRule="auto"/>
              <w:ind w:firstLine="0"/>
              <w:rPr>
                <w:b/>
                <w:bCs/>
              </w:rPr>
            </w:pPr>
            <w:r w:rsidRPr="00D43D1A">
              <w:rPr>
                <w:b/>
                <w:bCs/>
              </w:rPr>
              <w:t>Study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C217" w14:textId="77777777" w:rsidR="005C2495" w:rsidRPr="00D43D1A" w:rsidRDefault="00000000">
            <w:pPr>
              <w:spacing w:line="240" w:lineRule="auto"/>
              <w:ind w:firstLine="0"/>
              <w:rPr>
                <w:b/>
                <w:bCs/>
              </w:rPr>
            </w:pPr>
            <w:r w:rsidRPr="00D43D1A">
              <w:rPr>
                <w:b/>
                <w:bCs/>
              </w:rPr>
              <w:t>Adult sample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BB41" w14:textId="77777777" w:rsidR="005C2495" w:rsidRPr="00D43D1A" w:rsidRDefault="00000000">
            <w:pPr>
              <w:spacing w:line="240" w:lineRule="auto"/>
              <w:ind w:firstLine="0"/>
              <w:rPr>
                <w:b/>
                <w:bCs/>
              </w:rPr>
            </w:pPr>
            <w:r w:rsidRPr="00D43D1A">
              <w:rPr>
                <w:b/>
                <w:bCs/>
              </w:rPr>
              <w:t>Use of the protocol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90B8" w14:textId="77777777" w:rsidR="005C2495" w:rsidRPr="00D43D1A" w:rsidRDefault="00000000">
            <w:pPr>
              <w:spacing w:line="240" w:lineRule="auto"/>
              <w:ind w:firstLine="0"/>
              <w:rPr>
                <w:b/>
                <w:bCs/>
              </w:rPr>
            </w:pPr>
            <w:r w:rsidRPr="00D43D1A">
              <w:rPr>
                <w:b/>
                <w:bCs/>
              </w:rPr>
              <w:t>Total trials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B019" w14:textId="77777777" w:rsidR="005C2495" w:rsidRPr="00D43D1A" w:rsidRDefault="00000000">
            <w:pPr>
              <w:spacing w:line="240" w:lineRule="auto"/>
              <w:ind w:firstLine="0"/>
              <w:rPr>
                <w:b/>
                <w:bCs/>
              </w:rPr>
            </w:pPr>
            <w:r w:rsidRPr="00D43D1A">
              <w:rPr>
                <w:b/>
                <w:bCs/>
              </w:rPr>
              <w:t>Simple / Reversed / Double-reversed</w:t>
            </w:r>
          </w:p>
        </w:tc>
      </w:tr>
      <w:tr w:rsidR="005C2495" w:rsidRPr="00D43D1A" w14:paraId="4C142DA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67A4" w14:textId="357482D3" w:rsidR="005C2495" w:rsidRPr="00D43D1A" w:rsidRDefault="00000000">
            <w:pPr>
              <w:spacing w:line="240" w:lineRule="auto"/>
              <w:ind w:firstLine="0"/>
            </w:pPr>
            <w:r w:rsidRPr="00D43D1A">
              <w:t>Barnes-Holmes (2001)</w:t>
            </w:r>
            <w:r w:rsidR="00937B90" w:rsidRPr="00937B90">
              <w:rPr>
                <w:rFonts w:eastAsia="Cardo"/>
                <w:vertAlign w:val="superscript"/>
              </w:rPr>
              <w:t xml:space="preserve"> </w:t>
            </w:r>
            <w:r w:rsidR="00937B90">
              <w:rPr>
                <w:rFonts w:eastAsia="Cardo"/>
                <w:vertAlign w:val="superscript"/>
              </w:rPr>
              <w:t>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00F5" w14:textId="6117AA57" w:rsidR="005C2495" w:rsidRPr="00D43D1A" w:rsidRDefault="00D43D1A">
            <w:pPr>
              <w:spacing w:line="240" w:lineRule="auto"/>
              <w:ind w:firstLine="0"/>
            </w:pPr>
            <w:r w:rsidRPr="00D43D1A">
              <w:t>Yes, developmental profile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6C95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training and assessment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3EBC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256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8B64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—</w:t>
            </w:r>
          </w:p>
        </w:tc>
      </w:tr>
      <w:tr w:rsidR="005C2495" w:rsidRPr="00D43D1A" w14:paraId="3583FE5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4873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McHugh et al. (2004)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4542" w14:textId="6FAF3CA1" w:rsidR="005C2495" w:rsidRPr="00D43D1A" w:rsidRDefault="00134BA1">
            <w:pPr>
              <w:spacing w:line="240" w:lineRule="auto"/>
              <w:ind w:firstLine="0"/>
            </w:pPr>
            <w:r>
              <w:t>A</w:t>
            </w:r>
            <w:r w:rsidRPr="00D43D1A">
              <w:t>dults 18–30 (within a broader developmental profile of age 3–30)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DAE2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developmental-profile assessment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C4C7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62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D45E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8 / 36 / 18</w:t>
            </w:r>
          </w:p>
        </w:tc>
      </w:tr>
      <w:tr w:rsidR="005C2495" w:rsidRPr="00D43D1A" w14:paraId="1BFA442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B0D0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Villatte et al. (2008)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DC4D" w14:textId="53C33E29" w:rsidR="005C2495" w:rsidRPr="00D43D1A" w:rsidRDefault="00134BA1">
            <w:pPr>
              <w:spacing w:line="240" w:lineRule="auto"/>
              <w:ind w:firstLine="0"/>
            </w:pPr>
            <w:r>
              <w:t>H</w:t>
            </w:r>
            <w:r w:rsidRPr="00D43D1A">
              <w:t>igh vs. low social anhedonia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4D6B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group comparison; correlation with a ToM (Hinting) task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B460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62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8AAF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8 / 36 / 18</w:t>
            </w:r>
          </w:p>
        </w:tc>
      </w:tr>
      <w:tr w:rsidR="005C2495" w:rsidRPr="00D43D1A" w14:paraId="21B23E0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3BB3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Hendriks et al. (2016)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3B8F" w14:textId="4E1BEB4C" w:rsidR="005C2495" w:rsidRPr="00D43D1A" w:rsidRDefault="00134BA1">
            <w:pPr>
              <w:spacing w:line="240" w:lineRule="auto"/>
              <w:ind w:firstLine="0"/>
            </w:pPr>
            <w:r>
              <w:t xml:space="preserve">Diagnosis of </w:t>
            </w:r>
            <w:r w:rsidRPr="00D43D1A">
              <w:t>anxiety</w:t>
            </w:r>
            <w:r>
              <w:t xml:space="preserve"> or</w:t>
            </w:r>
            <w:r w:rsidRPr="00D43D1A">
              <w:t xml:space="preserve"> psychosis, controls (</w:t>
            </w:r>
            <w:r w:rsidRPr="00D43D1A">
              <w:rPr>
                <w:i/>
                <w:iCs/>
              </w:rPr>
              <w:t>N</w:t>
            </w:r>
            <w:r w:rsidRPr="00D43D1A">
              <w:t xml:space="preserve"> = 58)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CE9D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correlation with ToM tests (Faux-pas, Strange Stories)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4BEF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62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BCB4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8 / 36 / 18</w:t>
            </w:r>
          </w:p>
        </w:tc>
      </w:tr>
      <w:tr w:rsidR="005C2495" w:rsidRPr="00D43D1A" w14:paraId="078F8491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56F4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Gore et al. (2010)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A243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24 adults with intellectual disability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B316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correlation with IQ (WASI) and language (BPVS)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4F85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34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9D2C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8 / 18 / 8</w:t>
            </w:r>
          </w:p>
        </w:tc>
      </w:tr>
      <w:tr w:rsidR="005C2495" w:rsidRPr="00D43D1A" w14:paraId="70CA0AE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7183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lastRenderedPageBreak/>
              <w:t>Vilardaga et al. (2012)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8953" w14:textId="48D80579" w:rsidR="005C2495" w:rsidRPr="00D43D1A" w:rsidRDefault="00134BA1">
            <w:pPr>
              <w:spacing w:line="240" w:lineRule="auto"/>
              <w:ind w:firstLine="0"/>
            </w:pPr>
            <w:r>
              <w:t>U</w:t>
            </w:r>
            <w:r w:rsidRPr="00D43D1A">
              <w:t>niversity students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3414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predictor of social anhedonia (regression)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D7ED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50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B982F" w14:textId="7B9287F5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0 / 30 / 20</w:t>
            </w:r>
            <w:r w:rsidR="00937B90" w:rsidRPr="00937B90">
              <w:rPr>
                <w:rFonts w:eastAsia="Cardo"/>
                <w:vertAlign w:val="superscript"/>
              </w:rPr>
              <w:t xml:space="preserve"> </w:t>
            </w:r>
            <w:r w:rsidR="00937B90">
              <w:rPr>
                <w:rFonts w:eastAsia="Cardo"/>
                <w:vertAlign w:val="superscript"/>
              </w:rPr>
              <w:t>b</w:t>
            </w:r>
          </w:p>
        </w:tc>
      </w:tr>
      <w:tr w:rsidR="005C2495" w:rsidRPr="00D43D1A" w14:paraId="012BD60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2DB9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Walton et al. (2024)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BCD7" w14:textId="646B65C8" w:rsidR="005C2495" w:rsidRPr="00D43D1A" w:rsidRDefault="00000000">
            <w:pPr>
              <w:spacing w:line="240" w:lineRule="auto"/>
              <w:ind w:firstLine="0"/>
            </w:pPr>
            <w:r w:rsidRPr="00D43D1A">
              <w:t>B</w:t>
            </w:r>
            <w:r w:rsidR="00D43D1A">
              <w:t xml:space="preserve">orderline </w:t>
            </w:r>
            <w:r w:rsidRPr="00D43D1A">
              <w:t>P</w:t>
            </w:r>
            <w:r w:rsidR="00D43D1A">
              <w:t xml:space="preserve">ersonality </w:t>
            </w:r>
            <w:r w:rsidRPr="00D43D1A">
              <w:t>D</w:t>
            </w:r>
            <w:r w:rsidR="00D43D1A">
              <w:t>isorder</w:t>
            </w:r>
            <w:r w:rsidRPr="00D43D1A">
              <w:t xml:space="preserve"> vs. control (</w:t>
            </w:r>
            <w:r w:rsidRPr="00D43D1A">
              <w:rPr>
                <w:i/>
                <w:iCs/>
              </w:rPr>
              <w:t>N</w:t>
            </w:r>
            <w:r w:rsidRPr="00D43D1A">
              <w:t xml:space="preserve"> = 112)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6B82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group comparison (BPD vs. control)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72D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48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D817" w14:textId="0967742C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0 / 48 / 0</w:t>
            </w:r>
            <w:r w:rsidR="00937B90" w:rsidRPr="00937B90">
              <w:rPr>
                <w:rFonts w:eastAsia="Cardo"/>
                <w:vertAlign w:val="superscript"/>
              </w:rPr>
              <w:t xml:space="preserve"> </w:t>
            </w:r>
            <w:r w:rsidR="00937B90" w:rsidRPr="00937B90">
              <w:rPr>
                <w:rFonts w:eastAsia="Cardo"/>
                <w:vertAlign w:val="superscript"/>
              </w:rPr>
              <w:t>c</w:t>
            </w:r>
          </w:p>
        </w:tc>
      </w:tr>
      <w:tr w:rsidR="005C2495" w:rsidRPr="00D43D1A" w14:paraId="7D2BC1F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A50F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This study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F41C" w14:textId="562FBD98" w:rsidR="005C2495" w:rsidRPr="00D43D1A" w:rsidRDefault="00000000">
            <w:pPr>
              <w:spacing w:line="240" w:lineRule="auto"/>
              <w:ind w:firstLine="0"/>
            </w:pPr>
            <w:r w:rsidRPr="00D43D1A">
              <w:t>134 adults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BC57" w14:textId="77777777" w:rsidR="005C2495" w:rsidRPr="00D43D1A" w:rsidRDefault="00000000">
            <w:pPr>
              <w:spacing w:line="240" w:lineRule="auto"/>
              <w:ind w:firstLine="0"/>
            </w:pPr>
            <w:r w:rsidRPr="00D43D1A">
              <w:t>reliability and convergent validity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0F87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9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712F" w14:textId="77777777" w:rsidR="005C2495" w:rsidRPr="00D43D1A" w:rsidRDefault="00000000">
            <w:pPr>
              <w:spacing w:line="240" w:lineRule="auto"/>
              <w:ind w:firstLine="0"/>
              <w:jc w:val="right"/>
            </w:pPr>
            <w:r w:rsidRPr="00D43D1A">
              <w:t>3 / 4 / 2</w:t>
            </w:r>
          </w:p>
        </w:tc>
      </w:tr>
    </w:tbl>
    <w:p w14:paraId="12BCC274" w14:textId="77777777" w:rsidR="005C2495" w:rsidRPr="00D43D1A" w:rsidRDefault="005C2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</w:pPr>
    </w:p>
    <w:p w14:paraId="6E7C8593" w14:textId="1950C339" w:rsidR="005C2495" w:rsidRPr="00D43D1A" w:rsidRDefault="00000000">
      <w:pPr>
        <w:ind w:firstLine="0"/>
      </w:pPr>
      <w:r w:rsidRPr="00D43D1A">
        <w:rPr>
          <w:i/>
          <w:iCs/>
        </w:rPr>
        <w:t>Notes.</w:t>
      </w:r>
      <w:r w:rsidRPr="00D43D1A">
        <w:rPr>
          <w:rFonts w:eastAsia="Cardo"/>
        </w:rPr>
        <w:t xml:space="preserve"> </w:t>
      </w:r>
      <w:r w:rsidR="00937B90">
        <w:rPr>
          <w:rFonts w:eastAsia="Cardo"/>
          <w:vertAlign w:val="superscript"/>
        </w:rPr>
        <w:t>a</w:t>
      </w:r>
      <w:r w:rsidRPr="00D43D1A">
        <w:rPr>
          <w:rFonts w:eastAsia="Cardo"/>
        </w:rPr>
        <w:t xml:space="preserve"> Unpublished doctoral protocol; the 256-trial figure is as reported by Kavanagh et al. (2020). </w:t>
      </w:r>
      <w:r w:rsidR="00937B90">
        <w:rPr>
          <w:rFonts w:eastAsia="Cardo"/>
          <w:vertAlign w:val="superscript"/>
        </w:rPr>
        <w:t>b</w:t>
      </w:r>
      <w:r w:rsidRPr="00D43D1A">
        <w:rPr>
          <w:rFonts w:eastAsia="Cardo"/>
        </w:rPr>
        <w:t xml:space="preserve"> Vilardaga et al.’s adult Deictic Relational Task included reversed and double-reversed trials only, balanced across five trial-types (≈10 each): three reversed (I–YOU, HERE–THERE, NOW–THEN) and two double-reversed (I–YOU/HERE–THERE, HERE–THERE/NOW–THEN). </w:t>
      </w:r>
      <w:r w:rsidR="00937B90" w:rsidRPr="00937B90">
        <w:rPr>
          <w:rFonts w:eastAsia="Cardo"/>
          <w:vertAlign w:val="superscript"/>
        </w:rPr>
        <w:t>c</w:t>
      </w:r>
      <w:r w:rsidRPr="00D43D1A">
        <w:rPr>
          <w:rFonts w:eastAsia="Cardo"/>
        </w:rPr>
        <w:t xml:space="preserve"> Walton et al. used the same Deictic Relational Task lineage restricted to reversed trials only (48 items spanning the three deictic relations crossed with affective and cognitive scenario dimensions); they found no significant BPD–control difference on the task. NB Related adult studies using the same deictic framework for false-belief or deception tasks rather than the perspective-taking protocol per se (McHugh et al., 2006, 2007a, 2007b) are omitted here; the false-belief reaction-time protocol of McHugh et al. (2007b) comprised 96 trials.</w:t>
      </w:r>
    </w:p>
    <w:p w14:paraId="3A1D4367" w14:textId="77777777" w:rsidR="005C2495" w:rsidRPr="00D43D1A" w:rsidRDefault="005C2495"/>
    <w:sectPr w:rsidR="005C2495" w:rsidRPr="00D43D1A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C5C959" w14:textId="77777777" w:rsidR="004D1E5F" w:rsidRDefault="004D1E5F">
      <w:pPr>
        <w:spacing w:line="240" w:lineRule="auto"/>
      </w:pPr>
      <w:r>
        <w:separator/>
      </w:r>
    </w:p>
  </w:endnote>
  <w:endnote w:type="continuationSeparator" w:id="0">
    <w:p w14:paraId="7620D435" w14:textId="77777777" w:rsidR="004D1E5F" w:rsidRDefault="004D1E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55C2776-B53C-6B4C-994A-DF17B224ABB6}"/>
    <w:embedBold r:id="rId2" w:fontKey="{03558A9A-2C7F-0144-A22A-F36CB7C63815}"/>
    <w:embedItalic r:id="rId3" w:fontKey="{6E29124D-23B4-7B4D-9972-82928BCECEFD}"/>
    <w:embedBoldItalic r:id="rId4" w:fontKey="{6510838E-DDDD-E64E-A59C-6D86E0C3AE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A53391BB-AA0D-4349-A3ED-741EC01B8077}"/>
  </w:font>
  <w:font w:name="Cardo">
    <w:panose1 w:val="020B0604020202020204"/>
    <w:charset w:val="00"/>
    <w:family w:val="auto"/>
    <w:pitch w:val="default"/>
    <w:embedRegular r:id="rId6" w:fontKey="{520DBEAF-4A9C-2145-941B-6851126F6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9F48115-C1B0-FA4B-B8C2-E9AEF58F4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EFEEF7D-E9E8-0C4E-BB89-1C8A9E4D3A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ABECDF" w14:textId="77777777" w:rsidR="004D1E5F" w:rsidRDefault="004D1E5F">
      <w:pPr>
        <w:spacing w:line="240" w:lineRule="auto"/>
      </w:pPr>
      <w:r>
        <w:separator/>
      </w:r>
    </w:p>
  </w:footnote>
  <w:footnote w:type="continuationSeparator" w:id="0">
    <w:p w14:paraId="560D6B39" w14:textId="77777777" w:rsidR="004D1E5F" w:rsidRDefault="004D1E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F61937" w14:textId="77777777" w:rsidR="005C2495" w:rsidRDefault="005C2495">
    <w:pPr>
      <w:jc w:val="right"/>
    </w:pPr>
  </w:p>
  <w:p w14:paraId="69322ADF" w14:textId="77777777" w:rsidR="005C249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43D1A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95"/>
    <w:rsid w:val="00107A1F"/>
    <w:rsid w:val="00134BA1"/>
    <w:rsid w:val="004D1E5F"/>
    <w:rsid w:val="005C2495"/>
    <w:rsid w:val="00937B90"/>
    <w:rsid w:val="00D43D1A"/>
    <w:rsid w:val="00E3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D848D"/>
  <w15:docId w15:val="{7F9A9C88-04B7-1C4C-B703-363EC2E6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H" w:eastAsia="en-GB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hussey</cp:lastModifiedBy>
  <cp:revision>5</cp:revision>
  <dcterms:created xsi:type="dcterms:W3CDTF">2026-07-27T22:50:00Z</dcterms:created>
  <dcterms:modified xsi:type="dcterms:W3CDTF">2026-07-28T08:01:00Z</dcterms:modified>
</cp:coreProperties>
</file>