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B905" w14:textId="77777777" w:rsidR="00F91A12" w:rsidRPr="00043D43" w:rsidRDefault="00F91A12" w:rsidP="00043D43">
      <w:pPr>
        <w:pStyle w:val="Title1"/>
      </w:pPr>
    </w:p>
    <w:p w14:paraId="6117DFAA" w14:textId="77777777" w:rsidR="00F91A12" w:rsidRPr="00043D43" w:rsidRDefault="00F91A12" w:rsidP="00043D43">
      <w:pPr>
        <w:pStyle w:val="Title1"/>
      </w:pPr>
    </w:p>
    <w:p w14:paraId="6BEC5758" w14:textId="77777777" w:rsidR="00F91A12" w:rsidRPr="00043D43" w:rsidRDefault="00F91A12" w:rsidP="00043D43">
      <w:pPr>
        <w:pStyle w:val="Title1"/>
      </w:pPr>
    </w:p>
    <w:p w14:paraId="64DFBBF5" w14:textId="77777777" w:rsidR="00F91A12" w:rsidRPr="00043D43" w:rsidRDefault="00F91A12" w:rsidP="00043D43">
      <w:pPr>
        <w:pStyle w:val="Title1"/>
      </w:pPr>
    </w:p>
    <w:p w14:paraId="763AA2E8" w14:textId="77777777" w:rsidR="00F91A12" w:rsidRPr="00043D43" w:rsidRDefault="00000000" w:rsidP="00043D43">
      <w:pPr>
        <w:pStyle w:val="Title1"/>
      </w:pPr>
      <w:r w:rsidRPr="00043D43">
        <w:t xml:space="preserve">Verification Report: </w:t>
      </w:r>
    </w:p>
    <w:p w14:paraId="4288969E"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0D06FA4D" w14:textId="77777777" w:rsidR="00167923" w:rsidRPr="00043D43" w:rsidRDefault="00000000" w:rsidP="00043D43">
      <w:pPr>
        <w:pStyle w:val="Title1"/>
      </w:pPr>
      <w:r w:rsidRPr="00043D43">
        <w:t>“A meta-analysis of criterion effects for the Implicit Relational Assessment Procedure (IRAP) in the clinical domain”</w:t>
      </w:r>
    </w:p>
    <w:p w14:paraId="5FBD19B6" w14:textId="77777777" w:rsidR="00034410" w:rsidRPr="00043D43" w:rsidRDefault="00034410" w:rsidP="00043D43">
      <w:pPr>
        <w:pStyle w:val="authors"/>
      </w:pPr>
    </w:p>
    <w:p w14:paraId="74904EBB" w14:textId="77777777" w:rsidR="00034410" w:rsidRPr="00043D43" w:rsidRDefault="00000000" w:rsidP="00043D43">
      <w:pPr>
        <w:pStyle w:val="authors"/>
      </w:pPr>
      <w:r w:rsidRPr="00043D43">
        <w:t>Ian Hussey</w:t>
      </w:r>
    </w:p>
    <w:p w14:paraId="5F294030" w14:textId="77777777" w:rsidR="00167923" w:rsidRPr="00043D43" w:rsidRDefault="00167923" w:rsidP="00043D43">
      <w:pPr>
        <w:pStyle w:val="authors"/>
      </w:pPr>
    </w:p>
    <w:p w14:paraId="4C904CA0" w14:textId="7C606A43"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 xml:space="preserve">Results were found to have very poor reproducibility at almost every stage of their </w:t>
      </w:r>
      <w:r w:rsidR="00091761">
        <w:t>data extraction and analysis</w:t>
      </w:r>
      <w:r w:rsidR="0074529F" w:rsidRPr="006C17C8">
        <w:t xml:space="preserve"> </w:t>
      </w:r>
      <w:r w:rsidR="00113C79" w:rsidRPr="006C17C8">
        <w:t>with</w:t>
      </w:r>
      <w:r w:rsidR="0074529F" w:rsidRPr="006C17C8">
        <w:t xml:space="preserve"> errors </w:t>
      </w:r>
      <w:r w:rsidR="002224CC">
        <w:t xml:space="preserve">generally </w:t>
      </w:r>
      <w:r w:rsidR="0074529F" w:rsidRPr="006C17C8">
        <w:t>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7E7F62">
        <w:t xml:space="preserve">The closest reproduction attempt required making two serious errors (using the wrong data set and mislabelling Confidence Intervals as Credibility Intervals and vice versa). </w:t>
      </w:r>
      <w:r w:rsidR="001A187C" w:rsidRPr="006C17C8">
        <w:t>Multiple internal discrepancies were found in the effect sizes</w:t>
      </w:r>
      <w:r w:rsidR="00FA0E45">
        <w:t xml:space="preserve"> such as </w:t>
      </w:r>
      <w:r w:rsidR="001A187C" w:rsidRPr="006C17C8">
        <w:t xml:space="preserve">between the forest </w:t>
      </w:r>
      <w:r w:rsidR="00FA0E45">
        <w:t>plot and</w:t>
      </w:r>
      <w:r w:rsidR="001A187C" w:rsidRPr="006C17C8">
        <w:t xml:space="preserve"> funnel plot, and </w:t>
      </w:r>
      <w:r w:rsidR="00FA0E45">
        <w:t xml:space="preserve">between </w:t>
      </w:r>
      <w:r w:rsidR="001A187C" w:rsidRPr="006C17C8">
        <w:t xml:space="preserve">the forest plot </w:t>
      </w:r>
      <w:r w:rsidR="00FA0E45">
        <w:t>and</w:t>
      </w:r>
      <w:r w:rsidR="001A187C" w:rsidRPr="006C17C8">
        <w:t xml:space="preserve"> the supplementary data. </w:t>
      </w:r>
      <w:r w:rsidR="001F4B6A" w:rsidRPr="006C17C8">
        <w:t xml:space="preserve">23 of the 56 (41.1%) </w:t>
      </w:r>
      <w:r w:rsidR="00FA0E45">
        <w:t xml:space="preserve">individual </w:t>
      </w:r>
      <w:r w:rsidR="001F4B6A" w:rsidRPr="006C17C8">
        <w:t xml:space="preserve">effect sizes were not criterion effects </w:t>
      </w:r>
      <w:r w:rsidR="00FA0E45">
        <w:t xml:space="preserve">and did not meet the original inclusion </w:t>
      </w:r>
      <w:r w:rsidR="006703BA">
        <w:t>criteria</w:t>
      </w:r>
      <w:r w:rsidR="001F4B6A" w:rsidRPr="006C17C8">
        <w:t xml:space="preserve">.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proofErr w:type="gramStart"/>
      <w:r w:rsidR="0028714C" w:rsidRPr="006C17C8">
        <w:t>In particular, r</w:t>
      </w:r>
      <w:r w:rsidR="00747CBF" w:rsidRPr="006C17C8">
        <w:t>esearchers</w:t>
      </w:r>
      <w:proofErr w:type="gramEnd"/>
      <w:r w:rsidR="00747CBF" w:rsidRPr="006C17C8">
        <w:t xml:space="preserve">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56D87223" w14:textId="77777777" w:rsidR="00167923" w:rsidRPr="00034410" w:rsidRDefault="00167923" w:rsidP="00F0388F">
      <w:pPr>
        <w:ind w:firstLine="0"/>
      </w:pPr>
    </w:p>
    <w:p w14:paraId="489F84A7"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AB0CFA3" w14:textId="77777777" w:rsidR="0080605A"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w:t>
      </w:r>
      <w:r>
        <w:t xml:space="preserve">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lastRenderedPageBreak/>
        <w:t>verification allow other meta-analyses to be more efficiently and effectively inspected for errors.</w:t>
      </w:r>
    </w:p>
    <w:p w14:paraId="5C1A794E" w14:textId="77777777"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of </w:t>
      </w:r>
      <w:r w:rsidR="00916B1E" w:rsidRPr="00034410">
        <w:t xml:space="preserve">the </w:t>
      </w:r>
      <w:r w:rsidR="000D2430" w:rsidRPr="00034410">
        <w:t xml:space="preserve">Implicit Relational Assessment Procedure </w:t>
      </w:r>
      <w:r w:rsidR="000D2430" w:rsidRPr="00034410">
        <w:fldChar w:fldCharType="begin"/>
      </w:r>
      <w:r w:rsidR="007C23EB" w:rsidRPr="00034410">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0D2430" w:rsidRPr="00034410">
        <w:fldChar w:fldCharType="separate"/>
      </w:r>
      <w:r w:rsidR="000D2430" w:rsidRPr="00034410">
        <w:t>(IRAP: Barnes-Holmes et al., 2010)</w:t>
      </w:r>
      <w:r w:rsidR="000D2430" w:rsidRPr="00034410">
        <w:fldChar w:fldCharType="end"/>
      </w:r>
      <w:r w:rsidR="000D2430" w:rsidRPr="00034410">
        <w:t xml:space="preserve"> concluded that it possesses good criterion validity </w:t>
      </w:r>
      <w:r w:rsidRPr="00034410">
        <w:t xml:space="preserve">and that the IRAP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 th</w:t>
      </w:r>
      <w:r w:rsidR="00AC0000" w:rsidRPr="00034410">
        <w:t>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EAC7E0C" w14:textId="77777777" w:rsidR="001537F8" w:rsidRPr="00034410" w:rsidRDefault="00000000" w:rsidP="00034410">
      <w:pPr>
        <w:pStyle w:val="Heading2"/>
      </w:pPr>
      <w:r w:rsidRPr="00034410">
        <w:t xml:space="preserve">Rationale for </w:t>
      </w:r>
      <w:r w:rsidR="00223420" w:rsidRPr="00034410">
        <w:t>verification</w:t>
      </w:r>
    </w:p>
    <w:p w14:paraId="3A6C94F6" w14:textId="77777777"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729B6BEB" w14:textId="77777777" w:rsidR="00167923"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reproducibility, </w:t>
      </w:r>
      <w:r w:rsidR="00A22623" w:rsidRPr="00034410">
        <w:t xml:space="preserve">it is therefore </w:t>
      </w:r>
      <w:r w:rsidR="00842324" w:rsidRPr="00034410">
        <w:t>useful</w:t>
      </w:r>
      <w:r w:rsidR="008B007D">
        <w:t xml:space="preserve"> </w:t>
      </w:r>
      <w:r w:rsidR="00842324" w:rsidRPr="00034410">
        <w:t xml:space="preserve">to verify </w:t>
      </w:r>
      <w:r w:rsidR="00ED5CE9" w:rsidRPr="00034410">
        <w:t>Vahey et al.’s (2015)</w:t>
      </w:r>
      <w:r w:rsidR="00842324" w:rsidRPr="00034410">
        <w:t xml:space="preserve"> results</w:t>
      </w:r>
      <w:r w:rsidR="00A22623" w:rsidRPr="00034410">
        <w:t xml:space="preserve">. </w:t>
      </w:r>
    </w:p>
    <w:p w14:paraId="4F880C4F" w14:textId="77777777" w:rsidR="008A44AB" w:rsidRPr="00034410" w:rsidRDefault="00000000" w:rsidP="00BF5789">
      <w:r>
        <w:t xml:space="preserve">Third, Vahey et al. (2015) may have been modest when they reported that their results imply the IRAP compares “favorably” with other implicit measures. </w:t>
      </w:r>
      <w:r w:rsidR="00BF5789">
        <w:t xml:space="preserve">In fact, </w:t>
      </w:r>
      <w:r>
        <w:t xml:space="preserve">Vahey et al.’s (2015) reported meta-analytic effect size of </w:t>
      </w:r>
      <m:oMath>
        <m:acc>
          <m:accPr>
            <m:chr m:val="̅"/>
            <m:ctrlPr>
              <w:rPr>
                <w:rFonts w:ascii="Cambria Math" w:hAnsi="Cambria Math"/>
                <w:i/>
                <w:sz w:val="20"/>
                <w:szCs w:val="20"/>
              </w:rPr>
            </m:ctrlPr>
          </m:accPr>
          <m:e>
            <m:r>
              <w:rPr>
                <w:rFonts w:ascii="Cambria Math" w:hAnsi="Cambria Math"/>
              </w:rPr>
              <m:t>r</m:t>
            </m:r>
          </m:e>
        </m:acc>
      </m:oMath>
      <w:r w:rsidRPr="00862779">
        <w:t xml:space="preserve"> = .</w:t>
      </w:r>
      <w:r>
        <w:t>46 would place it in &gt;90</w:t>
      </w:r>
      <w:r w:rsidRPr="000B7BA9">
        <w:rPr>
          <w:vertAlign w:val="superscript"/>
        </w:rPr>
        <w:t>th</w:t>
      </w:r>
      <w:r>
        <w:t xml:space="preserve"> percentile of all meta-analytic effect sizes </w:t>
      </w:r>
      <w:r w:rsidR="00BF5789">
        <w:t>reported in psychology (Richard et al., 2003)</w:t>
      </w:r>
      <w:r>
        <w:t>.</w:t>
      </w:r>
      <w:r w:rsidR="00BF5789">
        <w:t xml:space="preserve">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00BF5789">
        <w:t>Or,</w:t>
      </w:r>
      <w:proofErr w:type="gramEnd"/>
      <w:r w:rsidR="00BF5789">
        <w:t xml:space="preserve"> something is amiss with Vahey et al. (2015).</w:t>
      </w:r>
    </w:p>
    <w:p w14:paraId="314D08CB" w14:textId="77777777" w:rsidR="005924D8" w:rsidRPr="00034410" w:rsidRDefault="00000000" w:rsidP="00034410">
      <w:r>
        <w:t>Fourth</w:t>
      </w:r>
      <w:r w:rsidRPr="00034410">
        <w:t xml:space="preserve">, </w:t>
      </w:r>
      <w:r w:rsidR="00744B57" w:rsidRPr="00034410">
        <w:t xml:space="preserve">in light of estimates of the IRAP’s low reliability </w:t>
      </w:r>
      <w:r w:rsidR="00744B57" w:rsidRPr="00034410">
        <w:fldChar w:fldCharType="begin"/>
      </w:r>
      <w:r w:rsidR="007C23EB" w:rsidRPr="00034410">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rsidRPr="00034410">
        <w:fldChar w:fldCharType="separate"/>
      </w:r>
      <w:r w:rsidR="00744B57" w:rsidRPr="00034410">
        <w:rPr>
          <w:noProof/>
        </w:rPr>
        <w:t>(Hussey &amp; Drake, 2020)</w:t>
      </w:r>
      <w:r w:rsidR="00744B57" w:rsidRPr="00034410">
        <w:fldChar w:fldCharType="end"/>
      </w:r>
      <w:r w:rsidR="00744B57" w:rsidRPr="00034410">
        <w:t xml:space="preserve">, </w:t>
      </w:r>
      <w:r w:rsidRPr="00034410">
        <w:t xml:space="preserve">there is good reason to believe that Vahey et al.’s (2015) meta-analytic estimate of </w:t>
      </w:r>
      <m:oMath>
        <m:acc>
          <m:accPr>
            <m:chr m:val="̅"/>
            <m:ctrlPr>
              <w:rPr>
                <w:rFonts w:ascii="Cambria Math" w:hAnsi="Cambria Math"/>
                <w:i/>
                <w:sz w:val="20"/>
                <w:szCs w:val="20"/>
              </w:rPr>
            </m:ctrlPr>
          </m:accPr>
          <m:e>
            <m:r>
              <w:rPr>
                <w:rFonts w:ascii="Cambria Math" w:hAnsi="Cambria Math"/>
              </w:rPr>
              <m:t>r</m:t>
            </m:r>
          </m:e>
        </m:acc>
      </m:oMath>
      <w:r w:rsidRPr="00034410">
        <w:t xml:space="preserve"> = .45 is implausibly large</w:t>
      </w:r>
      <w:r w:rsidR="00744B57" w:rsidRPr="00034410">
        <w:t xml:space="preserve">. </w:t>
      </w:r>
      <w:r w:rsidR="000B4D42" w:rsidRPr="00034410">
        <w:t xml:space="preserve">According to classical test theory, a measure's reliability refers to the proportion of the variance that is caused by the construct rather than noise </w:t>
      </w:r>
      <w:r w:rsidR="000B4D42" w:rsidRPr="00034410">
        <w:fldChar w:fldCharType="begin"/>
      </w:r>
      <w:r w:rsidR="007C23EB" w:rsidRPr="00034410">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rsidRPr="00034410">
        <w:fldChar w:fldCharType="separate"/>
      </w:r>
      <w:r w:rsidR="000B4D42" w:rsidRPr="00034410">
        <w:rPr>
          <w:noProof/>
        </w:rPr>
        <w:t>(Allen &amp; Yen, 2002, p.73)</w:t>
      </w:r>
      <w:r w:rsidR="000B4D42" w:rsidRPr="00034410">
        <w:fldChar w:fldCharType="end"/>
      </w:r>
      <w:r w:rsidR="000B4D42" w:rsidRPr="00034410">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000B4D42" w:rsidRPr="00034410">
        <w:t xml:space="preserve"> and </w:t>
      </w:r>
      <m:oMath>
        <m:r>
          <w:rPr>
            <w:rFonts w:ascii="Cambria Math" w:hAnsi="Cambria Math"/>
          </w:rPr>
          <m:t>y</m:t>
        </m:r>
      </m:oMath>
      <w:r w:rsidR="000B4D42" w:rsidRPr="00034410">
        <w:t xml:space="preserve"> </w:t>
      </w:r>
      <w:r w:rsidR="00CB2150"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rsidRPr="00034410">
        <w:t xml:space="preserve">) </w:t>
      </w:r>
      <w:r w:rsidR="000B4D42" w:rsidRPr="00034410">
        <w:t xml:space="preserve">is a function of the </w:t>
      </w:r>
      <w:r w:rsidR="007D11DE" w:rsidRPr="00034410">
        <w:t xml:space="preserve">true </w:t>
      </w:r>
      <w:r w:rsidR="000B4D42" w:rsidRPr="00034410">
        <w:t>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034410">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rsidRPr="00034410">
        <w:t xml:space="preserve">). This can be quantified via </w:t>
      </w:r>
      <w:r w:rsidR="000B4D42" w:rsidRPr="00034410">
        <w:rPr>
          <w:lang w:val="en-US"/>
        </w:rPr>
        <w:t>the Attenuation Formula derived from classical test theory</w:t>
      </w:r>
      <w:r w:rsidR="00812BDF" w:rsidRPr="00034410">
        <w:rPr>
          <w:lang w:val="en-US"/>
        </w:rPr>
        <w:t xml:space="preserve"> </w:t>
      </w:r>
      <w:r w:rsidRPr="00034410">
        <w:fldChar w:fldCharType="begin"/>
      </w:r>
      <w:r w:rsidR="007C23EB" w:rsidRPr="00034410">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034410">
        <w:fldChar w:fldCharType="separate"/>
      </w:r>
      <w:r w:rsidRPr="00034410">
        <w:rPr>
          <w:noProof/>
        </w:rPr>
        <w:t>(Revelle, 2009, equation 7.3)</w:t>
      </w:r>
      <w:r w:rsidRPr="00034410">
        <w:fldChar w:fldCharType="end"/>
      </w:r>
      <w:r w:rsidRPr="00034410">
        <w:t>:</w:t>
      </w:r>
    </w:p>
    <w:p w14:paraId="73572245" w14:textId="77777777" w:rsidR="005924D8" w:rsidRPr="00034410" w:rsidRDefault="005924D8" w:rsidP="00034410"/>
    <w:p w14:paraId="70CA98B1" w14:textId="77777777" w:rsidR="005924D8" w:rsidRPr="002C31EF" w:rsidRDefault="00000000" w:rsidP="0003441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750A03C" w14:textId="77777777" w:rsidR="005924D8" w:rsidRPr="00034410" w:rsidRDefault="005924D8" w:rsidP="002C31EF">
      <w:pPr>
        <w:ind w:firstLine="0"/>
      </w:pPr>
    </w:p>
    <w:p w14:paraId="5B1FE0DB" w14:textId="77777777" w:rsidR="002B214D" w:rsidRDefault="002B214D" w:rsidP="004F3E34"/>
    <w:p w14:paraId="71022133" w14:textId="77777777" w:rsidR="002B214D" w:rsidRDefault="002B214D" w:rsidP="004F3E34"/>
    <w:p w14:paraId="79C09417" w14:textId="77777777" w:rsidR="002B214D" w:rsidRPr="00034410" w:rsidRDefault="002B214D" w:rsidP="004F3E34"/>
    <w:p w14:paraId="6BFE2C3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10F32F8C" w14:textId="77777777" w:rsidR="002B214D" w:rsidRDefault="00000000">
      <w:pPr>
        <w:ind w:firstLine="0"/>
        <w:jc w:val="left"/>
        <w:rPr>
          <w:b/>
          <w:bCs/>
        </w:rPr>
      </w:pPr>
      <w:r>
        <w:rPr>
          <w:b/>
          <w:bCs/>
        </w:rPr>
        <w:br w:type="page"/>
      </w:r>
    </w:p>
    <w:p w14:paraId="5C73C12F" w14:textId="77777777" w:rsidR="000967B0" w:rsidRPr="00EE79F9" w:rsidRDefault="00000000" w:rsidP="00EE79F9">
      <w:pPr>
        <w:ind w:firstLine="0"/>
        <w:rPr>
          <w:b/>
          <w:bCs/>
        </w:rPr>
      </w:pPr>
      <w:r w:rsidRPr="00EE79F9">
        <w:rPr>
          <w:b/>
          <w:bCs/>
        </w:rPr>
        <w:lastRenderedPageBreak/>
        <w:t>Table 1. Verifications of power analyses for 80% power.</w:t>
      </w:r>
    </w:p>
    <w:p w14:paraId="5FC7122C"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A6907"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43BE2935"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713FA381" w14:textId="77777777" w:rsidR="00A30DBD" w:rsidRPr="001D3517" w:rsidRDefault="00000000" w:rsidP="002D69CC">
            <w:pPr>
              <w:pStyle w:val="table"/>
              <w:jc w:val="center"/>
            </w:pPr>
            <w:r w:rsidRPr="001D3517">
              <w:t>New meta-analysis</w:t>
            </w:r>
          </w:p>
        </w:tc>
      </w:tr>
      <w:tr w:rsidR="00AA6907"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50F8A0A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D378C4A"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70DF57D"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D8F609A" w14:textId="77777777" w:rsidR="00A30DBD" w:rsidRPr="001D3517" w:rsidRDefault="00000000" w:rsidP="002D69CC">
            <w:pPr>
              <w:pStyle w:val="table"/>
              <w:jc w:val="center"/>
            </w:pPr>
            <w:r w:rsidRPr="001D3517">
              <w:rPr>
                <w:i/>
                <w:iCs/>
              </w:rPr>
              <w:t>N</w:t>
            </w:r>
          </w:p>
        </w:tc>
      </w:tr>
      <w:tr w:rsidR="00AA6907"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2A2345E8" w14:textId="77777777" w:rsidR="00A30DBD" w:rsidRPr="00D85791" w:rsidRDefault="00000000" w:rsidP="002D69CC">
            <w:pPr>
              <w:pStyle w:val="table"/>
              <w:jc w:val="center"/>
            </w:pPr>
            <w:r w:rsidRPr="00D85791">
              <w:t>29</w:t>
            </w:r>
          </w:p>
        </w:tc>
        <w:tc>
          <w:tcPr>
            <w:tcW w:w="900" w:type="dxa"/>
            <w:tcBorders>
              <w:top w:val="single" w:sz="4" w:space="0" w:color="auto"/>
            </w:tcBorders>
            <w:vAlign w:val="center"/>
          </w:tcPr>
          <w:p w14:paraId="263D9BB7" w14:textId="77777777" w:rsidR="00A30DBD" w:rsidRPr="00D85791" w:rsidRDefault="00000000" w:rsidP="007F7D0A">
            <w:pPr>
              <w:pStyle w:val="table"/>
              <w:tabs>
                <w:tab w:val="left" w:pos="444"/>
              </w:tabs>
              <w:jc w:val="center"/>
            </w:pPr>
            <w:r w:rsidRPr="00D85791">
              <w:t>29</w:t>
            </w:r>
          </w:p>
        </w:tc>
        <w:tc>
          <w:tcPr>
            <w:tcW w:w="630" w:type="dxa"/>
            <w:tcBorders>
              <w:top w:val="single" w:sz="4" w:space="0" w:color="auto"/>
            </w:tcBorders>
            <w:vAlign w:val="center"/>
          </w:tcPr>
          <w:p w14:paraId="248B8B6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1870CD89" w14:textId="77777777" w:rsidR="00A30DBD" w:rsidRPr="00D85791" w:rsidRDefault="00000000" w:rsidP="002D69CC">
            <w:pPr>
              <w:pStyle w:val="table"/>
              <w:jc w:val="center"/>
            </w:pPr>
            <w:r w:rsidRPr="00500B88">
              <w:t>126</w:t>
            </w:r>
          </w:p>
        </w:tc>
      </w:tr>
      <w:tr w:rsidR="00AA6907"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3EEA45"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BAE28DE" w14:textId="77777777" w:rsidR="00A30DBD" w:rsidRPr="00D85791" w:rsidRDefault="00000000" w:rsidP="002D69CC">
            <w:pPr>
              <w:pStyle w:val="table"/>
              <w:jc w:val="center"/>
            </w:pPr>
            <w:r w:rsidRPr="00D85791">
              <w:t>0.40</w:t>
            </w:r>
          </w:p>
        </w:tc>
        <w:tc>
          <w:tcPr>
            <w:tcW w:w="950" w:type="dxa"/>
            <w:vAlign w:val="center"/>
          </w:tcPr>
          <w:p w14:paraId="03629149" w14:textId="77777777" w:rsidR="00A30DBD" w:rsidRPr="00D85791" w:rsidRDefault="00000000" w:rsidP="002D69CC">
            <w:pPr>
              <w:pStyle w:val="table"/>
              <w:jc w:val="center"/>
            </w:pPr>
            <w:r w:rsidRPr="00D85791">
              <w:t>37</w:t>
            </w:r>
          </w:p>
        </w:tc>
        <w:tc>
          <w:tcPr>
            <w:tcW w:w="900" w:type="dxa"/>
            <w:vAlign w:val="center"/>
          </w:tcPr>
          <w:p w14:paraId="776C5FAE" w14:textId="77777777" w:rsidR="00A30DBD" w:rsidRPr="00D85791" w:rsidRDefault="00000000" w:rsidP="007F7D0A">
            <w:pPr>
              <w:pStyle w:val="table"/>
              <w:tabs>
                <w:tab w:val="left" w:pos="444"/>
              </w:tabs>
              <w:jc w:val="center"/>
            </w:pPr>
            <w:r w:rsidRPr="00D85791">
              <w:t>37</w:t>
            </w:r>
          </w:p>
        </w:tc>
        <w:tc>
          <w:tcPr>
            <w:tcW w:w="630" w:type="dxa"/>
            <w:vAlign w:val="center"/>
          </w:tcPr>
          <w:p w14:paraId="139F7EF7" w14:textId="77777777" w:rsidR="00A30DBD" w:rsidRPr="00D85791" w:rsidRDefault="00000000" w:rsidP="002D69CC">
            <w:pPr>
              <w:pStyle w:val="table"/>
              <w:jc w:val="center"/>
            </w:pPr>
            <w:r w:rsidRPr="00500B88">
              <w:t>.15</w:t>
            </w:r>
          </w:p>
        </w:tc>
        <w:tc>
          <w:tcPr>
            <w:tcW w:w="900" w:type="dxa"/>
            <w:vAlign w:val="center"/>
          </w:tcPr>
          <w:p w14:paraId="68D67AA8" w14:textId="77777777" w:rsidR="00A30DBD" w:rsidRPr="00D85791" w:rsidRDefault="00000000" w:rsidP="002D69CC">
            <w:pPr>
              <w:pStyle w:val="table"/>
              <w:jc w:val="center"/>
            </w:pPr>
            <w:r w:rsidRPr="00500B88">
              <w:t>273</w:t>
            </w:r>
          </w:p>
        </w:tc>
      </w:tr>
      <w:tr w:rsidR="00AA6907"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B943F6C"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D85791" w:rsidRDefault="00000000" w:rsidP="002D69CC">
            <w:pPr>
              <w:pStyle w:val="table"/>
              <w:jc w:val="center"/>
            </w:pPr>
            <w:r w:rsidRPr="00D85791">
              <w:t>0.45</w:t>
            </w:r>
          </w:p>
        </w:tc>
        <w:tc>
          <w:tcPr>
            <w:tcW w:w="950" w:type="dxa"/>
            <w:vAlign w:val="center"/>
          </w:tcPr>
          <w:p w14:paraId="1E47CD2C" w14:textId="77777777" w:rsidR="00A30DBD" w:rsidRPr="00D85791" w:rsidRDefault="00000000" w:rsidP="002D69CC">
            <w:pPr>
              <w:pStyle w:val="table"/>
              <w:jc w:val="center"/>
            </w:pPr>
            <w:r w:rsidRPr="00D85791">
              <w:t>36</w:t>
            </w:r>
          </w:p>
        </w:tc>
        <w:tc>
          <w:tcPr>
            <w:tcW w:w="900" w:type="dxa"/>
            <w:vAlign w:val="center"/>
          </w:tcPr>
          <w:p w14:paraId="4396D65E" w14:textId="77777777" w:rsidR="00A30DBD" w:rsidRPr="00D85791" w:rsidRDefault="00000000" w:rsidP="007F7D0A">
            <w:pPr>
              <w:pStyle w:val="table"/>
              <w:tabs>
                <w:tab w:val="left" w:pos="444"/>
              </w:tabs>
              <w:jc w:val="center"/>
            </w:pPr>
            <w:r w:rsidRPr="00D85791">
              <w:t>36</w:t>
            </w:r>
          </w:p>
        </w:tc>
        <w:tc>
          <w:tcPr>
            <w:tcW w:w="630" w:type="dxa"/>
            <w:vAlign w:val="center"/>
          </w:tcPr>
          <w:p w14:paraId="0CAAB5A2" w14:textId="77777777" w:rsidR="00A30DBD" w:rsidRPr="00D85791" w:rsidRDefault="00000000" w:rsidP="002D69CC">
            <w:pPr>
              <w:pStyle w:val="table"/>
              <w:jc w:val="center"/>
            </w:pPr>
            <w:r w:rsidRPr="00500B88">
              <w:t>.22</w:t>
            </w:r>
          </w:p>
        </w:tc>
        <w:tc>
          <w:tcPr>
            <w:tcW w:w="900" w:type="dxa"/>
            <w:vAlign w:val="center"/>
          </w:tcPr>
          <w:p w14:paraId="0C06C765" w14:textId="77777777" w:rsidR="00A30DBD" w:rsidRPr="00D85791" w:rsidRDefault="00000000" w:rsidP="002D69CC">
            <w:pPr>
              <w:pStyle w:val="table"/>
              <w:jc w:val="center"/>
            </w:pPr>
            <w:r w:rsidRPr="00500B88">
              <w:t>160</w:t>
            </w:r>
          </w:p>
        </w:tc>
      </w:tr>
      <w:tr w:rsidR="00AA6907"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46D97CAF"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2091312C" w14:textId="77777777" w:rsidR="00A30DBD" w:rsidRPr="00D85791" w:rsidRDefault="00000000" w:rsidP="002D69CC">
            <w:pPr>
              <w:pStyle w:val="table"/>
              <w:jc w:val="center"/>
            </w:pPr>
            <w:r w:rsidRPr="00D85791">
              <w:t>0.40</w:t>
            </w:r>
          </w:p>
        </w:tc>
        <w:tc>
          <w:tcPr>
            <w:tcW w:w="950" w:type="dxa"/>
            <w:vAlign w:val="center"/>
          </w:tcPr>
          <w:p w14:paraId="7D183887" w14:textId="77777777" w:rsidR="00A30DBD" w:rsidRDefault="00000000" w:rsidP="002D69CC">
            <w:pPr>
              <w:pStyle w:val="table"/>
              <w:jc w:val="center"/>
            </w:pPr>
            <w:r>
              <w:t>-</w:t>
            </w:r>
          </w:p>
        </w:tc>
        <w:tc>
          <w:tcPr>
            <w:tcW w:w="900" w:type="dxa"/>
            <w:vAlign w:val="center"/>
          </w:tcPr>
          <w:p w14:paraId="253D8131" w14:textId="77777777" w:rsidR="00A30DBD" w:rsidRDefault="00000000" w:rsidP="007F7D0A">
            <w:pPr>
              <w:pStyle w:val="table"/>
              <w:tabs>
                <w:tab w:val="left" w:pos="444"/>
              </w:tabs>
              <w:jc w:val="center"/>
            </w:pPr>
            <w:r w:rsidRPr="00D85791">
              <w:t>46</w:t>
            </w:r>
          </w:p>
        </w:tc>
        <w:tc>
          <w:tcPr>
            <w:tcW w:w="630" w:type="dxa"/>
            <w:vAlign w:val="center"/>
          </w:tcPr>
          <w:p w14:paraId="4391E8BA" w14:textId="77777777" w:rsidR="00A30DBD" w:rsidRPr="00D85791" w:rsidRDefault="00000000" w:rsidP="002D69CC">
            <w:pPr>
              <w:pStyle w:val="table"/>
              <w:jc w:val="center"/>
            </w:pPr>
            <w:r w:rsidRPr="00500B88">
              <w:t>.15</w:t>
            </w:r>
          </w:p>
        </w:tc>
        <w:tc>
          <w:tcPr>
            <w:tcW w:w="900" w:type="dxa"/>
            <w:vAlign w:val="center"/>
          </w:tcPr>
          <w:p w14:paraId="4F99FCB0" w14:textId="77777777" w:rsidR="00A30DBD" w:rsidRPr="00D85791" w:rsidRDefault="00000000" w:rsidP="002D69CC">
            <w:pPr>
              <w:pStyle w:val="table"/>
              <w:jc w:val="center"/>
            </w:pPr>
            <w:r w:rsidRPr="00500B88">
              <w:t>346</w:t>
            </w:r>
          </w:p>
        </w:tc>
      </w:tr>
      <w:tr w:rsidR="00AA6907"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B0C8DE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BABB440"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D85791" w:rsidRDefault="00000000" w:rsidP="002D69CC">
            <w:pPr>
              <w:pStyle w:val="table"/>
              <w:jc w:val="center"/>
            </w:pPr>
            <w:r w:rsidRPr="00D85791">
              <w:t>1.01</w:t>
            </w:r>
          </w:p>
        </w:tc>
        <w:tc>
          <w:tcPr>
            <w:tcW w:w="950" w:type="dxa"/>
            <w:vAlign w:val="center"/>
          </w:tcPr>
          <w:p w14:paraId="1EBD7B88" w14:textId="77777777" w:rsidR="00A30DBD" w:rsidRPr="00D85791" w:rsidRDefault="00000000" w:rsidP="002D69CC">
            <w:pPr>
              <w:pStyle w:val="table"/>
              <w:jc w:val="center"/>
            </w:pPr>
            <w:r w:rsidRPr="00D85791">
              <w:t>26</w:t>
            </w:r>
          </w:p>
        </w:tc>
        <w:tc>
          <w:tcPr>
            <w:tcW w:w="900" w:type="dxa"/>
            <w:vAlign w:val="center"/>
          </w:tcPr>
          <w:p w14:paraId="6638DDF4" w14:textId="77777777" w:rsidR="00A30DBD" w:rsidRPr="00D85791" w:rsidRDefault="00000000" w:rsidP="007F7D0A">
            <w:pPr>
              <w:pStyle w:val="table"/>
              <w:tabs>
                <w:tab w:val="left" w:pos="444"/>
              </w:tabs>
              <w:jc w:val="center"/>
            </w:pPr>
            <w:r w:rsidRPr="00D85791">
              <w:t>26</w:t>
            </w:r>
          </w:p>
        </w:tc>
        <w:tc>
          <w:tcPr>
            <w:tcW w:w="630" w:type="dxa"/>
            <w:vAlign w:val="center"/>
          </w:tcPr>
          <w:p w14:paraId="2EA7D9C5" w14:textId="77777777" w:rsidR="00A30DBD" w:rsidRPr="00D85791" w:rsidRDefault="00000000" w:rsidP="002D69CC">
            <w:pPr>
              <w:pStyle w:val="table"/>
              <w:jc w:val="center"/>
            </w:pPr>
            <w:r w:rsidRPr="00500B88">
              <w:t>.45</w:t>
            </w:r>
          </w:p>
        </w:tc>
        <w:tc>
          <w:tcPr>
            <w:tcW w:w="900" w:type="dxa"/>
            <w:vAlign w:val="center"/>
          </w:tcPr>
          <w:p w14:paraId="785A2544" w14:textId="77777777" w:rsidR="00A30DBD" w:rsidRPr="00D85791" w:rsidRDefault="00000000" w:rsidP="002D69CC">
            <w:pPr>
              <w:pStyle w:val="table"/>
              <w:jc w:val="center"/>
            </w:pPr>
            <w:r w:rsidRPr="00500B88">
              <w:t>124</w:t>
            </w:r>
          </w:p>
        </w:tc>
      </w:tr>
      <w:tr w:rsidR="00AA6907"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206238AD"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7324FF10"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D5A0E2F" w14:textId="77777777" w:rsidR="00A30DBD" w:rsidRPr="00D85791" w:rsidRDefault="00000000" w:rsidP="002D69CC">
            <w:pPr>
              <w:pStyle w:val="table"/>
              <w:jc w:val="center"/>
            </w:pPr>
            <w:r w:rsidRPr="00D85791">
              <w:t>0.87</w:t>
            </w:r>
          </w:p>
        </w:tc>
        <w:tc>
          <w:tcPr>
            <w:tcW w:w="950" w:type="dxa"/>
            <w:vAlign w:val="center"/>
          </w:tcPr>
          <w:p w14:paraId="32DF0734" w14:textId="77777777" w:rsidR="00A30DBD" w:rsidRPr="00D85791" w:rsidRDefault="00000000" w:rsidP="002D69CC">
            <w:pPr>
              <w:pStyle w:val="table"/>
              <w:jc w:val="center"/>
            </w:pPr>
            <w:r w:rsidRPr="00D85791">
              <w:t>36</w:t>
            </w:r>
          </w:p>
        </w:tc>
        <w:tc>
          <w:tcPr>
            <w:tcW w:w="900" w:type="dxa"/>
            <w:vAlign w:val="center"/>
          </w:tcPr>
          <w:p w14:paraId="31241F8C" w14:textId="77777777" w:rsidR="00A30DBD" w:rsidRPr="00D85791" w:rsidRDefault="00000000" w:rsidP="007F7D0A">
            <w:pPr>
              <w:pStyle w:val="table"/>
              <w:tabs>
                <w:tab w:val="left" w:pos="444"/>
              </w:tabs>
              <w:jc w:val="center"/>
            </w:pPr>
            <w:r w:rsidRPr="00D85791">
              <w:t>34</w:t>
            </w:r>
            <w:r>
              <w:t>***</w:t>
            </w:r>
          </w:p>
        </w:tc>
        <w:tc>
          <w:tcPr>
            <w:tcW w:w="630" w:type="dxa"/>
            <w:vAlign w:val="center"/>
          </w:tcPr>
          <w:p w14:paraId="51DB068A" w14:textId="77777777" w:rsidR="00A30DBD" w:rsidRDefault="00000000" w:rsidP="002D69CC">
            <w:pPr>
              <w:pStyle w:val="table"/>
              <w:jc w:val="center"/>
            </w:pPr>
            <w:r w:rsidRPr="00500B88">
              <w:t>.30</w:t>
            </w:r>
          </w:p>
        </w:tc>
        <w:tc>
          <w:tcPr>
            <w:tcW w:w="900" w:type="dxa"/>
            <w:vAlign w:val="center"/>
          </w:tcPr>
          <w:p w14:paraId="5A96BD50" w14:textId="77777777" w:rsidR="00A30DBD" w:rsidRPr="00D85791" w:rsidRDefault="00000000" w:rsidP="002D69CC">
            <w:pPr>
              <w:pStyle w:val="table"/>
              <w:jc w:val="center"/>
            </w:pPr>
            <w:r w:rsidRPr="00500B88">
              <w:t>270</w:t>
            </w:r>
          </w:p>
        </w:tc>
      </w:tr>
      <w:tr w:rsidR="00AA6907" w14:paraId="1FAF5B92" w14:textId="77777777" w:rsidTr="008902B8">
        <w:trPr>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D85791" w:rsidRDefault="00000000" w:rsidP="002D69CC">
            <w:pPr>
              <w:pStyle w:val="table"/>
              <w:jc w:val="center"/>
            </w:pPr>
            <w:r w:rsidRPr="00D85791">
              <w:t>1.01</w:t>
            </w:r>
          </w:p>
        </w:tc>
        <w:tc>
          <w:tcPr>
            <w:tcW w:w="950" w:type="dxa"/>
            <w:tcBorders>
              <w:bottom w:val="nil"/>
            </w:tcBorders>
            <w:vAlign w:val="center"/>
          </w:tcPr>
          <w:p w14:paraId="0CB3ACB4" w14:textId="77777777" w:rsidR="00A30DBD" w:rsidRPr="00D85791" w:rsidRDefault="00000000" w:rsidP="002D69CC">
            <w:pPr>
              <w:pStyle w:val="table"/>
              <w:jc w:val="center"/>
            </w:pPr>
            <w:r w:rsidRPr="00D85791">
              <w:t>8</w:t>
            </w:r>
          </w:p>
        </w:tc>
        <w:tc>
          <w:tcPr>
            <w:tcW w:w="900" w:type="dxa"/>
            <w:tcBorders>
              <w:bottom w:val="nil"/>
            </w:tcBorders>
            <w:vAlign w:val="center"/>
          </w:tcPr>
          <w:p w14:paraId="63F5244B" w14:textId="77777777" w:rsidR="00A30DBD" w:rsidRPr="00D85791" w:rsidRDefault="00000000" w:rsidP="007F7D0A">
            <w:pPr>
              <w:pStyle w:val="table"/>
              <w:tabs>
                <w:tab w:val="left" w:pos="444"/>
              </w:tabs>
              <w:jc w:val="center"/>
            </w:pPr>
            <w:r w:rsidRPr="00D85791">
              <w:t>8</w:t>
            </w:r>
          </w:p>
        </w:tc>
        <w:tc>
          <w:tcPr>
            <w:tcW w:w="630" w:type="dxa"/>
            <w:tcBorders>
              <w:bottom w:val="nil"/>
            </w:tcBorders>
            <w:vAlign w:val="center"/>
          </w:tcPr>
          <w:p w14:paraId="4E7E4635" w14:textId="77777777" w:rsidR="00A30DBD" w:rsidRPr="00D85791" w:rsidRDefault="00000000" w:rsidP="002D69CC">
            <w:pPr>
              <w:pStyle w:val="table"/>
              <w:jc w:val="center"/>
            </w:pPr>
            <w:r w:rsidRPr="00500B88">
              <w:t>.45</w:t>
            </w:r>
          </w:p>
        </w:tc>
        <w:tc>
          <w:tcPr>
            <w:tcW w:w="900" w:type="dxa"/>
            <w:tcBorders>
              <w:bottom w:val="nil"/>
            </w:tcBorders>
            <w:vAlign w:val="center"/>
          </w:tcPr>
          <w:p w14:paraId="5D584DD9" w14:textId="77777777" w:rsidR="00A30DBD" w:rsidRPr="00D85791" w:rsidRDefault="00000000" w:rsidP="002D69CC">
            <w:pPr>
              <w:pStyle w:val="table"/>
              <w:jc w:val="center"/>
            </w:pPr>
            <w:r w:rsidRPr="00500B88">
              <w:t>32</w:t>
            </w:r>
          </w:p>
        </w:tc>
      </w:tr>
      <w:tr w:rsidR="00AA6907"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EC00672" w14:textId="77777777" w:rsidR="00A30DBD" w:rsidRPr="00D85791" w:rsidRDefault="00000000" w:rsidP="002D69CC">
            <w:pPr>
              <w:pStyle w:val="table"/>
              <w:jc w:val="center"/>
            </w:pPr>
            <w:r w:rsidRPr="00D85791">
              <w:t>10</w:t>
            </w:r>
          </w:p>
        </w:tc>
        <w:tc>
          <w:tcPr>
            <w:tcW w:w="900" w:type="dxa"/>
            <w:tcBorders>
              <w:top w:val="nil"/>
              <w:bottom w:val="single" w:sz="4" w:space="0" w:color="auto"/>
            </w:tcBorders>
            <w:vAlign w:val="center"/>
          </w:tcPr>
          <w:p w14:paraId="57C43FF2" w14:textId="77777777" w:rsidR="00A30DBD" w:rsidRPr="00D85791" w:rsidRDefault="00000000" w:rsidP="007F7D0A">
            <w:pPr>
              <w:pStyle w:val="table"/>
              <w:tabs>
                <w:tab w:val="left" w:pos="444"/>
              </w:tabs>
              <w:jc w:val="center"/>
            </w:pPr>
            <w:r w:rsidRPr="00D85791">
              <w:t>10</w:t>
            </w:r>
          </w:p>
        </w:tc>
        <w:tc>
          <w:tcPr>
            <w:tcW w:w="630" w:type="dxa"/>
            <w:tcBorders>
              <w:top w:val="nil"/>
              <w:bottom w:val="single" w:sz="4" w:space="0" w:color="auto"/>
            </w:tcBorders>
            <w:vAlign w:val="center"/>
          </w:tcPr>
          <w:p w14:paraId="1ED5FC69"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1241054A" w14:textId="77777777" w:rsidR="00A30DBD" w:rsidRPr="00D85791" w:rsidRDefault="00000000" w:rsidP="002D69CC">
            <w:pPr>
              <w:pStyle w:val="table"/>
              <w:jc w:val="center"/>
            </w:pPr>
            <w:r w:rsidRPr="00500B88">
              <w:t>69</w:t>
            </w:r>
          </w:p>
        </w:tc>
      </w:tr>
      <w:tr w:rsidR="00AA6907"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1E11B0" w:rsidRDefault="00000000" w:rsidP="002D69CC">
            <w:pPr>
              <w:pStyle w:val="table"/>
              <w:jc w:val="left"/>
              <w:rPr>
                <w:i/>
                <w:iCs/>
              </w:rPr>
            </w:pPr>
            <w:r w:rsidRPr="001E11B0">
              <w:rPr>
                <w:i/>
                <w:iCs/>
              </w:rPr>
              <w:t xml:space="preserve">Notes: </w:t>
            </w:r>
          </w:p>
          <w:p w14:paraId="7787C7DC"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F0B3B1C"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effectsize R package</w:t>
            </w:r>
            <w:r>
              <w:t>’</w:t>
            </w:r>
            <w:r w:rsidRPr="00664B6B">
              <w:t xml:space="preserve">s </w:t>
            </w:r>
            <w:r>
              <w:t>‘</w:t>
            </w:r>
            <w:r w:rsidRPr="00664B6B">
              <w:t>r_to_d</w:t>
            </w:r>
            <w:r>
              <w:t>’</w:t>
            </w:r>
            <w:r w:rsidRPr="00664B6B">
              <w:t xml:space="preserve"> function.</w:t>
            </w:r>
          </w:p>
          <w:p w14:paraId="5CE76222" w14:textId="77777777" w:rsidR="00A30DBD" w:rsidRPr="00D85791" w:rsidRDefault="00000000" w:rsidP="002D69CC">
            <w:pPr>
              <w:pStyle w:val="table"/>
              <w:jc w:val="left"/>
            </w:pPr>
            <w:r>
              <w:t>*** Discrepancy between the result reported by Vahey et al. (2015) and the recalculated result</w:t>
            </w:r>
          </w:p>
        </w:tc>
      </w:tr>
    </w:tbl>
    <w:p w14:paraId="00510589" w14:textId="77777777" w:rsidR="00664B6B" w:rsidRDefault="00664B6B" w:rsidP="00EE79F9">
      <w:pPr>
        <w:ind w:firstLine="0"/>
      </w:pPr>
    </w:p>
    <w:p w14:paraId="3F4DF757" w14:textId="77777777" w:rsidR="000967B0" w:rsidRDefault="000967B0" w:rsidP="00EE79F9">
      <w:pPr>
        <w:ind w:firstLine="0"/>
      </w:pPr>
    </w:p>
    <w:p w14:paraId="2D16A2A5"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586A543B" w14:textId="77777777" w:rsidR="004F3E34" w:rsidRPr="00034410" w:rsidRDefault="00000000" w:rsidP="002B214D">
      <w:r w:rsidRPr="00034410">
        <w:t xml:space="preserve">Two of the variables </w:t>
      </w:r>
      <w:r>
        <w:t xml:space="preserve">in Equation 1 </w:t>
      </w:r>
      <w:r w:rsidRPr="00034410">
        <w:t>already have empirical estimates. First, Vahey et al.'s (2015) estimate of the observed correlation between the IRAP and criterion variables was</w:t>
      </w:r>
      <w:r w:rsidRPr="00034410">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034410">
        <w:t xml:space="preserve"> = .27) and test-retest (ICC</w:t>
      </w:r>
      <w:r w:rsidRPr="00034410">
        <w:rPr>
          <w:vertAlign w:val="subscript"/>
        </w:rPr>
        <w:t>2</w:t>
      </w:r>
      <w:r w:rsidRPr="00034410">
        <w:t xml:space="preserve"> = .18) are extremely low </w:t>
      </w:r>
      <w:r w:rsidRPr="00034410">
        <w:fldChar w:fldCharType="begin"/>
      </w:r>
      <w:r w:rsidRPr="00034410">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034410">
        <w:fldChar w:fldCharType="separate"/>
      </w:r>
      <w:r w:rsidRPr="00034410">
        <w:rPr>
          <w:noProof/>
        </w:rPr>
        <w:t>(Hussey &amp; Drake, 2020)</w:t>
      </w:r>
      <w:r w:rsidRPr="00034410">
        <w:fldChar w:fldCharType="end"/>
      </w:r>
      <w:r w:rsidRPr="00034410">
        <w:t>.</w:t>
      </w:r>
      <w:r>
        <w:rPr>
          <w:rStyle w:val="FootnoteReference"/>
        </w:rPr>
        <w:footnoteReference w:id="1"/>
      </w:r>
      <w:r w:rsidRPr="00034410">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034410">
        <w:t xml:space="preserve">). </w:t>
      </w:r>
      <w:proofErr w:type="gramStart"/>
      <w:r w:rsidR="00486207" w:rsidRPr="00034410">
        <w:t>Both of these</w:t>
      </w:r>
      <w:proofErr w:type="gramEnd"/>
      <w:r w:rsidR="00486207" w:rsidRPr="00034410">
        <w:t xml:space="preserve"> variables share the same constraint: as correlations, their value cannot be </w:t>
      </w:r>
      <w:r w:rsidR="00486207">
        <w:t>below -1 or above 1</w:t>
      </w:r>
      <w:r w:rsidR="00486207" w:rsidRPr="00034410">
        <w:t>.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0.90). This would imply that the lower limit of the IRAP’s true criterion validity after adjusting for measurement error is </w:t>
      </w:r>
      <w:r w:rsidR="00486207">
        <w:t xml:space="preserve">somewhere </w:t>
      </w:r>
      <w:r w:rsidR="00486207" w:rsidRPr="00034410">
        <w:t xml:space="preserve">between </w:t>
      </w:r>
      <w:r w:rsidR="00486207">
        <w:t xml:space="preserve">(a) </w:t>
      </w:r>
      <w:r w:rsidR="00486207" w:rsidRPr="00034410">
        <w:t xml:space="preserve">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.91 (when using the estimate</w:t>
      </w:r>
      <w:r w:rsidR="00486207">
        <w:t xml:space="preserve"> </w:t>
      </w:r>
      <w:r w:rsidR="00486207" w:rsidRPr="00034410">
        <w:t xml:space="preserve">of internal consistency), </w:t>
      </w:r>
      <w:r w:rsidR="00486207">
        <w:t>and</w:t>
      </w:r>
      <w:r w:rsidR="00486207" w:rsidRPr="00034410">
        <w:t xml:space="preserve"> </w:t>
      </w:r>
      <w:r w:rsidR="00486207">
        <w:t xml:space="preserve">(b) </w:t>
      </w:r>
      <w:r w:rsidR="00486207" w:rsidRPr="00034410">
        <w:t xml:space="preserve">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1.12 (when using the estimate of test-retest</w:t>
      </w:r>
      <w:r w:rsidR="00486207">
        <w:t xml:space="preserve"> reliability</w:t>
      </w:r>
      <w:r w:rsidR="00486207" w:rsidRPr="00034410">
        <w:t xml:space="preserve">).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1.04 or 1.27 respectively). </w:t>
      </w:r>
    </w:p>
    <w:p w14:paraId="022E2F6F" w14:textId="77777777" w:rsidR="004F3E34" w:rsidRDefault="00000000" w:rsidP="004F3E34">
      <w:r w:rsidRPr="00034410">
        <w:t>Given that these estimates range between highly implausible and impossible, something appears to be amiss. Either Vahey et al.</w:t>
      </w:r>
      <w:r>
        <w:t>’</w:t>
      </w:r>
      <w:r w:rsidRPr="00034410">
        <w:t xml:space="preserve"> s (2015) estimate of average criterion associations is somewhere between highly </w:t>
      </w:r>
      <w:r w:rsidRPr="00034410">
        <w:t xml:space="preserve">implausible and mathematically impossible given the IRAP's reliability (i.e., assuming Hussey &amp; Drake 2020 are right about </w:t>
      </w:r>
      <w:r>
        <w:t xml:space="preserve">the IRAP’s </w:t>
      </w:r>
      <w:r w:rsidRPr="00034410">
        <w:t>reliability), or Hussey &amp; Drake's (2020) estimates of the IRAP's average reliability is implausibly low given the IRAP's high criterion validity (i.e., assuming Vahey et al.</w:t>
      </w:r>
      <w:r>
        <w:t>,</w:t>
      </w:r>
      <w:r w:rsidRPr="00034410">
        <w:t xml:space="preserve"> 2015</w:t>
      </w:r>
      <w:r>
        <w:t>,</w:t>
      </w:r>
      <w:r w:rsidRPr="00034410">
        <w:t xml:space="preserve"> are right about </w:t>
      </w:r>
      <w:r>
        <w:t xml:space="preserve">the IRAP’s criterion </w:t>
      </w:r>
      <w:r w:rsidRPr="00034410">
        <w:t xml:space="preserve">validity). Ultimately it will be up to the </w:t>
      </w:r>
      <w:r>
        <w:t xml:space="preserve">research </w:t>
      </w:r>
      <w:r w:rsidRPr="00034410">
        <w:t>community to determine whether our analyses in Hussey &amp; Drake (2020) are sound, and we provide</w:t>
      </w:r>
      <w:r>
        <w:t>d</w:t>
      </w:r>
      <w:r w:rsidRPr="00034410">
        <w:t xml:space="preserve"> open data and code to aid others in inspecting our work for errors. Because I am confident in </w:t>
      </w:r>
      <w:r>
        <w:t xml:space="preserve">our results reported there, I am instead </w:t>
      </w:r>
      <w:r w:rsidRPr="00034410">
        <w:t>motivated to inspect Vahey et al.</w:t>
      </w:r>
      <w:r>
        <w:t>’</w:t>
      </w:r>
      <w:r w:rsidRPr="00034410">
        <w:t xml:space="preserve">s (2015) data and analyses to determine if the issue lies there instead.  </w:t>
      </w:r>
    </w:p>
    <w:p w14:paraId="40DE5A30" w14:textId="77777777" w:rsidR="00404694" w:rsidRPr="00034410" w:rsidRDefault="00000000" w:rsidP="00404694">
      <w:pPr>
        <w:pStyle w:val="Heading1"/>
      </w:pPr>
      <w:r w:rsidRPr="00034410">
        <w:t>Method &amp; Results</w:t>
      </w:r>
    </w:p>
    <w:p w14:paraId="2D36CB5E" w14:textId="77777777" w:rsidR="00404694" w:rsidRPr="00034410" w:rsidRDefault="00000000" w:rsidP="00404694">
      <w:r w:rsidRPr="00034410">
        <w:t xml:space="preserve">Vahey et al. (2015) reported the steps in their analyses in the conventional order: they identified effect sizes in the original article, applied inclusion and exclusion </w:t>
      </w:r>
    </w:p>
    <w:p w14:paraId="2A249D28" w14:textId="77777777" w:rsidR="00F2404A" w:rsidRPr="00CA0A9B" w:rsidRDefault="00000000" w:rsidP="005F0161">
      <w:pPr>
        <w:ind w:firstLine="0"/>
      </w:pPr>
      <w:r w:rsidRPr="00034410">
        <w:t xml:space="preserve">criteria, extracted them, converted them to Pearson’s </w:t>
      </w:r>
      <w:r w:rsidRPr="00034410">
        <w:rPr>
          <w:i/>
          <w:iCs/>
        </w:rPr>
        <w:t>r</w:t>
      </w:r>
      <w:r w:rsidRPr="00034410">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w:t>
      </w:r>
      <w:r>
        <w:t>re-extract</w:t>
      </w:r>
      <w:r w:rsidRPr="00034410">
        <w:t xml:space="preserve">ed individual effect sizes. </w:t>
      </w:r>
    </w:p>
    <w:p w14:paraId="59ADD05C" w14:textId="77777777" w:rsidR="005F0161" w:rsidRDefault="00000000" w:rsidP="005F0161">
      <w:pPr>
        <w:ind w:firstLine="0"/>
        <w:rPr>
          <w:b/>
          <w:bCs/>
        </w:rPr>
      </w:pPr>
      <w:r w:rsidRPr="00C842F7">
        <w:rPr>
          <w:b/>
          <w:bCs/>
        </w:rPr>
        <w:t>Transparency statement</w:t>
      </w:r>
    </w:p>
    <w:p w14:paraId="7C1F488A" w14:textId="77777777" w:rsidR="00F940A0" w:rsidRPr="00034410" w:rsidRDefault="00000000" w:rsidP="005F0161">
      <w:r w:rsidRPr="00C842F7">
        <w:t>All data, code, and formulae (e.g., to convert effect sizes) to reproduce the verification and extension analyses can be found in the supplementary materials</w:t>
      </w:r>
      <w:r>
        <w:t xml:space="preserve"> (</w:t>
      </w:r>
      <w:r w:rsidR="00B33C2E" w:rsidRPr="00034410">
        <w:t xml:space="preserve">see </w:t>
      </w:r>
      <w:hyperlink r:id="rId11" w:history="1">
        <w:r w:rsidR="00A634B8" w:rsidRPr="00034410">
          <w:rPr>
            <w:rStyle w:val="Hyperlink"/>
          </w:rPr>
          <w:t>osf.io/jg8td</w:t>
        </w:r>
      </w:hyperlink>
      <w:r w:rsidR="00B33C2E" w:rsidRPr="00034410">
        <w:t xml:space="preserve">). </w:t>
      </w:r>
      <w:r w:rsidR="00380E3E" w:rsidRPr="00034410">
        <w:t xml:space="preserve">In the process of conducting this </w:t>
      </w:r>
      <w:r w:rsidR="00380E3E" w:rsidRPr="00034410">
        <w:lastRenderedPageBreak/>
        <w:t xml:space="preserve">verification attempt, I contacted the corresponding author of Vahey et al. (2015) and requested that they share their code or further details of their </w:t>
      </w:r>
      <w:r w:rsidR="00586996" w:rsidRPr="00034410">
        <w:t>analytic approach</w:t>
      </w:r>
      <w:r w:rsidR="00380E3E" w:rsidRPr="00034410">
        <w:t xml:space="preserve">, who declined. </w:t>
      </w:r>
      <w:r w:rsidR="002D2566" w:rsidRPr="00034410">
        <w:t xml:space="preserve">In July 2019, </w:t>
      </w:r>
      <w:r w:rsidR="00380E3E" w:rsidRPr="00034410">
        <w:t>I shared a copy of an earlier version of th</w:t>
      </w:r>
      <w:r w:rsidR="00F21238" w:rsidRPr="00034410">
        <w:t>ese</w:t>
      </w:r>
      <w:r w:rsidR="00380E3E" w:rsidRPr="00034410">
        <w:t xml:space="preserve"> verification attempt</w:t>
      </w:r>
      <w:r w:rsidR="00F21238" w:rsidRPr="00034410">
        <w:t>s with the corresponding author</w:t>
      </w:r>
      <w:r w:rsidR="00380E3E" w:rsidRPr="00034410">
        <w:t xml:space="preserve">, including code, data, and a set of slides outlining my concerns about </w:t>
      </w:r>
      <w:r w:rsidR="002D2566" w:rsidRPr="00034410">
        <w:t>the credibility of their findings</w:t>
      </w:r>
      <w:r w:rsidR="00380E3E" w:rsidRPr="00034410">
        <w:t xml:space="preserve">. </w:t>
      </w:r>
      <w:r w:rsidR="00F21238" w:rsidRPr="00034410">
        <w:t xml:space="preserve">I </w:t>
      </w:r>
      <w:r w:rsidR="007D4DD0" w:rsidRPr="00034410">
        <w:t xml:space="preserve">have </w:t>
      </w:r>
      <w:r w:rsidR="00F21238" w:rsidRPr="00034410">
        <w:t>received n</w:t>
      </w:r>
      <w:r w:rsidR="00380E3E" w:rsidRPr="00034410">
        <w:t xml:space="preserve">o contact from the </w:t>
      </w:r>
      <w:r w:rsidR="00E6539D" w:rsidRPr="00034410">
        <w:t xml:space="preserve">corresponding </w:t>
      </w:r>
      <w:r w:rsidR="00380E3E" w:rsidRPr="00034410">
        <w:t>author since then</w:t>
      </w:r>
      <w:r w:rsidR="00FC0551" w:rsidRPr="00034410">
        <w:t xml:space="preserve">. No corrections of Vahey et al. (2015) have been issued at the time of writing (July 2024), and to the best of my knowledge, the authors of Vahey et al. (2015) have made no public statements about these concerns about the credibility of their findings. </w:t>
      </w:r>
      <w:r w:rsidR="008D3041" w:rsidRPr="00034410">
        <w:t xml:space="preserve">Even </w:t>
      </w:r>
      <w:r w:rsidR="00612DC2">
        <w:t>five</w:t>
      </w:r>
      <w:r w:rsidR="008D3041" w:rsidRPr="00034410">
        <w:t xml:space="preserve"> years after I initially raised these concerns, the senior author of Vahey et al. (2015) has continued to cite the article favorably as evidence for the IRAP's validity </w:t>
      </w:r>
      <w:r w:rsidR="008D3041" w:rsidRPr="00034410">
        <w:fldChar w:fldCharType="begin"/>
      </w:r>
      <w:r w:rsidR="000E284E">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8D3041" w:rsidRPr="00034410">
        <w:fldChar w:fldCharType="separate"/>
      </w:r>
      <w:r w:rsidR="008D3041" w:rsidRPr="00034410">
        <w:rPr>
          <w:noProof/>
        </w:rPr>
        <w:t>(e.g., Barnes-Holmes &amp; Harte, 2022a, 2022b)</w:t>
      </w:r>
      <w:r w:rsidR="008D3041" w:rsidRPr="00034410">
        <w:fldChar w:fldCharType="end"/>
      </w:r>
      <w:r w:rsidR="008D3041" w:rsidRPr="00034410">
        <w:t>.</w:t>
      </w:r>
      <w:r w:rsidR="00366912" w:rsidRPr="00034410">
        <w:t xml:space="preserve"> </w:t>
      </w:r>
    </w:p>
    <w:p w14:paraId="572EBE48" w14:textId="77777777" w:rsidR="00B95E95" w:rsidRPr="00034410" w:rsidRDefault="00000000" w:rsidP="00034410">
      <w:pPr>
        <w:pStyle w:val="Heading2"/>
      </w:pPr>
      <w:r w:rsidRPr="00034410">
        <w:t>Power analyses</w:t>
      </w:r>
    </w:p>
    <w:p w14:paraId="3746BC6E" w14:textId="77777777" w:rsidR="00B63051" w:rsidRDefault="00000000" w:rsidP="00F862D8">
      <w:r w:rsidRPr="00034410">
        <w:t xml:space="preserve">Details of the power analyses conducted by Vahey et al. (2015) were extracted. This included the meta-effect size used (i.e., using point estimate or lower bound </w:t>
      </w:r>
      <w:r w:rsidR="00BE42D5">
        <w:t>Confidence Interval</w:t>
      </w:r>
      <w:r w:rsidRPr="00034410">
        <w:t xml:space="preserve">, following Perugini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-test), the direction of hypothesis (one-sided vs. two-sided)</w:t>
      </w:r>
      <w:r w:rsidR="009D6E04" w:rsidRPr="00034410">
        <w:t xml:space="preserve">, and the </w:t>
      </w:r>
      <w:r w:rsidR="00D566E1" w:rsidRPr="00034410">
        <w:t>recommended</w:t>
      </w:r>
      <w:r w:rsidR="009D6E04" w:rsidRPr="00034410">
        <w:t xml:space="preserve"> sample size (i.e., the result of the test).</w:t>
      </w:r>
      <w:r w:rsidRPr="00034410">
        <w:t xml:space="preserve"> Verification tests were </w:t>
      </w:r>
      <w:r w:rsidRPr="00B6073F">
        <w:t xml:space="preserve">performed using the </w:t>
      </w:r>
      <w:r w:rsidR="00D36B5A" w:rsidRPr="00B6073F">
        <w:t>pwr</w:t>
      </w:r>
      <w:r w:rsidRPr="00B6073F">
        <w:t xml:space="preserve"> R library</w:t>
      </w:r>
      <w:r w:rsidR="003A49F2" w:rsidRPr="00B6073F">
        <w:t xml:space="preserve"> </w:t>
      </w:r>
      <w:r w:rsidR="00DE6104" w:rsidRPr="00B6073F">
        <w:fldChar w:fldCharType="begin"/>
      </w:r>
      <w:r w:rsidR="00DE6104"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00DE6104" w:rsidRPr="00B6073F">
        <w:fldChar w:fldCharType="separate"/>
      </w:r>
      <w:r w:rsidR="00DE6104" w:rsidRPr="00B6073F">
        <w:rPr>
          <w:noProof/>
        </w:rPr>
        <w:t>(Champely, 2016)</w:t>
      </w:r>
      <w:r w:rsidR="00DE6104" w:rsidRPr="00B6073F">
        <w:fldChar w:fldCharType="end"/>
      </w:r>
      <w:r w:rsidRPr="00B6073F">
        <w:t xml:space="preserve">. </w:t>
      </w:r>
      <w:r w:rsidR="005151B9" w:rsidRPr="00B6073F">
        <w:t xml:space="preserve">Table </w:t>
      </w:r>
      <w:r w:rsidR="00D568BD" w:rsidRPr="00B6073F">
        <w:t>1</w:t>
      </w:r>
      <w:r w:rsidR="005151B9" w:rsidRPr="00B6073F">
        <w:t xml:space="preserve"> contains </w:t>
      </w:r>
      <w:r w:rsidR="000C5051" w:rsidRPr="00B6073F">
        <w:t>the</w:t>
      </w:r>
      <w:r w:rsidR="00AA6455" w:rsidRPr="00B6073F">
        <w:t xml:space="preserve"> </w:t>
      </w:r>
      <w:r w:rsidR="0011275B" w:rsidRPr="00B6073F">
        <w:t>results</w:t>
      </w:r>
      <w:r w:rsidR="00AA6455" w:rsidRPr="00B6073F">
        <w:t xml:space="preserve"> of </w:t>
      </w:r>
      <w:r w:rsidR="0011275B" w:rsidRPr="00B6073F">
        <w:t xml:space="preserve">both the </w:t>
      </w:r>
      <w:r w:rsidR="005151B9" w:rsidRPr="00B6073F">
        <w:t>power analyses reported</w:t>
      </w:r>
      <w:r w:rsidR="005151B9" w:rsidRPr="00034410">
        <w:t xml:space="preserve"> by Vahey et al. (2015) and </w:t>
      </w:r>
      <w:r w:rsidR="0011275B">
        <w:t xml:space="preserve">those of the </w:t>
      </w:r>
      <w:r w:rsidR="005151B9" w:rsidRPr="00034410">
        <w:t>verification analyses</w:t>
      </w:r>
      <w:r w:rsidR="00AA6455" w:rsidRPr="00034410">
        <w:t xml:space="preserve">. </w:t>
      </w:r>
      <w:r w:rsidR="00ED76E7" w:rsidRPr="00034410">
        <w:t xml:space="preserve">As can be seen in the table, </w:t>
      </w:r>
      <w:r w:rsidR="00ED5CE9" w:rsidRPr="00034410">
        <w:t>Vahey et al.’s (2015)</w:t>
      </w:r>
      <w:r w:rsidR="00ED76E7" w:rsidRPr="00034410">
        <w:t xml:space="preserve"> sample size recommendations </w:t>
      </w:r>
      <w:r w:rsidR="00DC3D10" w:rsidRPr="00034410">
        <w:t xml:space="preserve">were found to be </w:t>
      </w:r>
      <w:r w:rsidR="00ED76E7" w:rsidRPr="00034410">
        <w:t>computationally reproducible</w:t>
      </w:r>
      <w:r w:rsidR="00DC3D10" w:rsidRPr="00034410">
        <w:t xml:space="preserve"> when their meta-analytic effect size was used</w:t>
      </w:r>
      <w:r w:rsidR="00573174">
        <w:t xml:space="preserve">, with one exception (difference </w:t>
      </w:r>
      <w:r w:rsidR="00573174" w:rsidRPr="00573174">
        <w:rPr>
          <w:i/>
          <w:iCs/>
        </w:rPr>
        <w:t>N</w:t>
      </w:r>
      <w:r w:rsidR="009258DB">
        <w:t xml:space="preserve"> =</w:t>
      </w:r>
      <w:r w:rsidR="00573174">
        <w:t xml:space="preserve"> </w:t>
      </w:r>
      <w:r w:rsidR="00532F48">
        <w:t>36 vs. 34</w:t>
      </w:r>
      <w:r w:rsidR="00573174">
        <w:t>).</w:t>
      </w:r>
    </w:p>
    <w:p w14:paraId="2FB78D7F" w14:textId="77777777" w:rsidR="00FF5FBB" w:rsidRDefault="00FF5FBB" w:rsidP="00F862D8"/>
    <w:p w14:paraId="2FBC0A31" w14:textId="77777777" w:rsidR="00FF5FBB" w:rsidRDefault="00000000" w:rsidP="00FF5FBB">
      <w:pPr>
        <w:ind w:firstLine="0"/>
        <w:rPr>
          <w:b/>
          <w:bCs/>
        </w:rPr>
      </w:pPr>
      <w:r w:rsidRPr="005357A0">
        <w:rPr>
          <w:b/>
          <w:bCs/>
        </w:rPr>
        <w:t xml:space="preserve">Figure 1. Weighted-mean effect sizes and their 95% </w:t>
      </w:r>
      <w:r>
        <w:rPr>
          <w:b/>
          <w:bCs/>
        </w:rPr>
        <w:t>Confidence Intervals</w:t>
      </w:r>
      <w:r w:rsidRPr="005357A0">
        <w:rPr>
          <w:b/>
          <w:bCs/>
        </w:rPr>
        <w:t xml:space="preserve"> extracted from Vahey et al.’s (2015</w:t>
      </w:r>
      <w:r w:rsidR="00170C4C">
        <w:rPr>
          <w:b/>
          <w:bCs/>
        </w:rPr>
        <w:t>, Figure 1</w:t>
      </w:r>
      <w:r w:rsidRPr="005357A0">
        <w:rPr>
          <w:b/>
          <w:bCs/>
        </w:rPr>
        <w:t>) forest plot.</w:t>
      </w:r>
    </w:p>
    <w:p w14:paraId="5BDFD776" w14:textId="77777777" w:rsidR="00FF5FBB" w:rsidRPr="005357A0" w:rsidRDefault="00000000" w:rsidP="00FF5FBB">
      <w:pPr>
        <w:ind w:firstLine="0"/>
        <w:rPr>
          <w:b/>
          <w:bCs/>
        </w:rPr>
      </w:pPr>
      <w:r>
        <w:rPr>
          <w:b/>
          <w:bCs/>
          <w:noProof/>
        </w:rPr>
        <w:drawing>
          <wp:inline distT="0" distB="0" distL="0" distR="0" wp14:anchorId="2827662E" wp14:editId="0A87C73C">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3559A5A8" w14:textId="77777777" w:rsidR="00FF5FBB" w:rsidRPr="00F862D8" w:rsidRDefault="00FF5FBB" w:rsidP="00FF5FBB">
      <w:pPr>
        <w:ind w:firstLine="0"/>
      </w:pPr>
    </w:p>
    <w:p w14:paraId="4B34E510" w14:textId="77777777" w:rsidR="00E40521" w:rsidRDefault="00000000" w:rsidP="00034410">
      <w:pPr>
        <w:pStyle w:val="Heading2"/>
      </w:pPr>
      <w:r w:rsidRPr="00034410">
        <w:t>Meta-analysis</w:t>
      </w:r>
    </w:p>
    <w:p w14:paraId="47447825" w14:textId="77777777" w:rsidR="0017243A" w:rsidRPr="0017243A" w:rsidRDefault="00000000" w:rsidP="0017243A">
      <w:pPr>
        <w:pStyle w:val="Heading3"/>
      </w:pPr>
      <w:r>
        <w:t>Issues with the meta-analysis</w:t>
      </w:r>
      <w:r w:rsidR="00AA71D9">
        <w:t xml:space="preserve"> </w:t>
      </w:r>
      <w:r w:rsidR="000521C2">
        <w:t>results</w:t>
      </w:r>
    </w:p>
    <w:p w14:paraId="28C1F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 xml:space="preserve">and CR) and </w:t>
      </w:r>
      <w:r w:rsidR="00637EF6" w:rsidRPr="00034410">
        <w:t>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77777777"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modeling approaches.</w:t>
      </w:r>
    </w:p>
    <w:p w14:paraId="29FA3B24" w14:textId="77777777" w:rsidR="00F862D8" w:rsidRDefault="00F862D8" w:rsidP="00F862D8"/>
    <w:p w14:paraId="7FBB98EF" w14:textId="77777777" w:rsidR="00F862D8" w:rsidRPr="00F862D8" w:rsidRDefault="00000000" w:rsidP="00F862D8">
      <w:pPr>
        <w:ind w:firstLine="0"/>
        <w:rPr>
          <w:b/>
          <w:bCs/>
        </w:rPr>
      </w:pPr>
      <w:r w:rsidRPr="00F862D8">
        <w:rPr>
          <w:b/>
          <w:bCs/>
        </w:rPr>
        <w:t xml:space="preserve">Figure </w:t>
      </w:r>
      <w:r w:rsidR="00157B0C">
        <w:rPr>
          <w:b/>
          <w:bCs/>
        </w:rPr>
        <w:t>2</w:t>
      </w:r>
      <w:r w:rsidRPr="00F862D8">
        <w:rPr>
          <w:b/>
          <w:bCs/>
        </w:rPr>
        <w:t xml:space="preserve">. </w:t>
      </w:r>
      <w:r w:rsidR="00B21A2E">
        <w:rPr>
          <w:b/>
          <w:bCs/>
        </w:rPr>
        <w:t xml:space="preserve">Discrepancies between the data in </w:t>
      </w:r>
      <w:r w:rsidR="00C55C2C">
        <w:rPr>
          <w:b/>
          <w:bCs/>
        </w:rPr>
        <w:t>Vahey et al.’s (2015)</w:t>
      </w:r>
      <w:r w:rsidR="00B21A2E">
        <w:rPr>
          <w:b/>
          <w:bCs/>
        </w:rPr>
        <w:t xml:space="preserve"> forest plot</w:t>
      </w:r>
      <w:r w:rsidR="00C55C2C">
        <w:rPr>
          <w:b/>
          <w:bCs/>
        </w:rPr>
        <w:t xml:space="preserve"> (their Figure 1) vs. funnel plot (their Figure 2)</w:t>
      </w:r>
      <w:r w:rsidR="00B21A2E">
        <w:rPr>
          <w:b/>
          <w:bCs/>
        </w:rPr>
        <w:t xml:space="preserve">. </w:t>
      </w:r>
    </w:p>
    <w:p w14:paraId="5AE70641" w14:textId="77777777" w:rsidR="00F862D8" w:rsidRDefault="00000000" w:rsidP="00F862D8">
      <w:pPr>
        <w:ind w:firstLine="0"/>
      </w:pPr>
      <w:r>
        <w:rPr>
          <w:noProof/>
        </w:rPr>
        <w:drawing>
          <wp:inline distT="0" distB="0" distL="0" distR="0" wp14:anchorId="15F2F814" wp14:editId="2523E25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E7C7FF" w14:textId="77777777" w:rsidR="00B21A2E" w:rsidRPr="00C55C2C" w:rsidRDefault="00000000"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35F0806B" w14:textId="77777777" w:rsidR="00367018" w:rsidRDefault="00367018" w:rsidP="00F862D8">
      <w:pPr>
        <w:pStyle w:val="Heading3"/>
      </w:pPr>
    </w:p>
    <w:p w14:paraId="667B493C" w14:textId="77777777" w:rsidR="00C34F86" w:rsidRPr="0017243A" w:rsidRDefault="00000000" w:rsidP="00C34F86">
      <w:pPr>
        <w:pStyle w:val="Heading3"/>
      </w:pPr>
      <w:r>
        <w:t>Issues with the original effect sizes’ Confidence Intervals</w:t>
      </w:r>
    </w:p>
    <w:p w14:paraId="22B55DC3" w14:textId="77777777" w:rsidR="00C34F86" w:rsidRDefault="00000000" w:rsidP="00C34F86">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w:t>
      </w:r>
      <w:r>
        <w:lastRenderedPageBreak/>
        <w:t xml:space="preserve">sizes are labeled as representing weighted </w:t>
      </w:r>
      <w:r w:rsidRPr="00DC4226">
        <w:rPr>
          <w:i/>
          <w:iCs/>
        </w:rPr>
        <w:t>r</w:t>
      </w:r>
      <w:r>
        <w:t xml:space="preserve"> values and its Confidence Intervals. As such, the confidence intervals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F862D8">
      <w:pPr>
        <w:pStyle w:val="Heading3"/>
      </w:pPr>
      <w:r>
        <w:t>Data in the f</w:t>
      </w:r>
      <w:r w:rsidRPr="00F862D8">
        <w:t>unnel plot</w:t>
      </w:r>
      <w:r>
        <w:t xml:space="preserve"> does not match the forest plot</w:t>
      </w:r>
    </w:p>
    <w:p w14:paraId="3E5BD437" w14:textId="77777777" w:rsidR="00F862D8" w:rsidRDefault="00000000" w:rsidP="00F862D8">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w:t>
      </w:r>
      <w:proofErr w:type="gramStart"/>
      <w:r>
        <w:t>in light of</w:t>
      </w:r>
      <w:proofErr w:type="gramEnd"/>
      <w:r>
        <w:t xml:space="preserve">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63E915D3" w14:textId="77777777" w:rsidR="00C4623D" w:rsidRPr="00C4623D" w:rsidRDefault="00000000" w:rsidP="00297052">
      <w:pPr>
        <w:pStyle w:val="Heading3"/>
      </w:pPr>
      <w:r w:rsidRPr="00F862D8">
        <w:t>Implementation of the meta-analysis</w:t>
      </w:r>
    </w:p>
    <w:p w14:paraId="7FF7234E" w14:textId="77777777" w:rsidR="00297052" w:rsidRDefault="00000000" w:rsidP="00013124">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47125781" w14:textId="77777777" w:rsidR="00055607" w:rsidRDefault="00000000" w:rsidP="004423C2">
      <w:r>
        <w:t xml:space="preserve">Field &amp; Gillett (2010) describe two different ways of conducting meta-analyses: a Hedges </w:t>
      </w:r>
      <w:r w:rsidR="00013124">
        <w:t xml:space="preserve">and </w:t>
      </w:r>
      <w:proofErr w:type="gramStart"/>
      <w:r w:rsidR="00013124">
        <w:t>colleagues</w:t>
      </w:r>
      <w:proofErr w:type="gramEnd"/>
      <w:r w:rsidR="00013124">
        <w:t xml:space="preserve"> </w:t>
      </w:r>
      <w:r>
        <w:t xml:space="preserve">style “basic” meta-analysis and a Hunter and Schmidt style psychometric meta-analysis. Despite Vahey et al. (2015) stating that they applied the Hunter and </w:t>
      </w:r>
      <w:r>
        <w:t>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“Meta_Basic_r.sps” and “h_s syntax.sps”.</w:t>
      </w:r>
      <w:r w:rsidR="004423C2">
        <w:t xml:space="preserve"> To complicate things, both scripts contain code to produce a Hunter and Schmidt style meta-analysis, with the former also producing a Hedges and </w:t>
      </w:r>
      <w:proofErr w:type="gramStart"/>
      <w:r w:rsidR="004423C2">
        <w:t>colleagues</w:t>
      </w:r>
      <w:proofErr w:type="gramEnd"/>
      <w:r w:rsidR="004423C2">
        <w:t xml:space="preserve"> style ‘basic’ meta-analysis. Table 2 catalogs the metrics reported in Vahey et al. (2015) and those nominally calculated by the scripts, based on an inspection of their code.</w:t>
      </w:r>
      <w:r w:rsidR="00391970">
        <w:t xml:space="preserve"> Table 2 illustrates that neither script’s features (e.g., use of corrections, transformations, and reliability estimates) nor outputs (point estimates and types of intervals, which I discuss in detail later) correspond with the results reported in Vahey et al. (2015). </w:t>
      </w:r>
    </w:p>
    <w:p w14:paraId="25B3C68F" w14:textId="77777777" w:rsidR="00055607" w:rsidRDefault="00000000" w:rsidP="00055607">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w:t>
      </w:r>
      <w:proofErr w:type="gramStart"/>
      <w:r>
        <w:t>), and</w:t>
      </w:r>
      <w:proofErr w:type="gramEnd"/>
      <w:r>
        <w:t xml:space="preserve"> reported both Confidence Intervals and Credibility Intervals. In contrast, </w:t>
      </w:r>
      <w:r w:rsidRPr="00A035CD">
        <w:t>“h_s syntax.sps” script</w:t>
      </w:r>
      <w:r>
        <w:t>’s Hunter and Schmidt style meta-analysis</w:t>
      </w:r>
      <w:r w:rsidRPr="00A035CD">
        <w:t xml:space="preserve"> does </w:t>
      </w:r>
      <w:r>
        <w:t xml:space="preserve">not </w:t>
      </w:r>
      <w:r w:rsidRPr="00A035CD">
        <w:t>calculate Confidence Intervals</w:t>
      </w:r>
      <w:r>
        <w:t xml:space="preserve">; </w:t>
      </w:r>
      <w:r w:rsidRPr="00A035CD">
        <w:t>the “Meta_Basic_R.sps” script</w:t>
      </w:r>
      <w:r>
        <w:t xml:space="preserve">’s </w:t>
      </w:r>
      <w:r w:rsidRPr="00A035CD">
        <w:t>Hunter &amp; Schmidt style meta-analys</w:t>
      </w:r>
      <w:r>
        <w:t>i</w:t>
      </w:r>
      <w:r w:rsidRPr="00A035CD">
        <w:t xml:space="preserve">s </w:t>
      </w:r>
      <w:r>
        <w:t xml:space="preserve">does not report Confidence Intervals; and its Hedges and </w:t>
      </w:r>
      <w:proofErr w:type="gramStart"/>
      <w:r>
        <w:t>colleagues</w:t>
      </w:r>
      <w:proofErr w:type="gramEnd"/>
      <w:r>
        <w:t xml:space="preserve"> style meta-analysis does not use </w:t>
      </w:r>
      <w:r w:rsidRPr="00055607">
        <w:t xml:space="preserve">Fisher’s </w:t>
      </w:r>
      <w:r w:rsidRPr="00055607">
        <w:rPr>
          <w:i/>
          <w:iCs/>
        </w:rPr>
        <w:t>r</w:t>
      </w:r>
      <w:r w:rsidRPr="00055607">
        <w:t>-to-</w:t>
      </w:r>
      <w:r w:rsidRPr="00055607">
        <w:rPr>
          <w:i/>
          <w:iCs/>
        </w:rPr>
        <w:t>z</w:t>
      </w:r>
      <w:r>
        <w:t xml:space="preserve"> transformations or report Credibility Intervals. In addition to this, the </w:t>
      </w:r>
      <w:r w:rsidRPr="00A035CD">
        <w:t>“h_s syntax.sps” scri</w:t>
      </w:r>
      <w:r>
        <w:t xml:space="preserve">pt requires </w:t>
      </w:r>
      <w:r w:rsidRPr="00A035CD">
        <w:t xml:space="preserve">the </w:t>
      </w:r>
      <w:r>
        <w:t xml:space="preserve">researcher </w:t>
      </w:r>
      <w:r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xml:space="preserve">) </w:t>
      </w:r>
      <w:proofErr w:type="gramStart"/>
      <w:r w:rsidRPr="00A035CD">
        <w:t>in order to</w:t>
      </w:r>
      <w:proofErr w:type="gramEnd"/>
      <w:r w:rsidRPr="00A035CD">
        <w:t xml:space="preserve"> correct the effect sizes for attenuation. Vahey et al. (2015) did not report extracting or using reliability estimates in this way in their article or supplementary materials.</w:t>
      </w:r>
      <w:r>
        <w:t xml:space="preserve"> </w:t>
      </w:r>
    </w:p>
    <w:p w14:paraId="7CD5157E" w14:textId="77777777" w:rsidR="004423C2" w:rsidRDefault="00000000" w:rsidP="002D765F">
      <w:r>
        <w:t>Based on th</w:t>
      </w:r>
      <w:r w:rsidR="0083414A">
        <w:t>ese facts</w:t>
      </w:r>
      <w:r>
        <w:t xml:space="preserve">,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15A66FCC" w14:textId="77777777" w:rsidR="002D765F" w:rsidRDefault="00000000" w:rsidP="002D765F">
      <w:proofErr w:type="gramStart"/>
      <w:r w:rsidRPr="00034410">
        <w:t>In light of</w:t>
      </w:r>
      <w:proofErr w:type="gramEnd"/>
      <w:r w:rsidRPr="00034410">
        <w:t xml:space="preserve"> this, I therefore altered the implementations in multiple ways in order to attempt to reproduce Vahey et al.’s (2015) results. </w:t>
      </w:r>
      <w:r>
        <w:t>The code used to implement each verification attempt, notes on what was modified from the 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2D1BA3AD" w14:textId="77777777" w:rsidR="00442CE7" w:rsidRDefault="00000000">
      <w:pPr>
        <w:ind w:firstLine="0"/>
        <w:jc w:val="left"/>
        <w:rPr>
          <w:b/>
          <w:bCs/>
        </w:rPr>
      </w:pPr>
      <w:r>
        <w:br w:type="page"/>
      </w:r>
    </w:p>
    <w:p w14:paraId="1862F107" w14:textId="77777777" w:rsidR="00442CE7" w:rsidRDefault="00442CE7" w:rsidP="00391E0E">
      <w:pPr>
        <w:pStyle w:val="Heading3"/>
        <w:sectPr w:rsidR="00442CE7" w:rsidSect="008153E3">
          <w:type w:val="continuous"/>
          <w:pgSz w:w="11900" w:h="16840"/>
          <w:pgMar w:top="1440" w:right="1440" w:bottom="1440" w:left="1440" w:header="709" w:footer="709" w:gutter="0"/>
          <w:cols w:num="2" w:space="340"/>
          <w:titlePg/>
          <w:docGrid w:linePitch="360"/>
          <w15:footnoteColumns w:val="1"/>
        </w:sectPr>
      </w:pPr>
    </w:p>
    <w:p w14:paraId="26C55078" w14:textId="77777777" w:rsidR="00442CE7" w:rsidRPr="00772DE7" w:rsidRDefault="00000000" w:rsidP="00442CE7">
      <w:pPr>
        <w:ind w:firstLine="0"/>
        <w:jc w:val="left"/>
        <w:rPr>
          <w:rFonts w:eastAsia="MS Mincho"/>
          <w:b/>
          <w:bCs/>
          <w:color w:val="auto"/>
          <w:kern w:val="2"/>
          <w:sz w:val="16"/>
          <w:szCs w:val="16"/>
          <w:lang w:val=""/>
          <w14:ligatures w14:val="standardContextual"/>
        </w:rPr>
      </w:pPr>
      <w:r w:rsidRPr="00772DE7">
        <w:rPr>
          <w:rFonts w:eastAsia="MS Mincho"/>
          <w:b/>
          <w:bCs/>
          <w:color w:val="auto"/>
          <w:kern w:val="2"/>
          <w:sz w:val="16"/>
          <w:szCs w:val="16"/>
          <w:lang w:val=""/>
          <w14:ligatures w14:val="standardContextual"/>
        </w:rPr>
        <w:lastRenderedPageBreak/>
        <w:t xml:space="preserve">Table </w:t>
      </w:r>
      <w:r>
        <w:rPr>
          <w:rFonts w:eastAsia="MS Mincho"/>
          <w:b/>
          <w:bCs/>
          <w:color w:val="auto"/>
          <w:kern w:val="2"/>
          <w:sz w:val="16"/>
          <w:szCs w:val="16"/>
          <w:lang w:val=""/>
          <w14:ligatures w14:val="standardContextual"/>
        </w:rPr>
        <w:t>2</w:t>
      </w:r>
      <w:r w:rsidRPr="00772DE7">
        <w:rPr>
          <w:rFonts w:eastAsia="MS Mincho"/>
          <w:b/>
          <w:bCs/>
          <w:color w:val="auto"/>
          <w:kern w:val="2"/>
          <w:sz w:val="16"/>
          <w:szCs w:val="16"/>
          <w:lang w:val=""/>
          <w14:ligatures w14:val="standardContextual"/>
        </w:rPr>
        <w:t xml:space="preserve">. Alignment between the results reported in Vahey et al. (2015) and Field’s SPSS scripts accompanying Field &amp; Gillett (2010) </w:t>
      </w:r>
    </w:p>
    <w:p w14:paraId="7AACC489" w14:textId="77777777" w:rsidR="00442CE7" w:rsidRDefault="00442CE7" w:rsidP="00442CE7">
      <w:pPr>
        <w:ind w:firstLine="0"/>
        <w:jc w:val="left"/>
        <w:rPr>
          <w:rFonts w:eastAsia="MS Mincho"/>
          <w:color w:val="auto"/>
          <w:kern w:val="2"/>
          <w:sz w:val="16"/>
          <w:szCs w:val="16"/>
          <w:lang w:val=""/>
          <w14:ligatures w14:val="standardContextual"/>
        </w:rPr>
        <w:sectPr w:rsidR="00442CE7" w:rsidSect="00442CE7">
          <w:pgSz w:w="16840" w:h="11900" w:orient="landscape"/>
          <w:pgMar w:top="1440" w:right="1440" w:bottom="1440" w:left="1440" w:header="709" w:footer="709" w:gutter="0"/>
          <w:cols w:space="340"/>
          <w:titlePg/>
          <w:docGrid w:linePitch="360"/>
          <w15:footnoteColumns w:val="1"/>
        </w:sectPr>
      </w:pPr>
    </w:p>
    <w:p w14:paraId="50FCBDC5" w14:textId="77777777" w:rsidR="00442CE7" w:rsidRPr="007C5953" w:rsidRDefault="00442CE7" w:rsidP="00442CE7">
      <w:pPr>
        <w:ind w:firstLine="0"/>
        <w:jc w:val="left"/>
        <w:rPr>
          <w:rFonts w:eastAsia="MS Mincho"/>
          <w:color w:val="auto"/>
          <w:kern w:val="2"/>
          <w:sz w:val="16"/>
          <w:szCs w:val="16"/>
          <w:lang w:val=""/>
          <w14:ligatures w14:val="standardContextual"/>
        </w:rPr>
      </w:pPr>
    </w:p>
    <w:tbl>
      <w:tblPr>
        <w:tblStyle w:val="TableGrid1"/>
        <w:tblW w:w="11070" w:type="dxa"/>
        <w:jc w:val="center"/>
        <w:tblLayout w:type="fixed"/>
        <w:tblLook w:val="04A0" w:firstRow="1" w:lastRow="0" w:firstColumn="1" w:lastColumn="0" w:noHBand="0" w:noVBand="1"/>
      </w:tblPr>
      <w:tblGrid>
        <w:gridCol w:w="6559"/>
        <w:gridCol w:w="538"/>
        <w:gridCol w:w="538"/>
        <w:gridCol w:w="717"/>
        <w:gridCol w:w="1728"/>
        <w:gridCol w:w="990"/>
      </w:tblGrid>
      <w:tr w:rsidR="00AA6907" w14:paraId="6206B657" w14:textId="77777777" w:rsidTr="00442CE7">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7C5953" w:rsidRDefault="00000000" w:rsidP="002D69CC">
            <w:pPr>
              <w:ind w:firstLine="0"/>
              <w:jc w:val="left"/>
              <w:rPr>
                <w:rFonts w:eastAsia="MS Mincho"/>
                <w:color w:val="auto"/>
                <w:sz w:val="16"/>
                <w:szCs w:val="16"/>
              </w:rPr>
            </w:pPr>
            <w:r>
              <w:rPr>
                <w:rFonts w:eastAsia="MS Mincho"/>
                <w:color w:val="auto"/>
                <w:sz w:val="16"/>
                <w:szCs w:val="16"/>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7C5953" w:rsidRDefault="00000000" w:rsidP="002D69CC">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CRs</w:t>
            </w:r>
          </w:p>
        </w:tc>
        <w:tc>
          <w:tcPr>
            <w:tcW w:w="1728" w:type="dxa"/>
            <w:tcBorders>
              <w:top w:val="single" w:sz="4" w:space="0" w:color="auto"/>
              <w:left w:val="nil"/>
              <w:bottom w:val="single" w:sz="4" w:space="0" w:color="auto"/>
              <w:right w:val="nil"/>
            </w:tcBorders>
            <w:vAlign w:val="center"/>
          </w:tcPr>
          <w:p w14:paraId="3DD8D38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Adjustments &amp; Transformations</w:t>
            </w:r>
          </w:p>
        </w:tc>
        <w:tc>
          <w:tcPr>
            <w:tcW w:w="990" w:type="dxa"/>
            <w:tcBorders>
              <w:top w:val="single" w:sz="4" w:space="0" w:color="auto"/>
              <w:left w:val="nil"/>
              <w:bottom w:val="single" w:sz="4" w:space="0" w:color="auto"/>
              <w:right w:val="nil"/>
            </w:tcBorders>
            <w:vAlign w:val="center"/>
          </w:tcPr>
          <w:p w14:paraId="423764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Employs reliability estimates</w:t>
            </w:r>
          </w:p>
        </w:tc>
      </w:tr>
      <w:tr w:rsidR="00AA6907" w14:paraId="3ED524EC" w14:textId="77777777" w:rsidTr="00442CE7">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single" w:sz="4" w:space="0" w:color="auto"/>
              <w:left w:val="nil"/>
              <w:bottom w:val="nil"/>
              <w:right w:val="nil"/>
            </w:tcBorders>
            <w:shd w:val="clear" w:color="auto" w:fill="D9D9D9"/>
            <w:vAlign w:val="center"/>
          </w:tcPr>
          <w:p w14:paraId="25564C4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Likely </w:t>
            </w:r>
          </w:p>
          <w:p w14:paraId="7AB9AB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w:t>
            </w:r>
          </w:p>
        </w:tc>
        <w:tc>
          <w:tcPr>
            <w:tcW w:w="990" w:type="dxa"/>
            <w:tcBorders>
              <w:top w:val="single" w:sz="4" w:space="0" w:color="auto"/>
              <w:left w:val="nil"/>
              <w:bottom w:val="nil"/>
              <w:right w:val="nil"/>
            </w:tcBorders>
            <w:shd w:val="clear" w:color="auto" w:fill="D9D9D9"/>
            <w:vAlign w:val="center"/>
          </w:tcPr>
          <w:p w14:paraId="3FE4928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13C30C7A" w14:textId="77777777" w:rsidTr="00442CE7">
        <w:trPr>
          <w:trHeight w:val="550"/>
          <w:jc w:val="center"/>
        </w:trPr>
        <w:tc>
          <w:tcPr>
            <w:tcW w:w="6559" w:type="dxa"/>
            <w:tcBorders>
              <w:top w:val="nil"/>
              <w:left w:val="nil"/>
              <w:bottom w:val="nil"/>
              <w:right w:val="nil"/>
            </w:tcBorders>
            <w:vAlign w:val="center"/>
            <w:hideMark/>
          </w:tcPr>
          <w:p w14:paraId="11F64535"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hideMark/>
          </w:tcPr>
          <w:p w14:paraId="6A4D41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D9D9D9"/>
            <w:noWrap/>
            <w:vAlign w:val="center"/>
            <w:hideMark/>
          </w:tcPr>
          <w:p w14:paraId="30D9EC3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3348A459" w14:textId="77777777" w:rsidR="00442CE7" w:rsidRPr="007C5953" w:rsidRDefault="00000000" w:rsidP="002D69CC">
            <w:pPr>
              <w:ind w:firstLine="0"/>
              <w:jc w:val="center"/>
              <w:rPr>
                <w:rFonts w:eastAsia="MS Mincho"/>
                <w:color w:val="auto"/>
                <w:sz w:val="16"/>
                <w:szCs w:val="16"/>
                <w:highlight w:val="yellow"/>
              </w:rPr>
            </w:pPr>
            <w:r w:rsidRPr="007C5953">
              <w:rPr>
                <w:rFonts w:eastAsia="MS Mincho"/>
                <w:color w:val="auto"/>
                <w:sz w:val="16"/>
                <w:szCs w:val="16"/>
              </w:rPr>
              <w:t>No</w:t>
            </w:r>
          </w:p>
        </w:tc>
        <w:tc>
          <w:tcPr>
            <w:tcW w:w="990" w:type="dxa"/>
            <w:tcBorders>
              <w:top w:val="nil"/>
              <w:left w:val="nil"/>
              <w:bottom w:val="nil"/>
              <w:right w:val="nil"/>
            </w:tcBorders>
            <w:vAlign w:val="center"/>
          </w:tcPr>
          <w:p w14:paraId="04D5A90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r>
      <w:tr w:rsidR="00AA6907" w14:paraId="0B5483F5" w14:textId="77777777" w:rsidTr="00442CE7">
        <w:trPr>
          <w:trHeight w:val="756"/>
          <w:jc w:val="center"/>
        </w:trPr>
        <w:tc>
          <w:tcPr>
            <w:tcW w:w="6559" w:type="dxa"/>
            <w:tcBorders>
              <w:top w:val="nil"/>
              <w:left w:val="nil"/>
              <w:bottom w:val="nil"/>
              <w:right w:val="nil"/>
            </w:tcBorders>
            <w:vAlign w:val="center"/>
            <w:hideMark/>
          </w:tcPr>
          <w:p w14:paraId="3CC25300"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w:t>
            </w:r>
            <w:r>
              <w:rPr>
                <w:rFonts w:eastAsia="MS Mincho"/>
                <w:color w:val="auto"/>
                <w:sz w:val="16"/>
                <w:szCs w:val="16"/>
              </w:rPr>
              <w:t xml:space="preserve">’s </w:t>
            </w:r>
            <w:r w:rsidRPr="007C5953">
              <w:rPr>
                <w:rFonts w:eastAsia="MS Mincho"/>
                <w:color w:val="auto"/>
                <w:sz w:val="16"/>
                <w:szCs w:val="16"/>
              </w:rPr>
              <w:t>“Meta_Basic_r.sps”</w:t>
            </w:r>
          </w:p>
        </w:tc>
        <w:tc>
          <w:tcPr>
            <w:tcW w:w="538" w:type="dxa"/>
            <w:tcBorders>
              <w:top w:val="nil"/>
              <w:left w:val="nil"/>
              <w:bottom w:val="nil"/>
              <w:right w:val="nil"/>
            </w:tcBorders>
            <w:shd w:val="clear" w:color="auto" w:fill="D9D9D9"/>
            <w:vAlign w:val="center"/>
            <w:hideMark/>
          </w:tcPr>
          <w:p w14:paraId="05F707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vAlign w:val="center"/>
            <w:hideMark/>
          </w:tcPr>
          <w:p w14:paraId="70D69F0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nil"/>
              <w:right w:val="nil"/>
            </w:tcBorders>
            <w:shd w:val="clear" w:color="auto" w:fill="D9D9D9"/>
            <w:noWrap/>
            <w:vAlign w:val="center"/>
            <w:hideMark/>
          </w:tcPr>
          <w:p w14:paraId="74A0459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439B38A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4D852E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for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w:r w:rsidRPr="007C5953">
              <w:rPr>
                <w:rFonts w:eastAsia="MS Mincho"/>
                <w:color w:val="auto"/>
                <w:sz w:val="16"/>
                <w:szCs w:val="16"/>
              </w:rPr>
              <w:t xml:space="preserve"> but not CRs</w:t>
            </w:r>
          </w:p>
        </w:tc>
        <w:tc>
          <w:tcPr>
            <w:tcW w:w="990" w:type="dxa"/>
            <w:tcBorders>
              <w:top w:val="nil"/>
              <w:left w:val="nil"/>
              <w:bottom w:val="nil"/>
              <w:right w:val="nil"/>
            </w:tcBorders>
            <w:shd w:val="clear" w:color="auto" w:fill="D9D9D9"/>
            <w:vAlign w:val="center"/>
          </w:tcPr>
          <w:p w14:paraId="69F23127"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06FD9358" w14:textId="77777777" w:rsidTr="00442CE7">
        <w:trPr>
          <w:trHeight w:val="756"/>
          <w:jc w:val="center"/>
        </w:trPr>
        <w:tc>
          <w:tcPr>
            <w:tcW w:w="6559" w:type="dxa"/>
            <w:tcBorders>
              <w:top w:val="nil"/>
              <w:left w:val="nil"/>
              <w:bottom w:val="nil"/>
              <w:right w:val="nil"/>
            </w:tcBorders>
            <w:vAlign w:val="center"/>
          </w:tcPr>
          <w:p w14:paraId="4456F8DD"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Hedges and colleagues meta-analysis via Field</w:t>
            </w:r>
            <w:r>
              <w:rPr>
                <w:rFonts w:eastAsia="MS Mincho"/>
                <w:color w:val="auto"/>
                <w:sz w:val="16"/>
                <w:szCs w:val="16"/>
              </w:rPr>
              <w:t>’s</w:t>
            </w:r>
            <w:r w:rsidRPr="007C5953">
              <w:rPr>
                <w:rFonts w:eastAsia="MS Mincho"/>
                <w:color w:val="auto"/>
                <w:sz w:val="16"/>
                <w:szCs w:val="16"/>
              </w:rPr>
              <w:t xml:space="preserve"> “Meta_Basic_r.sps”</w:t>
            </w:r>
          </w:p>
        </w:tc>
        <w:tc>
          <w:tcPr>
            <w:tcW w:w="538" w:type="dxa"/>
            <w:tcBorders>
              <w:top w:val="nil"/>
              <w:left w:val="nil"/>
              <w:bottom w:val="nil"/>
              <w:right w:val="nil"/>
            </w:tcBorders>
            <w:shd w:val="clear" w:color="auto" w:fill="D9D9D9"/>
            <w:vAlign w:val="center"/>
          </w:tcPr>
          <w:p w14:paraId="57960C3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tcPr>
          <w:p w14:paraId="325FF406"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auto"/>
            <w:noWrap/>
            <w:vAlign w:val="center"/>
          </w:tcPr>
          <w:p w14:paraId="262153B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1728" w:type="dxa"/>
            <w:tcBorders>
              <w:top w:val="nil"/>
              <w:left w:val="nil"/>
              <w:bottom w:val="nil"/>
              <w:right w:val="nil"/>
            </w:tcBorders>
            <w:shd w:val="clear" w:color="auto" w:fill="auto"/>
            <w:vAlign w:val="center"/>
          </w:tcPr>
          <w:p w14:paraId="679441A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DA899A3"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nil"/>
              <w:right w:val="nil"/>
            </w:tcBorders>
            <w:shd w:val="clear" w:color="auto" w:fill="D9D9D9"/>
            <w:vAlign w:val="center"/>
          </w:tcPr>
          <w:p w14:paraId="081ACB8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5B4697E8" w14:textId="77777777" w:rsidTr="00442CE7">
        <w:trPr>
          <w:trHeight w:val="720"/>
          <w:jc w:val="center"/>
        </w:trPr>
        <w:tc>
          <w:tcPr>
            <w:tcW w:w="6559" w:type="dxa"/>
            <w:tcBorders>
              <w:top w:val="nil"/>
              <w:left w:val="nil"/>
              <w:bottom w:val="single" w:sz="4" w:space="0" w:color="auto"/>
              <w:right w:val="nil"/>
            </w:tcBorders>
            <w:vAlign w:val="center"/>
          </w:tcPr>
          <w:p w14:paraId="490A4007"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 xml:space="preserve">Hunter &amp; Schmidt meta-analysis via </w:t>
            </w:r>
            <w:r>
              <w:rPr>
                <w:rFonts w:eastAsia="MS Mincho"/>
                <w:color w:val="auto"/>
                <w:sz w:val="16"/>
                <w:szCs w:val="16"/>
              </w:rPr>
              <w:t xml:space="preserve">a modification of </w:t>
            </w:r>
            <w:r w:rsidRPr="007C5953">
              <w:rPr>
                <w:rFonts w:eastAsia="MS Mincho"/>
                <w:color w:val="auto"/>
                <w:sz w:val="16"/>
                <w:szCs w:val="16"/>
              </w:rPr>
              <w:t>Field</w:t>
            </w:r>
            <w:r>
              <w:rPr>
                <w:rFonts w:eastAsia="MS Mincho"/>
                <w:color w:val="auto"/>
                <w:sz w:val="16"/>
                <w:szCs w:val="16"/>
              </w:rPr>
              <w:t xml:space="preserve">’s </w:t>
            </w:r>
            <w:r w:rsidRPr="007C5953">
              <w:rPr>
                <w:rFonts w:eastAsia="MS Mincho"/>
                <w:color w:val="auto"/>
                <w:sz w:val="16"/>
                <w:szCs w:val="16"/>
              </w:rPr>
              <w:t>"Meta_Basic_r.sps" to remove apparently erroneous Overton correction</w:t>
            </w:r>
            <w:r>
              <w:rPr>
                <w:rFonts w:eastAsia="MS Mincho"/>
                <w:color w:val="auto"/>
                <w:sz w:val="16"/>
                <w:szCs w:val="16"/>
              </w:rPr>
              <w:t>**</w:t>
            </w:r>
          </w:p>
        </w:tc>
        <w:tc>
          <w:tcPr>
            <w:tcW w:w="538" w:type="dxa"/>
            <w:tcBorders>
              <w:top w:val="nil"/>
              <w:left w:val="nil"/>
              <w:bottom w:val="single" w:sz="4" w:space="0" w:color="auto"/>
              <w:right w:val="nil"/>
            </w:tcBorders>
            <w:shd w:val="clear" w:color="auto" w:fill="D9D9D9"/>
            <w:vAlign w:val="center"/>
          </w:tcPr>
          <w:p w14:paraId="29473B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single" w:sz="4" w:space="0" w:color="auto"/>
              <w:right w:val="nil"/>
            </w:tcBorders>
            <w:vAlign w:val="center"/>
          </w:tcPr>
          <w:p w14:paraId="2CB1AB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single" w:sz="4" w:space="0" w:color="auto"/>
              <w:right w:val="nil"/>
            </w:tcBorders>
            <w:shd w:val="clear" w:color="auto" w:fill="D9D9D9"/>
            <w:vAlign w:val="center"/>
          </w:tcPr>
          <w:p w14:paraId="039A037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single" w:sz="4" w:space="0" w:color="auto"/>
              <w:right w:val="nil"/>
            </w:tcBorders>
            <w:shd w:val="clear" w:color="auto" w:fill="D9D9D9"/>
            <w:vAlign w:val="center"/>
          </w:tcPr>
          <w:p w14:paraId="4684448C"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7F54B5BD" w14:textId="77777777" w:rsidTr="00442CE7">
        <w:trPr>
          <w:trHeight w:val="1845"/>
          <w:jc w:val="center"/>
        </w:trPr>
        <w:tc>
          <w:tcPr>
            <w:tcW w:w="11070" w:type="dxa"/>
            <w:gridSpan w:val="6"/>
            <w:tcBorders>
              <w:top w:val="single" w:sz="4" w:space="0" w:color="auto"/>
              <w:left w:val="nil"/>
              <w:bottom w:val="nil"/>
              <w:right w:val="nil"/>
            </w:tcBorders>
            <w:vAlign w:val="center"/>
          </w:tcPr>
          <w:p w14:paraId="3E3E9272" w14:textId="77777777" w:rsidR="00442CE7" w:rsidRPr="007C5953" w:rsidRDefault="00000000" w:rsidP="002D69CC">
            <w:pPr>
              <w:ind w:firstLine="0"/>
              <w:jc w:val="left"/>
              <w:rPr>
                <w:rFonts w:eastAsia="MS Mincho"/>
                <w:color w:val="auto"/>
                <w:sz w:val="16"/>
                <w:szCs w:val="16"/>
              </w:rPr>
            </w:pPr>
            <w:r w:rsidRPr="007C5953">
              <w:rPr>
                <w:rFonts w:eastAsia="MS Mincho"/>
                <w:i/>
                <w:iCs/>
                <w:color w:val="auto"/>
                <w:sz w:val="16"/>
                <w:szCs w:val="16"/>
              </w:rPr>
              <w:t>Notes:</w:t>
            </w:r>
            <w:r>
              <w:rPr>
                <w:rFonts w:eastAsia="MS Mincho"/>
                <w:i/>
                <w:iCs/>
                <w:color w:val="auto"/>
                <w:sz w:val="16"/>
                <w:szCs w:val="16"/>
              </w:rPr>
              <w:t xml:space="preserve"> </w:t>
            </w:r>
            <w:r w:rsidRPr="007C5953">
              <w:rPr>
                <w:rFonts w:eastAsia="MS Mincho"/>
                <w:color w:val="auto"/>
                <w:sz w:val="16"/>
                <w:szCs w:val="16"/>
              </w:rPr>
              <w:t>Shaded cells match the requirements to be capable of producing the same type of output as reported in Vahey et al. (2015), agnostic to whether the numerical results match those reported in Vahey et al. (2015).</w:t>
            </w:r>
            <w:r>
              <w:rPr>
                <w:rFonts w:eastAsia="MS Mincho"/>
                <w:color w:val="auto"/>
                <w:sz w:val="16"/>
                <w:szCs w:val="16"/>
              </w:rPr>
              <w:t xml:space="preserve"> </w:t>
            </w:r>
          </w:p>
          <w:p w14:paraId="0185003A" w14:textId="77777777" w:rsidR="00442CE7" w:rsidRDefault="00000000" w:rsidP="002D69CC">
            <w:pPr>
              <w:ind w:firstLine="0"/>
              <w:jc w:val="left"/>
              <w:rPr>
                <w:rFonts w:eastAsia="MS Mincho"/>
                <w:color w:val="auto"/>
                <w:sz w:val="16"/>
                <w:szCs w:val="16"/>
              </w:rPr>
            </w:pPr>
            <w:r w:rsidRPr="007C5953">
              <w:rPr>
                <w:rFonts w:eastAsia="MS Mincho"/>
                <w:color w:val="auto"/>
                <w:sz w:val="16"/>
                <w:szCs w:val="16"/>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transformed values; and the method they state they followed employs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transformations.</w:t>
            </w:r>
          </w:p>
          <w:p w14:paraId="66665841" w14:textId="77777777" w:rsidR="00442CE7" w:rsidRPr="004375D6" w:rsidRDefault="00000000" w:rsidP="002D69CC">
            <w:pPr>
              <w:ind w:firstLine="0"/>
              <w:jc w:val="left"/>
              <w:rPr>
                <w:rFonts w:eastAsia="MS Mincho"/>
                <w:color w:val="auto"/>
                <w:sz w:val="16"/>
                <w:szCs w:val="16"/>
              </w:rPr>
            </w:pPr>
            <w:r>
              <w:rPr>
                <w:rFonts w:eastAsia="MS Mincho"/>
                <w:color w:val="auto"/>
                <w:sz w:val="16"/>
                <w:szCs w:val="16"/>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FCD1030"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28F2FD4C"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0CEC09D4"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5641CCDA" w14:textId="77777777" w:rsidR="00442CE7" w:rsidRPr="007C5953" w:rsidRDefault="00442CE7" w:rsidP="00442CE7">
      <w:pPr>
        <w:ind w:firstLine="0"/>
        <w:jc w:val="left"/>
        <w:rPr>
          <w:rFonts w:eastAsia="MS Mincho"/>
          <w:i/>
          <w:iCs/>
          <w:color w:val="auto"/>
          <w:kern w:val="2"/>
          <w:sz w:val="16"/>
          <w:szCs w:val="16"/>
          <w:lang w:val=""/>
          <w14:ligatures w14:val="standardContextual"/>
        </w:rPr>
      </w:pPr>
    </w:p>
    <w:p w14:paraId="355CA1EF"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3DBD2664" w14:textId="77777777" w:rsidR="00442CE7" w:rsidRDefault="00442CE7" w:rsidP="00442CE7">
      <w:pPr>
        <w:ind w:firstLine="0"/>
        <w:jc w:val="left"/>
        <w:rPr>
          <w:rFonts w:eastAsia="MS Mincho"/>
          <w:b/>
          <w:bCs/>
          <w:color w:val="auto"/>
          <w:kern w:val="2"/>
          <w:sz w:val="16"/>
          <w:szCs w:val="16"/>
          <w:lang w:val=""/>
          <w14:ligatures w14:val="standardContextual"/>
        </w:rPr>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1C7698A1" w14:textId="77777777" w:rsidR="00442CE7" w:rsidRDefault="00000000" w:rsidP="00442CE7">
      <w:pPr>
        <w:ind w:firstLine="0"/>
        <w:jc w:val="left"/>
        <w:rPr>
          <w:rFonts w:eastAsia="MS Mincho"/>
          <w:b/>
          <w:bCs/>
          <w:color w:val="auto"/>
          <w:kern w:val="2"/>
          <w:sz w:val="16"/>
          <w:szCs w:val="16"/>
          <w:lang w:val=""/>
          <w14:ligatures w14:val="standardContextual"/>
        </w:rPr>
      </w:pPr>
      <w:r>
        <w:rPr>
          <w:rFonts w:eastAsia="MS Mincho"/>
          <w:b/>
          <w:bCs/>
          <w:color w:val="auto"/>
          <w:kern w:val="2"/>
          <w:sz w:val="16"/>
          <w:szCs w:val="16"/>
          <w:lang w:val=""/>
          <w14:ligatures w14:val="standardContextual"/>
        </w:rPr>
        <w:br w:type="page"/>
      </w:r>
    </w:p>
    <w:p w14:paraId="0CCA2B36" w14:textId="77777777" w:rsidR="00442CE7" w:rsidRDefault="00442CE7" w:rsidP="00442CE7">
      <w:pPr>
        <w:pStyle w:val="Heading3"/>
        <w:ind w:firstLine="0"/>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42E87E79" w14:textId="77777777" w:rsidR="00391E0E" w:rsidRPr="00034410" w:rsidRDefault="00000000" w:rsidP="00391E0E">
      <w:pPr>
        <w:pStyle w:val="Heading3"/>
      </w:pPr>
      <w:r w:rsidRPr="00034410">
        <w:lastRenderedPageBreak/>
        <w:t>Definition</w:t>
      </w:r>
      <w:r>
        <w:t>s</w:t>
      </w:r>
      <w:r w:rsidRPr="00034410">
        <w:t xml:space="preserve"> of </w:t>
      </w:r>
      <w:r>
        <w:t>different types of</w:t>
      </w:r>
      <w:r w:rsidRPr="00034410">
        <w:t xml:space="preserve"> intervals</w:t>
      </w:r>
    </w:p>
    <w:p w14:paraId="6C48C936" w14:textId="77777777" w:rsidR="00391E0E" w:rsidRDefault="00000000" w:rsidP="00391E0E">
      <w:r w:rsidRPr="00034410">
        <w:t xml:space="preserve">Vahey et al. (2015) report </w:t>
      </w:r>
      <w:r>
        <w:t xml:space="preserve">both Confidence Intervals (CI) and Credibility Intervals (CR which </w:t>
      </w:r>
      <w:r w:rsidRPr="00034410">
        <w:t xml:space="preserve">attempt to estimate the generalizability of the meta-effect size </w:t>
      </w:r>
      <w:r>
        <w:fldChar w:fldCharType="begin"/>
      </w:r>
      <w: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t xml:space="preserve">. </w:t>
      </w:r>
    </w:p>
    <w:p w14:paraId="3F5C13FA" w14:textId="77777777" w:rsidR="00391E0E" w:rsidRDefault="00000000" w:rsidP="00391E0E">
      <w:r w:rsidRPr="00034410">
        <w:t>Vahey et al. (2015) state that such “</w:t>
      </w:r>
      <w:r>
        <w:t>Credibility Interval</w:t>
      </w:r>
      <w:r w:rsidRPr="00034410">
        <w:t xml:space="preserve">s are generally wider and thus more conservative than corresponding </w:t>
      </w:r>
      <w:r>
        <w:t>Confidence Interval</w:t>
      </w:r>
      <w:r w:rsidRPr="00034410">
        <w:t>s” (p.61)</w:t>
      </w:r>
      <w:r>
        <w:t xml:space="preserve">, however, this is not the case: Confidence Intervals and Credibility Intervals have different estimands, and therefore the two have no correlation. Confidence Intervals quantify the precision of the estimate given sampling error (i.e., </w:t>
      </w:r>
      <w:r w:rsidRPr="00C41F31">
        <w:t xml:space="preserve">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41F31">
        <w:t xml:space="preserve">), whereas </w:t>
      </w:r>
      <w:r>
        <w:t>Credibility Intervals</w:t>
      </w:r>
      <w:r w:rsidRPr="00C41F31">
        <w:t xml:space="preserve">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41F31">
        <w:t>: see Field &amp; Gillett, 2010, equations 2, 3, 4, and 5). A third type of interval, Prediction Intervals (PI), take both into account and</w:t>
      </w:r>
      <w:r>
        <w:t xml:space="preserve"> are often reported for meta-analyses</w:t>
      </w:r>
      <w:r w:rsidRPr="00034410">
        <w:t xml:space="preserve"> </w:t>
      </w:r>
      <w:r>
        <w:t xml:space="preserve">(e.g.,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w:t>
      </w:r>
      <w:proofErr w:type="gramStart"/>
      <w:r>
        <w:t>actually calculated</w:t>
      </w:r>
      <w:proofErr w:type="gramEnd"/>
      <w:r>
        <w:t xml:space="preserve"> PIs but mislabelled them as Credibility Intervals. </w:t>
      </w:r>
      <w:proofErr w:type="gramStart"/>
      <w:r>
        <w:t>In order to</w:t>
      </w:r>
      <w:proofErr w:type="gramEnd"/>
      <w:r>
        <w:t xml:space="preserve"> attempt to resolve this for the purpose of verification, it is useful to define all three to highlight the differences between them: </w:t>
      </w:r>
    </w:p>
    <w:p w14:paraId="4A77454C" w14:textId="77777777" w:rsidR="00391E0E" w:rsidRPr="00073AA3" w:rsidRDefault="00391E0E" w:rsidP="00391E0E"/>
    <w:p w14:paraId="5CAA4887" w14:textId="77777777" w:rsidR="00391E0E" w:rsidRPr="00073AA3" w:rsidRDefault="00000000" w:rsidP="00391E0E">
      <m:oMathPara>
        <m:oMath>
          <m:eqArr>
            <m:eqArrPr>
              <m:maxDist m:val="1"/>
              <m:ctrlPr>
                <w:rPr>
                  <w:rFonts w:ascii="Cambria Math" w:hAnsi="Cambria Math"/>
                  <w:i/>
                  <w:sz w:val="20"/>
                  <w:szCs w:val="20"/>
                </w:rPr>
              </m:ctrlPr>
            </m:eqArrPr>
            <m:e>
              <m:r>
                <m:rPr>
                  <m:sty m:val="p"/>
                </m:rPr>
                <w:rPr>
                  <w:rFonts w:ascii="Cambria Math" w:hAnsi="Cambria Math"/>
                </w:rPr>
                <m:t>95% CI=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2</m:t>
                  </m:r>
                </m:e>
              </m:d>
              <m:ctrlPr>
                <w:rPr>
                  <w:rFonts w:ascii="Cambria Math" w:hAnsi="Cambria Math"/>
                  <w:i/>
                </w:rPr>
              </m:ctrlPr>
            </m:e>
          </m:eqArr>
        </m:oMath>
      </m:oMathPara>
    </w:p>
    <w:p w14:paraId="0BAD4DAB" w14:textId="77777777" w:rsidR="00391E0E" w:rsidRPr="00073AA3" w:rsidRDefault="00391E0E" w:rsidP="00391E0E">
      <w:pPr>
        <w:ind w:firstLine="0"/>
      </w:pPr>
    </w:p>
    <w:p w14:paraId="12895ECF" w14:textId="77777777" w:rsidR="00391E0E" w:rsidRPr="00073AA3" w:rsidRDefault="00000000" w:rsidP="00391E0E">
      <m:oMathPara>
        <m:oMath>
          <m:eqArr>
            <m:eqArrPr>
              <m:maxDist m:val="1"/>
              <m:ctrlPr>
                <w:rPr>
                  <w:rFonts w:ascii="Cambria Math" w:hAnsi="Cambria Math"/>
                  <w:i/>
                  <w:sz w:val="20"/>
                  <w:szCs w:val="20"/>
                </w:rPr>
              </m:ctrlPr>
            </m:eqArrPr>
            <m:e>
              <m:r>
                <m:rPr>
                  <m:sty m:val="p"/>
                </m:rPr>
                <w:rPr>
                  <w:rFonts w:ascii="Cambria Math" w:hAnsi="Cambria Math"/>
                </w:rPr>
                <m:t>95% CR=</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3</m:t>
                  </m:r>
                </m:e>
              </m:d>
              <m:ctrlPr>
                <w:rPr>
                  <w:rFonts w:ascii="Cambria Math" w:hAnsi="Cambria Math"/>
                  <w:i/>
                </w:rPr>
              </m:ctrlPr>
            </m:e>
          </m:eqArr>
        </m:oMath>
      </m:oMathPara>
    </w:p>
    <w:p w14:paraId="3B06DBD4" w14:textId="77777777" w:rsidR="00391E0E" w:rsidRPr="00073AA3" w:rsidRDefault="00391E0E" w:rsidP="00391E0E">
      <w:pPr>
        <w:ind w:firstLine="0"/>
      </w:pPr>
    </w:p>
    <w:p w14:paraId="112C2970" w14:textId="77777777" w:rsidR="00391E0E" w:rsidRPr="00073AA3" w:rsidRDefault="00000000" w:rsidP="00391E0E">
      <m:oMathPara>
        <m:oMath>
          <m:eqArr>
            <m:eqArrPr>
              <m:maxDist m:val="1"/>
              <m:ctrlPr>
                <w:rPr>
                  <w:rFonts w:ascii="Cambria Math" w:hAnsi="Cambria Math"/>
                  <w:i/>
                  <w:sz w:val="20"/>
                  <w:szCs w:val="20"/>
                </w:rPr>
              </m:ctrlPr>
            </m:eqArrPr>
            <m:e>
              <m:r>
                <m:rPr>
                  <m:sty m:val="p"/>
                </m:rPr>
                <w:rPr>
                  <w:rFonts w:ascii="Cambria Math" w:hAnsi="Cambria Math"/>
                </w:rPr>
                <m:t>95% PI=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4</m:t>
                  </m:r>
                </m:e>
              </m:d>
              <m:ctrlPr>
                <w:rPr>
                  <w:rFonts w:ascii="Cambria Math" w:hAnsi="Cambria Math"/>
                  <w:i/>
                </w:rPr>
              </m:ctrlPr>
            </m:e>
          </m:eqArr>
        </m:oMath>
      </m:oMathPara>
    </w:p>
    <w:p w14:paraId="663E63DC" w14:textId="77777777" w:rsidR="00391E0E" w:rsidRDefault="00391E0E" w:rsidP="00391E0E">
      <w:pPr>
        <w:ind w:firstLine="0"/>
      </w:pPr>
    </w:p>
    <w:p w14:paraId="0289D547" w14:textId="77777777" w:rsidR="00391E0E" w:rsidRPr="00073AA3" w:rsidRDefault="00391E0E" w:rsidP="00391E0E">
      <w:pPr>
        <w:ind w:firstLine="0"/>
      </w:pPr>
    </w:p>
    <w:p w14:paraId="7CC7BCE9" w14:textId="77777777" w:rsidR="00391E0E" w:rsidRPr="005A385D" w:rsidRDefault="00000000" w:rsidP="00391E0E">
      <w:r w:rsidRPr="00073AA3">
        <w:t xml:space="preserve">Where </w:t>
      </w:r>
      <m:oMath>
        <m:acc>
          <m:accPr>
            <m:chr m:val="̅"/>
            <m:ctrlPr>
              <w:rPr>
                <w:rFonts w:ascii="Cambria Math" w:hAnsi="Cambria Math"/>
                <w:i/>
              </w:rPr>
            </m:ctrlPr>
          </m:accPr>
          <m:e>
            <m:r>
              <w:rPr>
                <w:rFonts w:ascii="Cambria Math" w:hAnsi="Cambria Math"/>
              </w:rPr>
              <m:t>r</m:t>
            </m:r>
          </m:e>
        </m:acc>
      </m:oMath>
      <w:r w:rsidRPr="00073AA3">
        <w:t xml:space="preserve"> is the weighted</w:t>
      </w:r>
      <w:r w:rsidRPr="005A385D">
        <w:t xml:space="preserve">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5A385D">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5A385D">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5A385D">
        <w:t xml:space="preserve"> is the estimated between-study variance (heterogeneity). </w:t>
      </w:r>
    </w:p>
    <w:p w14:paraId="15A738BA" w14:textId="77777777" w:rsidR="00391E0E" w:rsidRPr="001B6144" w:rsidRDefault="00000000" w:rsidP="00391E0E">
      <w:r w:rsidRPr="005A385D">
        <w:t xml:space="preserve">An important point to appreciate regarding </w:t>
      </w:r>
      <w:r>
        <w:t>Credibility Intervals</w:t>
      </w:r>
      <w:r w:rsidRPr="005A385D">
        <w:t xml:space="preserve">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5A385D">
        <w:t xml:space="preserve"> = 0), the CR interval width will also be zero</w:t>
      </w:r>
      <w:r>
        <w:t xml:space="preserve">, as is the case in the results of the verification attempts reported later. </w:t>
      </w:r>
    </w:p>
    <w:p w14:paraId="4B37E833" w14:textId="77777777" w:rsidR="00391E0E" w:rsidRDefault="00000000" w:rsidP="00391E0E">
      <w:r w:rsidRPr="005A385D">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5A385D">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will be negative, and </w:t>
      </w:r>
      <w:r>
        <w:t>Credibility Interval</w:t>
      </w:r>
      <w:r w:rsidRPr="005A385D">
        <w:t xml:space="preserve">s cannot be calculated, as the square root of a negative number is </w:t>
      </w:r>
      <w:r w:rsidRPr="005A385D">
        <w:t xml:space="preserve">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to zero (see “h_s syntax.sps” script). In such cases, both the lower and upper bound of the </w:t>
      </w:r>
      <w:r>
        <w:t>Credibility Interval</w:t>
      </w:r>
      <w:r w:rsidRPr="005A385D">
        <w:t xml:space="preserve">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5A385D">
        <w:t xml:space="preserve">). This would represent an important case in which </w:t>
      </w:r>
      <w:r>
        <w:t>Confidence Interval</w:t>
      </w:r>
      <w:r w:rsidRPr="005A385D">
        <w:t xml:space="preserve">s are </w:t>
      </w:r>
      <w:r>
        <w:t xml:space="preserve">both </w:t>
      </w:r>
      <w:r w:rsidRPr="005A385D">
        <w:t xml:space="preserve">wider than </w:t>
      </w:r>
      <w:r>
        <w:t>Credibility Interval</w:t>
      </w:r>
      <w:r w:rsidRPr="005A385D">
        <w:t>s,</w:t>
      </w:r>
      <w:r>
        <w:t xml:space="preserve"> contrary to Vahey et al.'s (2015) claim</w:t>
      </w:r>
      <w:r w:rsidRPr="005A385D">
        <w:t xml:space="preserve"> and indeed </w:t>
      </w:r>
      <w:r>
        <w:t>where the Credibility Interval</w:t>
      </w:r>
      <w:r w:rsidRPr="005A385D">
        <w:t xml:space="preserve">s are implausibly </w:t>
      </w:r>
      <w:r>
        <w:t>narrow (i.e., 0)</w:t>
      </w:r>
      <w:r w:rsidRPr="005A385D">
        <w:t>.</w:t>
      </w:r>
    </w:p>
    <w:p w14:paraId="3AD3C1F2" w14:textId="77777777" w:rsidR="004E50FB" w:rsidRDefault="00000000" w:rsidP="004E50FB">
      <w:pPr>
        <w:pStyle w:val="Heading3"/>
      </w:pPr>
      <w:r w:rsidRPr="00034410">
        <w:t xml:space="preserve">Verification </w:t>
      </w:r>
      <w:proofErr w:type="gramStart"/>
      <w:r w:rsidRPr="00034410">
        <w:t>attempt</w:t>
      </w:r>
      <w:proofErr w:type="gramEnd"/>
      <w:r w:rsidRPr="00034410">
        <w:t xml:space="preserve"> 1</w:t>
      </w:r>
    </w:p>
    <w:p w14:paraId="68C43D73" w14:textId="77777777" w:rsidR="00391E0E" w:rsidRDefault="00000000" w:rsidP="00391E0E">
      <w:r w:rsidRPr="00034410">
        <w:t>The first verification attempt employed Field</w:t>
      </w:r>
      <w:r>
        <w:t>’s</w:t>
      </w:r>
      <w:r w:rsidRPr="00034410">
        <w:t xml:space="preserve"> “h_s syntax.sps” </w:t>
      </w:r>
      <w:r>
        <w:t xml:space="preserve">SPSS </w:t>
      </w:r>
      <w:r w:rsidRPr="00034410">
        <w:t>script</w:t>
      </w:r>
      <w:r w:rsidR="004E50FB">
        <w:t xml:space="preserve">. </w:t>
      </w:r>
      <w:r w:rsidRPr="00034410">
        <w:t xml:space="preserve">The </w:t>
      </w:r>
      <w:r>
        <w:t xml:space="preserve">default </w:t>
      </w:r>
      <w:r w:rsidRPr="00034410">
        <w:t xml:space="preserve">80% </w:t>
      </w:r>
      <w:r>
        <w:t>Credibility Interval</w:t>
      </w:r>
      <w:r w:rsidRPr="00034410">
        <w:t xml:space="preserve"> widths were changed to 95%</w:t>
      </w:r>
      <w:r>
        <w:t xml:space="preserve"> to match what was reported by </w:t>
      </w:r>
      <w:r w:rsidRPr="00034410">
        <w:t xml:space="preserve">Vahey et al. (2015). </w:t>
      </w:r>
    </w:p>
    <w:p w14:paraId="4B764B21" w14:textId="77777777" w:rsidR="00391E0E" w:rsidRDefault="00000000" w:rsidP="00391E0E">
      <w:r w:rsidRPr="00034410">
        <w:t xml:space="preserve">One other key assumption was made </w:t>
      </w:r>
      <w:proofErr w:type="gramStart"/>
      <w:r w:rsidRPr="00034410">
        <w:t>in order to</w:t>
      </w:r>
      <w:proofErr w:type="gramEnd"/>
      <w:r w:rsidRPr="00034410">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fldChar w:fldCharType="begin"/>
      </w:r>
      <w: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rsidRPr="00034410">
        <w:t xml:space="preserve">. </w:t>
      </w:r>
      <w:r w:rsidR="0082219F">
        <w:t>F</w:t>
      </w:r>
      <w:r>
        <w:t xml:space="preserve">or </w:t>
      </w:r>
      <w:r w:rsidRPr="00034410">
        <w:t xml:space="preserve">Field’s “h_s syntax.sps” script </w:t>
      </w:r>
      <w:r>
        <w:t xml:space="preserve">to run it </w:t>
      </w:r>
      <w:r w:rsidRPr="00034410">
        <w:t xml:space="preserve">requires the researcher to provide reliability values for </w:t>
      </w:r>
      <w:proofErr w:type="gramStart"/>
      <w:r>
        <w:t>both of the measures</w:t>
      </w:r>
      <w:proofErr w:type="gramEnd"/>
      <w:r>
        <w:t xml:space="preserve"> that produced </w:t>
      </w:r>
      <w:r w:rsidRPr="00034410">
        <w:t>each effect size.</w:t>
      </w:r>
      <w:r>
        <w:t xml:space="preserve"> Partially missing values </w:t>
      </w:r>
      <w:r w:rsidR="00CF6124">
        <w:t>can be</w:t>
      </w:r>
      <w:r>
        <w:t xml:space="preserve"> imputed via the mean, but at least some reliability values must be provided.</w:t>
      </w:r>
      <w:r w:rsidRPr="00034410">
        <w:t xml:space="preserve"> </w:t>
      </w:r>
      <w:r>
        <w:t xml:space="preserve">However, </w:t>
      </w:r>
      <w:r w:rsidRPr="00034410">
        <w:t>Vahey et al. (2015) do not report any extracting or estimating reliabilities or deattenuating the effect</w:t>
      </w:r>
      <w:r>
        <w:t xml:space="preserve"> sizes</w:t>
      </w:r>
      <w:r w:rsidRPr="00034410">
        <w:t xml:space="preserve"> based on them, and no reliability data is available in their manuscript or supplementary materials. In the absence of other information, I set the reliability for all variables to 1</w:t>
      </w:r>
      <w:r>
        <w:t>.0</w:t>
      </w:r>
      <w:r w:rsidRPr="00034410">
        <w:t xml:space="preserve"> </w:t>
      </w:r>
      <w:proofErr w:type="gramStart"/>
      <w:r w:rsidRPr="00034410">
        <w:t>in order to</w:t>
      </w:r>
      <w:proofErr w:type="gramEnd"/>
      <w:r w:rsidRPr="00034410">
        <w:t xml:space="preserve"> allow the script </w:t>
      </w:r>
      <w:r w:rsidRPr="00F31252">
        <w:t xml:space="preserve">to run. </w:t>
      </w:r>
    </w:p>
    <w:p w14:paraId="142D0F7A" w14:textId="77777777" w:rsidR="006D6D3F" w:rsidRPr="006D6D3F" w:rsidRDefault="00000000" w:rsidP="006D6D3F">
      <w:pPr>
        <w:rPr>
          <w:iCs/>
        </w:rPr>
      </w:pPr>
      <w:r>
        <w:t>T</w:t>
      </w:r>
      <w:r w:rsidRPr="00034410">
        <w:t xml:space="preserve">his verification attempt did not reproduce the original results for </w:t>
      </w:r>
      <w:r>
        <w:t xml:space="preserve">the </w:t>
      </w:r>
      <w:r w:rsidRPr="00034410">
        <w:t xml:space="preserve">point estimate, </w:t>
      </w:r>
      <w:r>
        <w:t>Confidence Interval</w:t>
      </w:r>
      <w:r w:rsidRPr="00034410">
        <w:t xml:space="preserve">, or </w:t>
      </w:r>
      <w:r>
        <w:t>Credibility Interval</w:t>
      </w:r>
      <w:r w:rsidR="00B336F4">
        <w:t xml:space="preserve"> (see Table 3)</w:t>
      </w:r>
      <w:r w:rsidRPr="00034410">
        <w:t>.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0.02), but more than could be accounted for by rounding</w:t>
      </w:r>
      <w:r>
        <w:t xml:space="preserve"> or other erroneous methods such as truncation</w:t>
      </w:r>
      <w:r w:rsidRPr="00034410">
        <w:t xml:space="preserve">. </w:t>
      </w:r>
      <w:r>
        <w:t>Confidence Interval</w:t>
      </w:r>
      <w:r w:rsidRPr="00034410">
        <w:t xml:space="preserve">s were nearly four times wider in the verification analysis than the original results. </w:t>
      </w:r>
      <w:r>
        <w:t>Credibility Interval</w:t>
      </w:r>
      <w:r w:rsidRPr="00034410">
        <w:t xml:space="preserve">s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w:t>
      </w:r>
      <w:r>
        <w:rPr>
          <w:iCs/>
        </w:rPr>
        <w:t xml:space="preserve">, </w:t>
      </w:r>
      <w:r w:rsidRPr="00034410">
        <w:rPr>
          <w:iCs/>
        </w:rPr>
        <w:t xml:space="preserve">interval width was therefore set to zero), whereas they were wider than the </w:t>
      </w:r>
      <w:r>
        <w:rPr>
          <w:iCs/>
        </w:rPr>
        <w:t>Confidence Interval</w:t>
      </w:r>
      <w:r w:rsidRPr="00034410">
        <w:rPr>
          <w:iCs/>
        </w:rPr>
        <w:t xml:space="preserve">s in the original analysis. </w:t>
      </w:r>
      <w:r>
        <w:rPr>
          <w:iCs/>
        </w:rPr>
        <w:t xml:space="preserve">Note that </w:t>
      </w:r>
      <w:r>
        <w:t>setting the reliabilities to other values (e.g., the common reliability thresholds such as .70 or otherwise), would serve to inflate both the meta-analysis effect size and intervals. As such, additional verifications using alternative reliability values were not useful to explore.</w:t>
      </w:r>
    </w:p>
    <w:p w14:paraId="1FB770AC" w14:textId="77777777" w:rsidR="00056983" w:rsidRPr="002119C3" w:rsidRDefault="00056983" w:rsidP="002119C3">
      <w:pPr>
        <w:sectPr w:rsidR="00056983" w:rsidRPr="002119C3" w:rsidSect="00442CE7">
          <w:pgSz w:w="11900" w:h="16840"/>
          <w:pgMar w:top="1440" w:right="1440" w:bottom="1440" w:left="1440" w:header="709" w:footer="709" w:gutter="0"/>
          <w:cols w:num="2" w:space="340"/>
          <w:titlePg/>
          <w:docGrid w:linePitch="360"/>
          <w15:footnoteColumns w:val="1"/>
        </w:sectPr>
      </w:pPr>
    </w:p>
    <w:p w14:paraId="5B6A368C" w14:textId="77777777" w:rsidR="009B4A0E" w:rsidRDefault="00000000" w:rsidP="004219D9">
      <w:pPr>
        <w:ind w:firstLine="0"/>
        <w:jc w:val="left"/>
        <w:rPr>
          <w:rFonts w:eastAsia="MS Mincho"/>
          <w:b/>
          <w:bCs/>
          <w:color w:val="auto"/>
          <w:kern w:val="2"/>
          <w:sz w:val="16"/>
          <w:szCs w:val="16"/>
          <w:lang w:val=""/>
          <w14:ligatures w14:val="standardContextual"/>
        </w:rPr>
      </w:pPr>
      <w:r w:rsidRPr="00601B7B">
        <w:rPr>
          <w:rFonts w:eastAsia="MS Mincho"/>
          <w:b/>
          <w:bCs/>
          <w:color w:val="auto"/>
          <w:kern w:val="2"/>
          <w:sz w:val="16"/>
          <w:szCs w:val="16"/>
          <w:lang w:val=""/>
          <w14:ligatures w14:val="standardContextual"/>
        </w:rPr>
        <w:lastRenderedPageBreak/>
        <w:t xml:space="preserve">Table </w:t>
      </w:r>
      <w:r w:rsidR="00BD4CA2">
        <w:rPr>
          <w:rFonts w:eastAsia="MS Mincho"/>
          <w:b/>
          <w:bCs/>
          <w:color w:val="auto"/>
          <w:kern w:val="2"/>
          <w:sz w:val="16"/>
          <w:szCs w:val="16"/>
          <w:lang w:val=""/>
          <w14:ligatures w14:val="standardContextual"/>
        </w:rPr>
        <w:t>3</w:t>
      </w:r>
      <w:r w:rsidRPr="00601B7B">
        <w:rPr>
          <w:rFonts w:eastAsia="MS Mincho"/>
          <w:b/>
          <w:bCs/>
          <w:color w:val="auto"/>
          <w:kern w:val="2"/>
          <w:sz w:val="16"/>
          <w:szCs w:val="16"/>
          <w:lang w:val=""/>
          <w14:ligatures w14:val="standardContextual"/>
        </w:rPr>
        <w:t>. Verification attempts for the meta-analysis</w:t>
      </w:r>
    </w:p>
    <w:p w14:paraId="14BB7E51" w14:textId="77777777" w:rsidR="004219D9" w:rsidRPr="004219D9" w:rsidRDefault="004219D9" w:rsidP="004219D9">
      <w:pPr>
        <w:ind w:firstLine="0"/>
        <w:jc w:val="left"/>
        <w:rPr>
          <w:rFonts w:eastAsia="MS Mincho"/>
          <w:b/>
          <w:bCs/>
          <w:color w:val="auto"/>
          <w:kern w:val="2"/>
          <w:sz w:val="16"/>
          <w:szCs w:val="16"/>
          <w:lang w:val=""/>
          <w14:ligatures w14:val="standardContextual"/>
        </w:rPr>
      </w:pPr>
    </w:p>
    <w:tbl>
      <w:tblPr>
        <w:tblStyle w:val="TableGrid1"/>
        <w:tblW w:w="0" w:type="auto"/>
        <w:jc w:val="center"/>
        <w:tblLook w:val="04A0" w:firstRow="1" w:lastRow="0" w:firstColumn="1" w:lastColumn="0" w:noHBand="0" w:noVBand="1"/>
      </w:tblPr>
      <w:tblGrid>
        <w:gridCol w:w="1080"/>
        <w:gridCol w:w="3420"/>
        <w:gridCol w:w="4332"/>
        <w:gridCol w:w="706"/>
        <w:gridCol w:w="706"/>
        <w:gridCol w:w="706"/>
        <w:gridCol w:w="706"/>
        <w:gridCol w:w="706"/>
        <w:gridCol w:w="706"/>
        <w:gridCol w:w="706"/>
      </w:tblGrid>
      <w:tr w:rsidR="00AA6907"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9B4A0E" w:rsidRDefault="009B4A0E" w:rsidP="009B4A0E">
            <w:pPr>
              <w:ind w:firstLine="0"/>
              <w:jc w:val="left"/>
              <w:rPr>
                <w:rFonts w:eastAsia="MS Mincho"/>
                <w:color w:val="auto"/>
                <w:sz w:val="16"/>
                <w:szCs w:val="16"/>
              </w:rPr>
            </w:pPr>
          </w:p>
        </w:tc>
        <w:tc>
          <w:tcPr>
            <w:tcW w:w="3420" w:type="dxa"/>
            <w:tcBorders>
              <w:top w:val="single" w:sz="4" w:space="0" w:color="auto"/>
              <w:left w:val="nil"/>
              <w:bottom w:val="nil"/>
              <w:right w:val="nil"/>
            </w:tcBorders>
            <w:vAlign w:val="center"/>
          </w:tcPr>
          <w:p w14:paraId="57DEDF78" w14:textId="77777777" w:rsidR="009B4A0E" w:rsidRPr="009B4A0E" w:rsidRDefault="009B4A0E" w:rsidP="009B4A0E">
            <w:pPr>
              <w:ind w:firstLine="0"/>
              <w:jc w:val="left"/>
              <w:rPr>
                <w:rFonts w:eastAsia="MS Mincho"/>
                <w:color w:val="auto"/>
                <w:sz w:val="16"/>
                <w:szCs w:val="16"/>
              </w:rPr>
            </w:pPr>
          </w:p>
        </w:tc>
        <w:tc>
          <w:tcPr>
            <w:tcW w:w="4332" w:type="dxa"/>
            <w:tcBorders>
              <w:top w:val="single" w:sz="4" w:space="0" w:color="auto"/>
              <w:left w:val="nil"/>
              <w:bottom w:val="nil"/>
              <w:right w:val="nil"/>
            </w:tcBorders>
            <w:vAlign w:val="center"/>
          </w:tcPr>
          <w:p w14:paraId="1C2FE087" w14:textId="77777777" w:rsidR="009B4A0E" w:rsidRPr="009B4A0E" w:rsidRDefault="009B4A0E" w:rsidP="009B4A0E">
            <w:pPr>
              <w:ind w:firstLine="0"/>
              <w:jc w:val="left"/>
              <w:rPr>
                <w:rFonts w:eastAsia="MS Mincho"/>
                <w:color w:val="auto"/>
                <w:sz w:val="16"/>
                <w:szCs w:val="16"/>
              </w:rPr>
            </w:pPr>
          </w:p>
        </w:tc>
        <w:tc>
          <w:tcPr>
            <w:tcW w:w="706" w:type="dxa"/>
            <w:tcBorders>
              <w:top w:val="single" w:sz="4" w:space="0" w:color="auto"/>
              <w:left w:val="nil"/>
              <w:bottom w:val="nil"/>
              <w:right w:val="nil"/>
            </w:tcBorders>
            <w:noWrap/>
            <w:vAlign w:val="center"/>
          </w:tcPr>
          <w:p w14:paraId="73C55E07" w14:textId="77777777" w:rsidR="009B4A0E" w:rsidRPr="009B4A0E" w:rsidRDefault="009B4A0E" w:rsidP="009B4A0E">
            <w:pPr>
              <w:ind w:firstLine="0"/>
              <w:jc w:val="center"/>
              <w:rPr>
                <w:rFonts w:eastAsia="MS Mincho"/>
                <w:color w:val="auto"/>
                <w:sz w:val="16"/>
                <w:szCs w:val="16"/>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PI</w:t>
            </w:r>
          </w:p>
        </w:tc>
      </w:tr>
      <w:tr w:rsidR="00AA6907"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9B4A0E" w:rsidRDefault="00000000" w:rsidP="009B4A0E">
            <w:pPr>
              <w:ind w:firstLine="0"/>
              <w:jc w:val="left"/>
              <w:rPr>
                <w:rFonts w:eastAsia="MS Mincho"/>
                <w:color w:val="auto"/>
                <w:sz w:val="16"/>
                <w:szCs w:val="16"/>
              </w:rPr>
            </w:pPr>
            <w:r>
              <w:rPr>
                <w:rFonts w:eastAsia="MS Mincho"/>
                <w:color w:val="auto"/>
                <w:sz w:val="16"/>
                <w:szCs w:val="16"/>
              </w:rPr>
              <w:t>Source</w:t>
            </w:r>
          </w:p>
        </w:tc>
        <w:tc>
          <w:tcPr>
            <w:tcW w:w="3420" w:type="dxa"/>
            <w:tcBorders>
              <w:top w:val="nil"/>
              <w:left w:val="nil"/>
              <w:bottom w:val="single" w:sz="4" w:space="0" w:color="auto"/>
              <w:right w:val="nil"/>
            </w:tcBorders>
            <w:vAlign w:val="center"/>
            <w:hideMark/>
          </w:tcPr>
          <w:p w14:paraId="20B14AC8"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Implementation</w:t>
            </w:r>
          </w:p>
        </w:tc>
        <w:tc>
          <w:tcPr>
            <w:tcW w:w="4332" w:type="dxa"/>
            <w:tcBorders>
              <w:top w:val="nil"/>
              <w:left w:val="nil"/>
              <w:bottom w:val="single" w:sz="4" w:space="0" w:color="auto"/>
              <w:right w:val="nil"/>
            </w:tcBorders>
            <w:vAlign w:val="center"/>
            <w:hideMark/>
          </w:tcPr>
          <w:p w14:paraId="4C8E96AC"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9B4A0E" w:rsidRDefault="00000000" w:rsidP="009B4A0E">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vAlign w:val="center"/>
          </w:tcPr>
          <w:p w14:paraId="39D9E77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vAlign w:val="center"/>
          </w:tcPr>
          <w:p w14:paraId="77917E9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r>
      <w:tr w:rsidR="00AA6907"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Vahey et al. (2015)</w:t>
            </w:r>
          </w:p>
        </w:tc>
        <w:tc>
          <w:tcPr>
            <w:tcW w:w="3420" w:type="dxa"/>
            <w:tcBorders>
              <w:top w:val="single" w:sz="4" w:space="0" w:color="auto"/>
              <w:left w:val="nil"/>
              <w:bottom w:val="nil"/>
              <w:right w:val="nil"/>
            </w:tcBorders>
            <w:vAlign w:val="center"/>
            <w:hideMark/>
          </w:tcPr>
          <w:p w14:paraId="06D53369"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 xml:space="preserve">Vahey </w:t>
            </w:r>
            <w:r w:rsidR="003A52F0">
              <w:rPr>
                <w:rFonts w:eastAsia="MS Mincho"/>
                <w:color w:val="auto"/>
                <w:sz w:val="16"/>
                <w:szCs w:val="16"/>
              </w:rPr>
              <w:t xml:space="preserve">et al. (2015) state they followed </w:t>
            </w:r>
            <w:r w:rsidRPr="009B4A0E">
              <w:rPr>
                <w:rFonts w:eastAsia="MS Mincho"/>
                <w:color w:val="auto"/>
                <w:sz w:val="16"/>
                <w:szCs w:val="16"/>
              </w:rPr>
              <w:t>Field &amp; Gillett’s (2010)</w:t>
            </w:r>
            <w:r w:rsidR="004219D9">
              <w:rPr>
                <w:rFonts w:eastAsia="MS Mincho"/>
                <w:color w:val="auto"/>
                <w:sz w:val="16"/>
                <w:szCs w:val="16"/>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Verification attempt 1</w:t>
            </w:r>
          </w:p>
        </w:tc>
        <w:tc>
          <w:tcPr>
            <w:tcW w:w="3420" w:type="dxa"/>
            <w:tcBorders>
              <w:top w:val="nil"/>
              <w:left w:val="nil"/>
              <w:bottom w:val="nil"/>
              <w:right w:val="nil"/>
            </w:tcBorders>
            <w:vAlign w:val="center"/>
            <w:hideMark/>
          </w:tcPr>
          <w:p w14:paraId="3CA34716"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All reliabilities were set to 0.</w:t>
            </w:r>
          </w:p>
        </w:tc>
        <w:tc>
          <w:tcPr>
            <w:tcW w:w="706" w:type="dxa"/>
            <w:tcBorders>
              <w:top w:val="nil"/>
              <w:left w:val="nil"/>
              <w:bottom w:val="nil"/>
              <w:right w:val="nil"/>
            </w:tcBorders>
            <w:noWrap/>
            <w:vAlign w:val="center"/>
            <w:hideMark/>
          </w:tcPr>
          <w:p w14:paraId="72C4B3F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7F39640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.20</w:t>
            </w:r>
          </w:p>
        </w:tc>
        <w:tc>
          <w:tcPr>
            <w:tcW w:w="706" w:type="dxa"/>
            <w:tcBorders>
              <w:top w:val="nil"/>
              <w:left w:val="nil"/>
              <w:bottom w:val="nil"/>
              <w:right w:val="nil"/>
            </w:tcBorders>
            <w:noWrap/>
            <w:vAlign w:val="center"/>
            <w:hideMark/>
          </w:tcPr>
          <w:p w14:paraId="57BF0AB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.74</w:t>
            </w:r>
          </w:p>
        </w:tc>
        <w:tc>
          <w:tcPr>
            <w:tcW w:w="706" w:type="dxa"/>
            <w:tcBorders>
              <w:top w:val="nil"/>
              <w:left w:val="nil"/>
              <w:bottom w:val="nil"/>
              <w:right w:val="nil"/>
            </w:tcBorders>
            <w:noWrap/>
            <w:vAlign w:val="center"/>
            <w:hideMark/>
          </w:tcPr>
          <w:p w14:paraId="570B6599"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6B458B3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5FB1872"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6CE5A84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2</w:t>
            </w:r>
          </w:p>
        </w:tc>
        <w:tc>
          <w:tcPr>
            <w:tcW w:w="3420" w:type="dxa"/>
            <w:tcBorders>
              <w:top w:val="nil"/>
              <w:left w:val="nil"/>
              <w:bottom w:val="nil"/>
              <w:right w:val="nil"/>
            </w:tcBorders>
            <w:vAlign w:val="center"/>
            <w:hideMark/>
          </w:tcPr>
          <w:p w14:paraId="7613AAB5"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520F8FB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A08B380"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ADAF76F"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D535788"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4151E02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7D106F7C"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3</w:t>
            </w:r>
          </w:p>
        </w:tc>
        <w:tc>
          <w:tcPr>
            <w:tcW w:w="3420" w:type="dxa"/>
            <w:tcBorders>
              <w:top w:val="nil"/>
              <w:left w:val="nil"/>
              <w:bottom w:val="nil"/>
              <w:right w:val="nil"/>
            </w:tcBorders>
            <w:vAlign w:val="center"/>
          </w:tcPr>
          <w:p w14:paraId="1BA97DC9"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Hunter &amp; Schmidt method </w:t>
            </w:r>
            <w:r>
              <w:rPr>
                <w:rFonts w:eastAsia="MS Mincho"/>
                <w:color w:val="auto"/>
                <w:sz w:val="16"/>
                <w:szCs w:val="16"/>
              </w:rPr>
              <w:t>using a reimplementation of</w:t>
            </w:r>
            <w:r w:rsidRPr="009B4A0E">
              <w:rPr>
                <w:rFonts w:eastAsia="MS Mincho"/>
                <w:color w:val="auto"/>
                <w:sz w:val="16"/>
                <w:szCs w:val="16"/>
              </w:rPr>
              <w:t xml:space="preserve"> Field &amp; Gillett’s (2010) “Meta_Basic_r.sps” </w:t>
            </w:r>
            <w:r>
              <w:rPr>
                <w:rFonts w:eastAsia="MS Mincho"/>
                <w:color w:val="auto"/>
                <w:sz w:val="16"/>
                <w:szCs w:val="16"/>
              </w:rPr>
              <w:t>in</w:t>
            </w:r>
            <w:r w:rsidRPr="009B4A0E">
              <w:rPr>
                <w:rFonts w:eastAsia="MS Mincho"/>
                <w:color w:val="auto"/>
                <w:sz w:val="16"/>
                <w:szCs w:val="16"/>
              </w:rPr>
              <w:t xml:space="preserve"> R</w:t>
            </w:r>
          </w:p>
        </w:tc>
        <w:tc>
          <w:tcPr>
            <w:tcW w:w="4332" w:type="dxa"/>
            <w:tcBorders>
              <w:top w:val="nil"/>
              <w:left w:val="nil"/>
              <w:bottom w:val="nil"/>
              <w:right w:val="nil"/>
            </w:tcBorders>
            <w:vAlign w:val="center"/>
          </w:tcPr>
          <w:p w14:paraId="504B5ABD"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shd w:val="clear" w:color="auto" w:fill="auto"/>
            <w:noWrap/>
            <w:vAlign w:val="center"/>
          </w:tcPr>
          <w:p w14:paraId="6B4682F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0B1C41A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560ECB54"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noWrap/>
            <w:vAlign w:val="center"/>
          </w:tcPr>
          <w:p w14:paraId="109B29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vAlign w:val="center"/>
          </w:tcPr>
          <w:p w14:paraId="2B9171F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5CD3CF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4</w:t>
            </w:r>
          </w:p>
        </w:tc>
        <w:tc>
          <w:tcPr>
            <w:tcW w:w="3420" w:type="dxa"/>
            <w:tcBorders>
              <w:top w:val="nil"/>
              <w:left w:val="nil"/>
              <w:bottom w:val="nil"/>
              <w:right w:val="nil"/>
            </w:tcBorders>
            <w:vAlign w:val="center"/>
          </w:tcPr>
          <w:p w14:paraId="2718FAA5"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auto"/>
            <w:noWrap/>
            <w:vAlign w:val="center"/>
          </w:tcPr>
          <w:p w14:paraId="46906AA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2D57628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0C6CA0A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5CE4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0CB4837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425345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5</w:t>
            </w:r>
          </w:p>
        </w:tc>
        <w:tc>
          <w:tcPr>
            <w:tcW w:w="3420" w:type="dxa"/>
            <w:tcBorders>
              <w:top w:val="nil"/>
              <w:left w:val="nil"/>
              <w:bottom w:val="nil"/>
              <w:right w:val="nil"/>
            </w:tcBorders>
            <w:vAlign w:val="center"/>
          </w:tcPr>
          <w:p w14:paraId="526AEEC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s (2010) equations 2 to 5.</w:t>
            </w:r>
          </w:p>
        </w:tc>
        <w:tc>
          <w:tcPr>
            <w:tcW w:w="706" w:type="dxa"/>
            <w:tcBorders>
              <w:top w:val="nil"/>
              <w:left w:val="nil"/>
              <w:bottom w:val="nil"/>
              <w:right w:val="nil"/>
            </w:tcBorders>
            <w:noWrap/>
            <w:vAlign w:val="center"/>
          </w:tcPr>
          <w:p w14:paraId="5EE9262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tcPr>
          <w:p w14:paraId="31696B2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tcPr>
          <w:p w14:paraId="3441825A"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tcPr>
          <w:p w14:paraId="50328AD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053345"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88CBDB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7A5846DD"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6</w:t>
            </w:r>
          </w:p>
        </w:tc>
        <w:tc>
          <w:tcPr>
            <w:tcW w:w="3420" w:type="dxa"/>
            <w:tcBorders>
              <w:top w:val="nil"/>
              <w:left w:val="nil"/>
              <w:bottom w:val="nil"/>
              <w:right w:val="nil"/>
            </w:tcBorders>
            <w:vAlign w:val="center"/>
            <w:hideMark/>
          </w:tcPr>
          <w:p w14:paraId="4F3949C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 xml:space="preserve">s (2010) equations 2 to 5. Fisher's </w:t>
            </w:r>
            <w:r w:rsidRPr="009B4A0E">
              <w:rPr>
                <w:rFonts w:eastAsia="MS Mincho"/>
                <w:i/>
                <w:iCs/>
                <w:color w:val="auto"/>
                <w:sz w:val="16"/>
                <w:szCs w:val="16"/>
              </w:rPr>
              <w:t>r</w:t>
            </w:r>
            <w:r w:rsidRPr="009B4A0E">
              <w:rPr>
                <w:rFonts w:eastAsia="MS Mincho"/>
                <w:color w:val="auto"/>
                <w:sz w:val="16"/>
                <w:szCs w:val="16"/>
              </w:rPr>
              <w:t>-to-</w:t>
            </w:r>
            <w:r w:rsidRPr="009B4A0E">
              <w:rPr>
                <w:rFonts w:eastAsia="MS Mincho"/>
                <w:i/>
                <w:iCs/>
                <w:color w:val="auto"/>
                <w:sz w:val="16"/>
                <w:szCs w:val="16"/>
              </w:rPr>
              <w:t>z</w:t>
            </w:r>
            <w:r w:rsidRPr="009B4A0E">
              <w:rPr>
                <w:rFonts w:eastAsia="MS Mincho"/>
                <w:color w:val="auto"/>
                <w:sz w:val="16"/>
                <w:szCs w:val="16"/>
              </w:rPr>
              <w:t xml:space="preserve"> transformations and </w:t>
            </w:r>
            <w:r w:rsidRPr="009B4A0E">
              <w:rPr>
                <w:rFonts w:eastAsia="MS Mincho"/>
                <w:i/>
                <w:iCs/>
                <w:color w:val="auto"/>
                <w:sz w:val="16"/>
                <w:szCs w:val="16"/>
              </w:rPr>
              <w:t>z</w:t>
            </w:r>
            <w:r w:rsidRPr="009B4A0E">
              <w:rPr>
                <w:rFonts w:eastAsia="MS Mincho"/>
                <w:color w:val="auto"/>
                <w:sz w:val="16"/>
                <w:szCs w:val="16"/>
              </w:rPr>
              <w:t>-to-</w:t>
            </w:r>
            <w:r w:rsidRPr="009B4A0E">
              <w:rPr>
                <w:rFonts w:eastAsia="MS Mincho"/>
                <w:i/>
                <w:iCs/>
                <w:color w:val="auto"/>
                <w:sz w:val="16"/>
                <w:szCs w:val="16"/>
              </w:rPr>
              <w:t>r</w:t>
            </w:r>
            <w:r w:rsidRPr="009B4A0E">
              <w:rPr>
                <w:rFonts w:eastAsia="MS Mincho"/>
                <w:color w:val="auto"/>
                <w:sz w:val="16"/>
                <w:szCs w:val="16"/>
              </w:rPr>
              <w:t xml:space="preserve"> back transformations.</w:t>
            </w:r>
          </w:p>
        </w:tc>
        <w:tc>
          <w:tcPr>
            <w:tcW w:w="706" w:type="dxa"/>
            <w:tcBorders>
              <w:top w:val="nil"/>
              <w:left w:val="nil"/>
              <w:bottom w:val="nil"/>
              <w:right w:val="nil"/>
            </w:tcBorders>
            <w:noWrap/>
            <w:vAlign w:val="center"/>
            <w:hideMark/>
          </w:tcPr>
          <w:p w14:paraId="26245A2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hideMark/>
          </w:tcPr>
          <w:p w14:paraId="5BA362C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hideMark/>
          </w:tcPr>
          <w:p w14:paraId="2612747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hideMark/>
          </w:tcPr>
          <w:p w14:paraId="2D0AEE3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1760BC6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75284C6C"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2608D45B"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7</w:t>
            </w:r>
          </w:p>
        </w:tc>
        <w:tc>
          <w:tcPr>
            <w:tcW w:w="3420" w:type="dxa"/>
            <w:tcBorders>
              <w:top w:val="nil"/>
              <w:left w:val="nil"/>
              <w:bottom w:val="single" w:sz="4" w:space="0" w:color="auto"/>
              <w:right w:val="nil"/>
            </w:tcBorders>
            <w:vAlign w:val="center"/>
          </w:tcPr>
          <w:p w14:paraId="6911FCEA"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.76</w:t>
            </w:r>
          </w:p>
        </w:tc>
        <w:tc>
          <w:tcPr>
            <w:tcW w:w="706" w:type="dxa"/>
            <w:tcBorders>
              <w:top w:val="nil"/>
              <w:left w:val="nil"/>
              <w:bottom w:val="single" w:sz="4" w:space="0" w:color="auto"/>
              <w:right w:val="nil"/>
            </w:tcBorders>
            <w:noWrap/>
            <w:vAlign w:val="center"/>
          </w:tcPr>
          <w:p w14:paraId="68F8DF2C"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.39</w:t>
            </w:r>
          </w:p>
        </w:tc>
        <w:tc>
          <w:tcPr>
            <w:tcW w:w="706" w:type="dxa"/>
            <w:tcBorders>
              <w:top w:val="nil"/>
              <w:left w:val="nil"/>
              <w:bottom w:val="single" w:sz="4" w:space="0" w:color="auto"/>
              <w:right w:val="nil"/>
            </w:tcBorders>
            <w:noWrap/>
            <w:vAlign w:val="center"/>
          </w:tcPr>
          <w:p w14:paraId="2E9679D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.57</w:t>
            </w:r>
          </w:p>
        </w:tc>
        <w:tc>
          <w:tcPr>
            <w:tcW w:w="706" w:type="dxa"/>
            <w:tcBorders>
              <w:top w:val="nil"/>
              <w:left w:val="nil"/>
              <w:bottom w:val="single" w:sz="4" w:space="0" w:color="auto"/>
              <w:right w:val="nil"/>
            </w:tcBorders>
            <w:vAlign w:val="center"/>
          </w:tcPr>
          <w:p w14:paraId="5DCD2BA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single" w:sz="4" w:space="0" w:color="auto"/>
              <w:right w:val="nil"/>
            </w:tcBorders>
            <w:vAlign w:val="center"/>
          </w:tcPr>
          <w:p w14:paraId="2310C43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Default="00000000" w:rsidP="009B4A0E">
            <w:pPr>
              <w:ind w:firstLine="0"/>
              <w:jc w:val="left"/>
              <w:rPr>
                <w:rFonts w:eastAsia="MS Mincho"/>
                <w:sz w:val="16"/>
                <w:szCs w:val="16"/>
              </w:rPr>
            </w:pPr>
            <w:r w:rsidRPr="009B4A0E">
              <w:rPr>
                <w:rFonts w:eastAsia="MS Mincho"/>
                <w:i/>
                <w:iCs/>
                <w:color w:val="auto"/>
                <w:sz w:val="16"/>
                <w:szCs w:val="16"/>
              </w:rPr>
              <w:t>Notes:</w:t>
            </w:r>
            <w:r w:rsidRPr="009B4A0E">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9B4A0E">
              <w:rPr>
                <w:sz w:val="16"/>
                <w:szCs w:val="16"/>
              </w:rPr>
              <w:t>what can be accounted for by rounding or truncation (</w:t>
            </w:r>
            <w:r w:rsidRPr="009B4A0E">
              <w:rPr>
                <w:rFonts w:eastAsia="MS Mincho"/>
                <w:sz w:val="16"/>
                <w:szCs w:val="16"/>
              </w:rPr>
              <w:t>±.01</w:t>
            </w:r>
            <w:r w:rsidRPr="009B4A0E">
              <w:rPr>
                <w:sz w:val="16"/>
                <w:szCs w:val="16"/>
              </w:rPr>
              <w:t>)</w:t>
            </w:r>
            <w:r w:rsidRPr="009B4A0E">
              <w:rPr>
                <w:rFonts w:eastAsia="MS Mincho"/>
                <w:sz w:val="16"/>
                <w:szCs w:val="16"/>
              </w:rPr>
              <w:t>.</w:t>
            </w:r>
          </w:p>
          <w:p w14:paraId="699E9313" w14:textId="77777777" w:rsidR="00845FB9" w:rsidRDefault="00000000" w:rsidP="00845FB9">
            <w:pPr>
              <w:ind w:firstLine="0"/>
              <w:jc w:val="left"/>
              <w:rPr>
                <w:rFonts w:eastAsia="MS Mincho"/>
                <w:color w:val="auto"/>
                <w:sz w:val="16"/>
                <w:szCs w:val="16"/>
              </w:rPr>
            </w:pPr>
            <w:r w:rsidRPr="007A3F37">
              <w:rPr>
                <w:rFonts w:eastAsia="MS Mincho"/>
                <w:color w:val="auto"/>
                <w:sz w:val="16"/>
                <w:szCs w:val="16"/>
              </w:rPr>
              <w:t>*</w:t>
            </w:r>
            <w:r>
              <w:rPr>
                <w:rFonts w:eastAsia="MS Mincho"/>
                <w:color w:val="auto"/>
                <w:sz w:val="16"/>
                <w:szCs w:val="16"/>
              </w:rPr>
              <w:t xml:space="preserve"> This SPSS script contains multiple </w:t>
            </w:r>
            <w:r w:rsidR="00D44D3B">
              <w:rPr>
                <w:rFonts w:eastAsia="MS Mincho"/>
                <w:color w:val="auto"/>
                <w:sz w:val="16"/>
                <w:szCs w:val="16"/>
              </w:rPr>
              <w:t>issues that prevent it from running</w:t>
            </w:r>
            <w:r>
              <w:rPr>
                <w:rFonts w:eastAsia="MS Mincho"/>
                <w:color w:val="auto"/>
                <w:sz w:val="16"/>
                <w:szCs w:val="16"/>
              </w:rPr>
              <w:t xml:space="preserve">. See main text for discussion.  </w:t>
            </w:r>
          </w:p>
          <w:p w14:paraId="037D2B34" w14:textId="77777777" w:rsidR="00EF3810" w:rsidRPr="007A3F37" w:rsidRDefault="00000000" w:rsidP="00845FB9">
            <w:pPr>
              <w:ind w:firstLine="0"/>
              <w:jc w:val="left"/>
              <w:rPr>
                <w:rFonts w:eastAsia="MS Mincho"/>
                <w:color w:val="auto"/>
                <w:sz w:val="16"/>
                <w:szCs w:val="16"/>
              </w:rPr>
            </w:pPr>
            <w:r>
              <w:rPr>
                <w:rFonts w:eastAsia="MS Mincho"/>
                <w:color w:val="auto"/>
                <w:sz w:val="16"/>
                <w:szCs w:val="16"/>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Pr>
                <w:rFonts w:eastAsia="MS Mincho"/>
                <w:color w:val="auto"/>
                <w:sz w:val="16"/>
                <w:szCs w:val="16"/>
              </w:rPr>
              <w:t xml:space="preserve">reported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.45, reclaculated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.48; </w:t>
            </w:r>
            <w:r>
              <w:rPr>
                <w:rFonts w:eastAsia="MS Mincho"/>
                <w:color w:val="auto"/>
                <w:sz w:val="16"/>
                <w:szCs w:val="16"/>
              </w:rPr>
              <w:t xml:space="preserve">reported CI = [.40, .54], </w:t>
            </w:r>
            <w:r w:rsidR="00224644">
              <w:rPr>
                <w:rFonts w:eastAsia="MS Mincho"/>
                <w:color w:val="auto"/>
                <w:sz w:val="16"/>
                <w:szCs w:val="16"/>
              </w:rPr>
              <w:t xml:space="preserve">reclaculated </w:t>
            </w:r>
            <w:r>
              <w:rPr>
                <w:rFonts w:eastAsia="MS Mincho"/>
                <w:color w:val="auto"/>
                <w:sz w:val="16"/>
                <w:szCs w:val="16"/>
              </w:rPr>
              <w:t>CR = [.39, .57]; reported CR = [.23, .67[,</w:t>
            </w:r>
            <w:r w:rsidR="00224644">
              <w:rPr>
                <w:rFonts w:eastAsia="MS Mincho"/>
                <w:color w:val="auto"/>
                <w:sz w:val="16"/>
                <w:szCs w:val="16"/>
              </w:rPr>
              <w:t xml:space="preserve">reclaculated </w:t>
            </w:r>
            <w:r>
              <w:rPr>
                <w:rFonts w:eastAsia="MS Mincho"/>
                <w:color w:val="auto"/>
                <w:sz w:val="16"/>
                <w:szCs w:val="16"/>
              </w:rPr>
              <w:t xml:space="preserve">CI = [.20, 74]. </w:t>
            </w:r>
          </w:p>
        </w:tc>
      </w:tr>
    </w:tbl>
    <w:p w14:paraId="37E76994" w14:textId="77777777" w:rsidR="009B4A0E" w:rsidRDefault="009B4A0E" w:rsidP="00056983">
      <w:pPr>
        <w:ind w:firstLine="0"/>
        <w:rPr>
          <w:iCs/>
        </w:rPr>
      </w:pPr>
    </w:p>
    <w:p w14:paraId="43CA2B8E" w14:textId="77777777" w:rsidR="003C6701" w:rsidRDefault="003C6701" w:rsidP="00056983">
      <w:pPr>
        <w:ind w:firstLine="0"/>
        <w:rPr>
          <w:iCs/>
        </w:rPr>
        <w:sectPr w:rsidR="003C6701" w:rsidSect="00601B7B">
          <w:pgSz w:w="16840" w:h="11900" w:orient="landscape"/>
          <w:pgMar w:top="1440" w:right="1440" w:bottom="1440" w:left="1440" w:header="709" w:footer="709" w:gutter="0"/>
          <w:cols w:space="340"/>
          <w:titlePg/>
          <w:docGrid w:linePitch="360"/>
          <w15:footnoteColumns w:val="1"/>
        </w:sectPr>
      </w:pPr>
    </w:p>
    <w:p w14:paraId="3DF5C9CB" w14:textId="77777777" w:rsidR="00601B7B" w:rsidRDefault="00601B7B" w:rsidP="00006A5B">
      <w:pPr>
        <w:sectPr w:rsidR="00601B7B" w:rsidSect="00056983">
          <w:pgSz w:w="11900" w:h="16840"/>
          <w:pgMar w:top="1440" w:right="1440" w:bottom="1440" w:left="1440" w:header="709" w:footer="709" w:gutter="0"/>
          <w:cols w:num="2" w:space="340"/>
          <w:titlePg/>
          <w:docGrid w:linePitch="360"/>
          <w15:footnoteColumns w:val="1"/>
        </w:sectPr>
      </w:pPr>
    </w:p>
    <w:p w14:paraId="194B371B"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758DCFC9" w14:textId="77777777" w:rsidR="00D0718D" w:rsidRPr="00D0718D" w:rsidRDefault="00000000" w:rsidP="00056983">
      <w:pPr>
        <w:ind w:firstLine="0"/>
        <w:rPr>
          <w:b/>
          <w:bCs/>
          <w:iCs/>
        </w:rPr>
      </w:pPr>
      <w:r w:rsidRPr="00D0718D">
        <w:rPr>
          <w:b/>
          <w:bCs/>
          <w:iCs/>
        </w:rPr>
        <w:t xml:space="preserve">Figure </w:t>
      </w:r>
      <w:r w:rsidR="00B21A2E">
        <w:rPr>
          <w:b/>
          <w:bCs/>
          <w:iCs/>
        </w:rPr>
        <w:t>3</w:t>
      </w:r>
      <w:r w:rsidRPr="00D0718D">
        <w:rPr>
          <w:b/>
          <w:bCs/>
          <w:iCs/>
        </w:rPr>
        <w:t xml:space="preserve">. Forest plot for </w:t>
      </w:r>
      <w:r w:rsidR="001A4627">
        <w:rPr>
          <w:b/>
          <w:bCs/>
          <w:iCs/>
        </w:rPr>
        <w:t xml:space="preserve">meta-analysis </w:t>
      </w:r>
      <w:r w:rsidRPr="00D0718D">
        <w:rPr>
          <w:b/>
          <w:bCs/>
          <w:iCs/>
        </w:rPr>
        <w:t xml:space="preserve">verification attempt </w:t>
      </w:r>
      <w:r w:rsidR="00C86BC8">
        <w:rPr>
          <w:b/>
          <w:bCs/>
          <w:iCs/>
        </w:rPr>
        <w:t>5</w:t>
      </w:r>
      <w:r w:rsidRPr="00D0718D">
        <w:rPr>
          <w:b/>
          <w:bCs/>
          <w:iCs/>
        </w:rPr>
        <w:t>.</w:t>
      </w:r>
    </w:p>
    <w:p w14:paraId="5C694F13" w14:textId="77777777" w:rsidR="00D0718D" w:rsidRDefault="00000000" w:rsidP="00FF1884">
      <w:pPr>
        <w:ind w:firstLine="0"/>
        <w:jc w:val="center"/>
        <w:rPr>
          <w:iCs/>
        </w:rPr>
      </w:pPr>
      <w:r>
        <w:rPr>
          <w:iCs/>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Default="00D736B9" w:rsidP="00056983">
      <w:pPr>
        <w:ind w:firstLine="0"/>
        <w:rPr>
          <w:iCs/>
        </w:rPr>
      </w:pPr>
    </w:p>
    <w:p w14:paraId="0436B118" w14:textId="77777777" w:rsidR="00D736B9" w:rsidRDefault="00000000" w:rsidP="00D736B9">
      <w:pPr>
        <w:ind w:firstLine="0"/>
        <w:rPr>
          <w:b/>
          <w:bCs/>
          <w:iCs/>
        </w:rPr>
      </w:pPr>
      <w:r w:rsidRPr="00D0718D">
        <w:rPr>
          <w:b/>
          <w:bCs/>
          <w:iCs/>
        </w:rPr>
        <w:t xml:space="preserve">Figure </w:t>
      </w:r>
      <w:r w:rsidR="00B21A2E">
        <w:rPr>
          <w:b/>
          <w:bCs/>
          <w:iCs/>
        </w:rPr>
        <w:t>4</w:t>
      </w:r>
      <w:r w:rsidRPr="00D0718D">
        <w:rPr>
          <w:b/>
          <w:bCs/>
          <w:iCs/>
        </w:rPr>
        <w:t xml:space="preserve">. Forest plot for </w:t>
      </w:r>
      <w:r>
        <w:rPr>
          <w:b/>
          <w:bCs/>
          <w:iCs/>
        </w:rPr>
        <w:t xml:space="preserve">meta-analysis </w:t>
      </w:r>
      <w:r w:rsidRPr="00D0718D">
        <w:rPr>
          <w:b/>
          <w:bCs/>
          <w:iCs/>
        </w:rPr>
        <w:t xml:space="preserve">verification attempt </w:t>
      </w:r>
      <w:r w:rsidR="00C86BC8">
        <w:rPr>
          <w:b/>
          <w:bCs/>
          <w:iCs/>
        </w:rPr>
        <w:t>6</w:t>
      </w:r>
      <w:r w:rsidRPr="00D0718D">
        <w:rPr>
          <w:b/>
          <w:bCs/>
          <w:iCs/>
        </w:rPr>
        <w:t>.</w:t>
      </w:r>
    </w:p>
    <w:p w14:paraId="4134A017" w14:textId="77777777" w:rsidR="00D736B9" w:rsidRPr="00EA0AA1" w:rsidRDefault="00000000" w:rsidP="00EA0AA1">
      <w:pPr>
        <w:ind w:firstLine="0"/>
        <w:jc w:val="center"/>
        <w:rPr>
          <w:b/>
          <w:bCs/>
          <w:iCs/>
        </w:rPr>
      </w:pPr>
      <w:r>
        <w:rPr>
          <w:b/>
          <w:bCs/>
          <w:iCs/>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7F861C3A" w14:textId="77777777" w:rsidR="00093F1F" w:rsidRDefault="00093F1F" w:rsidP="00EA0AA1">
      <w:pPr>
        <w:ind w:firstLine="0"/>
      </w:pPr>
    </w:p>
    <w:p w14:paraId="56F5E477"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324A8BC3" w14:textId="77777777" w:rsidR="00AA62C3" w:rsidRPr="00034410" w:rsidRDefault="00000000" w:rsidP="00AA62C3">
      <w:pPr>
        <w:pStyle w:val="Heading3"/>
      </w:pPr>
      <w:r w:rsidRPr="00034410">
        <w:t xml:space="preserve">Verification </w:t>
      </w:r>
      <w:proofErr w:type="gramStart"/>
      <w:r w:rsidRPr="00034410">
        <w:t>attempt</w:t>
      </w:r>
      <w:proofErr w:type="gramEnd"/>
      <w:r w:rsidRPr="00034410">
        <w:t xml:space="preserve"> 2</w:t>
      </w:r>
    </w:p>
    <w:p w14:paraId="70E08C35" w14:textId="77777777" w:rsidR="00845FB9" w:rsidRPr="00845FB9" w:rsidRDefault="00000000" w:rsidP="00845FB9">
      <w:pPr>
        <w:rPr>
          <w:iCs/>
        </w:rPr>
      </w:pPr>
      <w:r w:rsidRPr="00034410">
        <w:t>The second verification attempt employed Field’s “Meta_Basic_r.sps” script</w:t>
      </w:r>
      <w:r>
        <w:t>, which implements a Hedges’ style “basic” meta-</w:t>
      </w:r>
      <w:r w:rsidR="00A35264">
        <w:t>analysis</w:t>
      </w:r>
      <w:r>
        <w:t>.</w:t>
      </w:r>
      <w:r w:rsidRPr="00034410">
        <w:t xml:space="preserve"> </w:t>
      </w:r>
      <w:r>
        <w:t xml:space="preserve">I was unable to get this script to run in SPSS. </w:t>
      </w:r>
      <w:r>
        <w:rPr>
          <w:iCs/>
        </w:rPr>
        <w:t>I</w:t>
      </w:r>
      <w:r w:rsidRPr="00845FB9">
        <w:rPr>
          <w:iCs/>
        </w:rPr>
        <w:t xml:space="preserve">t makes use of commands such as </w:t>
      </w:r>
      <w:proofErr w:type="gramStart"/>
      <w:r w:rsidRPr="00845FB9">
        <w:rPr>
          <w:iCs/>
        </w:rPr>
        <w:t>nrow(</w:t>
      </w:r>
      <w:proofErr w:type="gramEnd"/>
      <w:r w:rsidRPr="00845FB9">
        <w:rPr>
          <w:iCs/>
        </w:rPr>
        <w:t>), csum(), sd(), and t(</w:t>
      </w:r>
      <w:r>
        <w:rPr>
          <w:iCs/>
        </w:rPr>
        <w:t xml:space="preserve">), which </w:t>
      </w:r>
      <w:r w:rsidRPr="00845FB9">
        <w:rPr>
          <w:iCs/>
        </w:rPr>
        <w:t xml:space="preserve">are </w:t>
      </w:r>
      <w:r>
        <w:rPr>
          <w:iCs/>
        </w:rPr>
        <w:t xml:space="preserve">apparently </w:t>
      </w:r>
      <w:r w:rsidRPr="00845FB9">
        <w:rPr>
          <w:iCs/>
        </w:rPr>
        <w:t xml:space="preserve">not SPSS commands. R does have similarly named functions, but the script employs these commands within lines of SPSS syntax. </w:t>
      </w:r>
      <w:r w:rsidR="00483AAB">
        <w:rPr>
          <w:iCs/>
        </w:rPr>
        <w:t xml:space="preserve">It does not appear that these commands were simply deprecated between versions of SPSS. </w:t>
      </w:r>
      <w:r w:rsidRPr="00845FB9">
        <w:rPr>
          <w:iCs/>
        </w:rPr>
        <w:t xml:space="preserve">It is unclear how these </w:t>
      </w:r>
      <w:r w:rsidR="00483AAB">
        <w:rPr>
          <w:iCs/>
        </w:rPr>
        <w:t xml:space="preserve">apparent </w:t>
      </w:r>
      <w:r w:rsidRPr="00845FB9">
        <w:rPr>
          <w:iCs/>
        </w:rPr>
        <w:t>errors in Field</w:t>
      </w:r>
      <w:r w:rsidR="00483AAB">
        <w:rPr>
          <w:iCs/>
        </w:rPr>
        <w:t xml:space="preserve">’s </w:t>
      </w:r>
      <w:r w:rsidRPr="00845FB9">
        <w:rPr>
          <w:iCs/>
        </w:rPr>
        <w:t xml:space="preserve">script have apparently not been publicly detected or corrected given they are still distributed on Field’s website and </w:t>
      </w:r>
      <w:r w:rsidR="000F542A">
        <w:rPr>
          <w:iCs/>
        </w:rPr>
        <w:t xml:space="preserve">Field &amp; Gillett </w:t>
      </w:r>
      <w:r w:rsidR="000F542A">
        <w:rPr>
          <w:iCs/>
        </w:rPr>
        <w:t>(2010) continues to be cited (&gt;</w:t>
      </w:r>
      <w:r w:rsidRPr="00845FB9">
        <w:rPr>
          <w:iCs/>
        </w:rPr>
        <w:t>1</w:t>
      </w:r>
      <w:r w:rsidR="000F542A">
        <w:rPr>
          <w:iCs/>
        </w:rPr>
        <w:t>,</w:t>
      </w:r>
      <w:r w:rsidRPr="00845FB9">
        <w:rPr>
          <w:iCs/>
        </w:rPr>
        <w:t xml:space="preserve">200 </w:t>
      </w:r>
      <w:r w:rsidR="000F542A">
        <w:rPr>
          <w:iCs/>
        </w:rPr>
        <w:t>citations at time of writing)</w:t>
      </w:r>
      <w:r w:rsidRPr="00845FB9">
        <w:rPr>
          <w:iCs/>
        </w:rPr>
        <w:t xml:space="preserve">. </w:t>
      </w:r>
    </w:p>
    <w:p w14:paraId="716FBB52" w14:textId="77777777" w:rsidR="00D14AF2" w:rsidRPr="00034410" w:rsidRDefault="00000000" w:rsidP="00D14AF2">
      <w:pPr>
        <w:pStyle w:val="Heading3"/>
      </w:pPr>
      <w:r w:rsidRPr="00034410">
        <w:t xml:space="preserve">Verification </w:t>
      </w:r>
      <w:proofErr w:type="gramStart"/>
      <w:r w:rsidRPr="00034410">
        <w:t>attempt</w:t>
      </w:r>
      <w:proofErr w:type="gramEnd"/>
      <w:r w:rsidRPr="00034410">
        <w:t xml:space="preserve"> </w:t>
      </w:r>
      <w:r>
        <w:t>3</w:t>
      </w:r>
    </w:p>
    <w:p w14:paraId="6672328C" w14:textId="77777777" w:rsidR="00845FB9" w:rsidRDefault="00000000" w:rsidP="00C134DD">
      <w:pPr>
        <w:rPr>
          <w:iCs/>
        </w:rPr>
      </w:pPr>
      <w:r>
        <w:rPr>
          <w:iCs/>
        </w:rPr>
        <w:t>I then reimplemented the math specified in the “</w:t>
      </w:r>
      <w:r w:rsidRPr="00034410">
        <w:t>Meta_Basic_r.sps</w:t>
      </w:r>
      <w:r>
        <w:t xml:space="preserve">” and </w:t>
      </w:r>
      <w:r w:rsidRPr="00034410">
        <w:t>“h_s syntax.sps”</w:t>
      </w:r>
      <w:r>
        <w:t xml:space="preserve"> in R. I obtained identical results for the SPSS and R versions of the latter, providing some confidence that the reimplementation of the former was also accurate. </w:t>
      </w:r>
    </w:p>
    <w:p w14:paraId="460A0524" w14:textId="77777777" w:rsidR="00AA62C3" w:rsidRDefault="00000000" w:rsidP="00AA62C3">
      <w:pPr>
        <w:rPr>
          <w:iCs/>
        </w:rPr>
      </w:pP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w:t>
      </w:r>
      <w:r w:rsidR="008D3BC7">
        <w:rPr>
          <w:iCs/>
        </w:rPr>
        <w:t xml:space="preserve">. This correction was specified in </w:t>
      </w:r>
      <w:r w:rsidRPr="00034410">
        <w:t xml:space="preserve">“h_s syntax.sps” </w:t>
      </w:r>
      <w:r w:rsidR="008D3BC7">
        <w:t xml:space="preserve">but not </w:t>
      </w:r>
      <w:r w:rsidR="008D3BC7">
        <w:rPr>
          <w:iCs/>
        </w:rPr>
        <w:t>“</w:t>
      </w:r>
      <w:r w:rsidR="008D3BC7" w:rsidRPr="00034410">
        <w:t>Meta_Basic_r.sps</w:t>
      </w:r>
      <w:r w:rsidR="008D3BC7">
        <w:t>” – I merely applied it in both</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09741F95" w14:textId="77777777" w:rsidR="00AA62C3" w:rsidRDefault="00000000" w:rsidP="00AA62C3">
      <w:pPr>
        <w:rPr>
          <w:iCs/>
        </w:rPr>
      </w:pPr>
      <w:r>
        <w:lastRenderedPageBreak/>
        <w:t>T</w:t>
      </w:r>
      <w:r w:rsidRPr="00034410">
        <w:t xml:space="preserve">his verification </w:t>
      </w:r>
      <w:proofErr w:type="gramStart"/>
      <w:r w:rsidRPr="00034410">
        <w:t>attempt</w:t>
      </w:r>
      <w:proofErr w:type="gramEnd"/>
      <w:r w:rsidRPr="00034410">
        <w:t xml:space="preserve"> </w:t>
      </w:r>
      <w:r w:rsidR="008D6E64">
        <w:t xml:space="preserve">of the R implementation of the Hunter and Schimdt style meta-analysis implemented in </w:t>
      </w:r>
      <w:r w:rsidR="008D6E64">
        <w:rPr>
          <w:iCs/>
        </w:rPr>
        <w:t>“</w:t>
      </w:r>
      <w:r w:rsidR="008D6E64" w:rsidRPr="00034410">
        <w:t>Meta_Basic_r.sps</w:t>
      </w:r>
      <w:r w:rsidR="008D6E64">
        <w:t xml:space="preserve">” </w:t>
      </w:r>
      <w:r w:rsidRPr="00034410">
        <w:t xml:space="preserve">also did not reproduce the original results. The point estimate was off by </w:t>
      </w:r>
      <w:r w:rsidR="0092097D">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rsidR="0092097D">
        <w:t xml:space="preserve">, although this is </w:t>
      </w:r>
      <w:r w:rsidRPr="00034410">
        <w:t xml:space="preserve">more than </w:t>
      </w:r>
      <w:r w:rsidR="0092097D">
        <w:t xml:space="preserve">can </w:t>
      </w:r>
      <w:r w:rsidRPr="00034410">
        <w:t xml:space="preserve">be accounted for by </w:t>
      </w:r>
      <w:r>
        <w:t xml:space="preserve">common methods of </w:t>
      </w:r>
      <w:r w:rsidRPr="00034410">
        <w:t>rounding</w:t>
      </w:r>
      <w:r w:rsidR="0092097D">
        <w:t xml:space="preserve">, although it </w:t>
      </w:r>
      <w:r>
        <w:t>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46EC4104" w14:textId="77777777" w:rsidR="00486207" w:rsidRDefault="00000000" w:rsidP="00486207">
      <w:pPr>
        <w:pStyle w:val="Heading3"/>
      </w:pPr>
      <w:r w:rsidRPr="00034410">
        <w:t xml:space="preserve">Verification </w:t>
      </w:r>
      <w:proofErr w:type="gramStart"/>
      <w:r w:rsidRPr="00034410">
        <w:t>attempt</w:t>
      </w:r>
      <w:proofErr w:type="gramEnd"/>
      <w:r w:rsidRPr="00034410">
        <w:t xml:space="preserve"> </w:t>
      </w:r>
      <w:r w:rsidR="00CF1099">
        <w:t>4</w:t>
      </w:r>
    </w:p>
    <w:p w14:paraId="7086FE88" w14:textId="77777777" w:rsidR="00926EB5" w:rsidRDefault="00000000" w:rsidP="00926EB5">
      <w:r>
        <w:t xml:space="preserve">A close reading of Field &amp; Gillet (2010) and </w:t>
      </w:r>
      <w:r>
        <w:rPr>
          <w:iCs/>
        </w:rPr>
        <w:t>“</w:t>
      </w:r>
      <w:r w:rsidRPr="00034410">
        <w:t>Meta_Basic_r.sps</w:t>
      </w:r>
      <w:r>
        <w:t xml:space="preserve">” revealed an inconsistency between them: Field &amp; Gillett state that Overton corrections should be applied to the individual correlations in the Hedges and </w:t>
      </w:r>
      <w:proofErr w:type="gramStart"/>
      <w:r>
        <w:t>colleagues</w:t>
      </w:r>
      <w:proofErr w:type="gramEnd"/>
      <w:r>
        <w:t xml:space="preserve"> approach but not the Hunter and Schmidt approach. However, the SPSS script applies Overton corrections in both. I therefore removed this correction from my R implementation for attempt 4. This changed the results very little from attempt </w:t>
      </w:r>
      <w:proofErr w:type="gramStart"/>
      <w:r>
        <w:t>3, and</w:t>
      </w:r>
      <w:proofErr w:type="gramEnd"/>
      <w:r>
        <w:t xml:space="preserve"> did not reproduce Vahey et al.’s (2015) results. </w:t>
      </w:r>
    </w:p>
    <w:p w14:paraId="05DF9D92" w14:textId="77777777" w:rsidR="0080648C" w:rsidRDefault="00000000" w:rsidP="0080648C">
      <w:pPr>
        <w:pStyle w:val="Heading3"/>
      </w:pPr>
      <w:r>
        <w:t xml:space="preserve">Verification </w:t>
      </w:r>
      <w:proofErr w:type="gramStart"/>
      <w:r>
        <w:t>attempt</w:t>
      </w:r>
      <w:proofErr w:type="gramEnd"/>
      <w:r>
        <w:t xml:space="preserve"> 5</w:t>
      </w:r>
    </w:p>
    <w:p w14:paraId="6EACAEBF" w14:textId="77777777" w:rsidR="00B53073" w:rsidRPr="00034410" w:rsidRDefault="00000000" w:rsidP="0012469C">
      <w:r>
        <w:t xml:space="preserve">In order to try to obtain the original results, </w:t>
      </w:r>
      <w:r w:rsidR="00486207" w:rsidRPr="00034410">
        <w:t xml:space="preserve">I </w:t>
      </w:r>
      <w:r>
        <w:t xml:space="preserve">then </w:t>
      </w:r>
      <w:r w:rsidR="00486207" w:rsidRPr="00034410">
        <w:t>switched from using</w:t>
      </w:r>
      <w:r>
        <w:t xml:space="preserve"> manual implementations of the equations reported in </w:t>
      </w:r>
      <w:r w:rsidR="00486207" w:rsidRPr="00034410">
        <w:t>Field</w:t>
      </w:r>
      <w:r w:rsidR="00486207">
        <w:t xml:space="preserve"> </w:t>
      </w:r>
      <w:r>
        <w:t xml:space="preserve">&amp; </w:t>
      </w:r>
      <w:r w:rsidR="00486207">
        <w:t>Gillett</w:t>
      </w:r>
      <w:r>
        <w:t xml:space="preserve"> (2010) (i.e., their </w:t>
      </w:r>
      <w:r w:rsidR="00486207" w:rsidRPr="00034410">
        <w:t xml:space="preserve">SPSS </w:t>
      </w:r>
      <w:r w:rsidR="00486207">
        <w:t xml:space="preserve">code </w:t>
      </w:r>
      <w:r>
        <w:t xml:space="preserve">or my translations into R) </w:t>
      </w:r>
      <w:r w:rsidR="00486207" w:rsidRPr="00034410">
        <w:t>to</w:t>
      </w:r>
      <w:r>
        <w:t xml:space="preserve"> instead using an established R package for meta-analyses:</w:t>
      </w:r>
      <w:r w:rsidR="00486207" w:rsidRPr="00034410">
        <w:t xml:space="preserve"> Vi</w:t>
      </w:r>
      <w:r w:rsidR="00394280">
        <w:t>e</w:t>
      </w:r>
      <w:r w:rsidR="00486207" w:rsidRPr="00034410">
        <w:t xml:space="preserve">chtbauer’s </w:t>
      </w:r>
      <w:r w:rsidR="00486207" w:rsidRPr="00034410">
        <w:fldChar w:fldCharType="begin"/>
      </w:r>
      <w:r w:rsidR="00486207">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00486207" w:rsidRPr="00034410">
        <w:fldChar w:fldCharType="separate"/>
      </w:r>
      <w:r w:rsidR="00486207">
        <w:t>(2022)</w:t>
      </w:r>
      <w:r w:rsidR="00486207" w:rsidRPr="00034410">
        <w:fldChar w:fldCharType="end"/>
      </w:r>
      <w:r w:rsidR="00486207" w:rsidRPr="00034410">
        <w:t xml:space="preserve"> implementation </w:t>
      </w:r>
      <w:r w:rsidR="00486207">
        <w:t xml:space="preserve">of a </w:t>
      </w:r>
      <w:r w:rsidR="00486207" w:rsidRPr="00034410">
        <w:t xml:space="preserve">Hunter &amp; Schmidt </w:t>
      </w:r>
      <w:r w:rsidR="00486207">
        <w:t xml:space="preserve">style meta-analysis written </w:t>
      </w:r>
      <w:r w:rsidR="00362596">
        <w:t xml:space="preserve">using the </w:t>
      </w:r>
      <w:r w:rsidR="00486207" w:rsidRPr="00034410">
        <w:t xml:space="preserve">metafor package </w:t>
      </w:r>
      <w:r w:rsidR="00486207" w:rsidRPr="00034410">
        <w:fldChar w:fldCharType="begin"/>
      </w:r>
      <w:r w:rsidR="00486207"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486207" w:rsidRPr="00034410">
        <w:rPr>
          <w:rFonts w:ascii="Cambria" w:hAnsi="Cambria" w:cs="Cambria"/>
        </w:rPr>
        <w:instrText>×</w:instrText>
      </w:r>
      <w:r w:rsidR="00486207"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00486207" w:rsidRPr="00034410">
        <w:rPr>
          <w:rFonts w:ascii="Cambria Math" w:hAnsi="Cambria Math" w:cs="Cambria Math"/>
        </w:rPr>
        <w:instrText>≥</w:instrText>
      </w:r>
      <w:r w:rsidR="00486207"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00486207" w:rsidRPr="00034410">
        <w:fldChar w:fldCharType="separate"/>
      </w:r>
      <w:r w:rsidR="00486207" w:rsidRPr="00034410">
        <w:rPr>
          <w:noProof/>
        </w:rPr>
        <w:t>(Viechtbauer, 2010, 2024)</w:t>
      </w:r>
      <w:r w:rsidR="00486207" w:rsidRPr="00034410">
        <w:fldChar w:fldCharType="end"/>
      </w:r>
      <w:r w:rsidR="00486207" w:rsidRPr="00034410">
        <w:t>. This provided new avenue</w:t>
      </w:r>
      <w:r w:rsidR="00486207">
        <w:t>s</w:t>
      </w:r>
      <w:r w:rsidR="00486207" w:rsidRPr="00034410">
        <w:t xml:space="preserve"> to attempt to reproduce the original results in a programming language </w:t>
      </w:r>
      <w:r w:rsidR="00005851">
        <w:t xml:space="preserve">and package </w:t>
      </w:r>
      <w:r w:rsidR="00486207" w:rsidRPr="00034410">
        <w:t>I was more familiar with</w:t>
      </w:r>
      <w:r w:rsidR="00486207">
        <w:t xml:space="preserve">, allowing me to try a variety of variations on a given attempt more efficiently. </w:t>
      </w:r>
      <w:r w:rsidR="00486207" w:rsidRPr="00034410">
        <w:t xml:space="preserve">Field &amp; Gillett’s (2010) equations </w:t>
      </w:r>
      <w:r w:rsidR="00486207">
        <w:t xml:space="preserve">2-5 </w:t>
      </w:r>
      <w:r w:rsidR="00486207" w:rsidRPr="00034410">
        <w:t xml:space="preserve">were </w:t>
      </w:r>
      <w:r w:rsidR="00486207">
        <w:t xml:space="preserve">used to </w:t>
      </w:r>
      <w:r w:rsidR="00486207" w:rsidRPr="00034410">
        <w:t>implement</w:t>
      </w:r>
      <w:r w:rsidR="00486207">
        <w:t xml:space="preserve"> Credibility Intervals</w:t>
      </w:r>
      <w:r w:rsidR="00486207" w:rsidRPr="00034410">
        <w:t xml:space="preserve">. </w:t>
      </w:r>
      <w:r w:rsidR="00486207">
        <w:t>In this attempt,</w:t>
      </w:r>
      <w:r w:rsidR="00486207" w:rsidRPr="00034410">
        <w:t xml:space="preserve"> the </w:t>
      </w:r>
      <w:r w:rsidR="00486207">
        <w:t>Confidence Interval</w:t>
      </w:r>
      <w:r w:rsidR="00486207" w:rsidRPr="00034410">
        <w:t xml:space="preserve">s reported by Vahey et al. (2015) were reproduced. However, the point estimate and </w:t>
      </w:r>
      <w:r w:rsidR="00486207">
        <w:t>Credibility Interval</w:t>
      </w:r>
      <w:r w:rsidR="00486207" w:rsidRPr="00034410">
        <w:t>s again did not reproduce the</w:t>
      </w:r>
      <w:r w:rsidR="00486207">
        <w:t xml:space="preserve"> </w:t>
      </w:r>
      <w:r w:rsidR="00486207" w:rsidRPr="00034410">
        <w:t xml:space="preserve">original results and matched the results found in verification analyses 1 and </w:t>
      </w:r>
      <w:r w:rsidR="004205E5">
        <w:t>4, as well as being very close to 3.</w:t>
      </w:r>
      <w:r w:rsidR="0042288E">
        <w:t xml:space="preserve"> </w:t>
      </w:r>
    </w:p>
    <w:p w14:paraId="71B8C4E1" w14:textId="77777777" w:rsidR="00A50992" w:rsidRPr="00034410" w:rsidRDefault="00000000" w:rsidP="00B53073">
      <w:r w:rsidRPr="00034410">
        <w:t xml:space="preserve">This verification </w:t>
      </w:r>
      <w:proofErr w:type="gramStart"/>
      <w:r w:rsidRPr="00034410">
        <w:t>attempt</w:t>
      </w:r>
      <w:proofErr w:type="gramEnd"/>
      <w:r w:rsidRPr="00034410">
        <w:t xml:space="preserve"> also attempted to reproduce the original forest plot (Vahey et al., 2015, Figure 1), which was more feasible in R</w:t>
      </w:r>
      <w:r w:rsidR="00955D3B">
        <w:t xml:space="preserve"> and metafor</w:t>
      </w:r>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 xml:space="preserve">s around individual effect sizes were </w:t>
      </w:r>
      <w:r w:rsidRPr="00034410">
        <w:t>symmetric and therefore did not reproduce the original plot.</w:t>
      </w:r>
    </w:p>
    <w:p w14:paraId="5865D05E" w14:textId="77777777" w:rsidR="00CE42B4" w:rsidRPr="00034410" w:rsidRDefault="00000000" w:rsidP="00034410">
      <w:pPr>
        <w:pStyle w:val="Heading3"/>
      </w:pPr>
      <w:r w:rsidRPr="00034410">
        <w:t xml:space="preserve">Verification </w:t>
      </w:r>
      <w:proofErr w:type="gramStart"/>
      <w:r w:rsidRPr="00034410">
        <w:t>attempt</w:t>
      </w:r>
      <w:proofErr w:type="gramEnd"/>
      <w:r w:rsidRPr="00034410">
        <w:t xml:space="preserve"> </w:t>
      </w:r>
      <w:r w:rsidR="00CB2D07">
        <w:t>6</w:t>
      </w:r>
    </w:p>
    <w:p w14:paraId="54F77DE3" w14:textId="77777777" w:rsidR="005E75C5" w:rsidRDefault="00000000" w:rsidP="00034410">
      <w:r>
        <w:t xml:space="preserve">Next, </w:t>
      </w:r>
      <w:r w:rsidR="00E64CC9" w:rsidRPr="00034410">
        <w:t>I appl</w:t>
      </w:r>
      <w:r w:rsidR="001E6578">
        <w:t>ied</w:t>
      </w:r>
      <w:r w:rsidR="00E64CC9" w:rsidRPr="00034410">
        <w:t xml:space="preserve"> Fisher’s </w:t>
      </w:r>
      <w:r w:rsidR="00E64CC9" w:rsidRPr="00034410">
        <w:rPr>
          <w:i/>
          <w:iCs/>
        </w:rPr>
        <w:t>r</w:t>
      </w:r>
      <w:r w:rsidR="00E64CC9" w:rsidRPr="00034410">
        <w:t>-to-</w:t>
      </w:r>
      <w:r w:rsidR="00E64CC9" w:rsidRPr="00034410">
        <w:rPr>
          <w:i/>
          <w:iCs/>
        </w:rPr>
        <w:t>z</w:t>
      </w:r>
      <w:r w:rsidR="00E64CC9" w:rsidRPr="00034410">
        <w:t xml:space="preserve"> transformations to the individual effect sizes prior to meta-analysis and back transformations prior to reporting and plotting. </w:t>
      </w:r>
      <w:r w:rsidR="000B270B" w:rsidRPr="00034410">
        <w:t xml:space="preserve">The analysis was otherwise identical to the previous attempt. </w:t>
      </w:r>
      <w:r w:rsidR="00A9575F" w:rsidRPr="00034410">
        <w:t>All estimated values were identical to attempt</w:t>
      </w:r>
      <w:r w:rsidR="00BF0A69">
        <w:t xml:space="preserve"> </w:t>
      </w:r>
      <w:r w:rsidR="00BB224F">
        <w:t>5</w:t>
      </w:r>
      <w:r w:rsidR="00A9575F" w:rsidRPr="00034410">
        <w:t xml:space="preserve">, therefore the original </w:t>
      </w:r>
      <w:r w:rsidR="003E7C6F">
        <w:t xml:space="preserve">meta-analysis </w:t>
      </w:r>
      <w:r w:rsidR="00A9575F" w:rsidRPr="00034410">
        <w:t xml:space="preserve">results were not reproduced. </w:t>
      </w:r>
    </w:p>
    <w:p w14:paraId="35A56234" w14:textId="77777777" w:rsidR="00550D8B" w:rsidRDefault="00000000" w:rsidP="00034410">
      <w:r>
        <w:t>However, t</w:t>
      </w:r>
      <w:r w:rsidR="00A9575F" w:rsidRPr="00034410">
        <w:t xml:space="preserve">he forest plot associated with this attempt </w:t>
      </w:r>
      <w:r w:rsidR="00095EF1">
        <w:t xml:space="preserve">did </w:t>
      </w:r>
      <w:r w:rsidR="00A9575F" w:rsidRPr="00034410">
        <w:t xml:space="preserve">reproduce the </w:t>
      </w:r>
      <w:r w:rsidR="00BE42D5">
        <w:t>Confidence Interval</w:t>
      </w:r>
      <w:r w:rsidR="00C03C33" w:rsidRPr="00034410">
        <w:t xml:space="preserve">s around the individual effect sizes </w:t>
      </w:r>
      <w:r w:rsidR="003A2CB1">
        <w:t xml:space="preserve">from </w:t>
      </w:r>
      <w:r w:rsidR="00095EF1">
        <w:t xml:space="preserve">Vahey et al.’s (2015) </w:t>
      </w:r>
      <w:r w:rsidR="00C03C33" w:rsidRPr="00034410">
        <w:t xml:space="preserve">original </w:t>
      </w:r>
      <w:r w:rsidR="00095EF1">
        <w:t xml:space="preserve">forest </w:t>
      </w:r>
      <w:r w:rsidR="00095EF1" w:rsidRPr="00095EF1">
        <w:t xml:space="preserve">plot </w:t>
      </w:r>
      <w:r w:rsidR="00A737AB" w:rsidRPr="00095EF1">
        <w:t>(see</w:t>
      </w:r>
      <w:r w:rsidR="00095EF1" w:rsidRPr="00095EF1">
        <w:t xml:space="preserve"> their Figure 1 and this manuscript’s</w:t>
      </w:r>
      <w:r w:rsidR="00A737AB" w:rsidRPr="00095EF1">
        <w:t xml:space="preserve"> Figure</w:t>
      </w:r>
      <w:r w:rsidR="00B24332">
        <w:t>s</w:t>
      </w:r>
      <w:r w:rsidR="00A737AB" w:rsidRPr="00095EF1">
        <w:t xml:space="preserve"> </w:t>
      </w:r>
      <w:r w:rsidR="00B24332">
        <w:t xml:space="preserve">1 and </w:t>
      </w:r>
      <w:r w:rsidR="007745DA">
        <w:t>3</w:t>
      </w:r>
      <w:r w:rsidR="00A737AB" w:rsidRPr="00095EF1">
        <w:t>)</w:t>
      </w:r>
      <w:r w:rsidR="001949BE" w:rsidRPr="00095EF1">
        <w:t>,</w:t>
      </w:r>
      <w:r w:rsidR="001949BE" w:rsidRPr="00034410">
        <w:t xml:space="preserve"> suggesting that Vahey et al. (2015) employed these transformations but did not report them. </w:t>
      </w:r>
      <w:r w:rsidR="0098076F">
        <w:t>This under-reported data transformation also implies a second form of underreporting: Vahey et al. (2015) reported employing a Hunter &amp; Schmidt style meta-analysis, but this implies that they diverged from this strategy by also applying Hedges style data transformations</w:t>
      </w:r>
      <w:r w:rsidR="00F06731">
        <w:t xml:space="preserve"> (in addition to not applying Hunter &amp; Schmidt style corrections for reliability). </w:t>
      </w:r>
      <w:r w:rsidR="004730DE">
        <w:t xml:space="preserve">While this reproduction of the original individual effect sizes and their Confidence Intervals gets us one step closer to understanding the original analytic strategy, it nonetheless does not reproduce the meta-analysis results. </w:t>
      </w:r>
    </w:p>
    <w:p w14:paraId="24B53E95" w14:textId="77777777" w:rsidR="00663882" w:rsidRDefault="00000000" w:rsidP="00663882">
      <w:pPr>
        <w:pStyle w:val="Heading3"/>
      </w:pPr>
      <w:r>
        <w:t xml:space="preserve">Verification </w:t>
      </w:r>
      <w:proofErr w:type="gramStart"/>
      <w:r>
        <w:t>attempt</w:t>
      </w:r>
      <w:proofErr w:type="gramEnd"/>
      <w:r>
        <w:t xml:space="preserve"> 7</w:t>
      </w:r>
    </w:p>
    <w:p w14:paraId="582E9DDD" w14:textId="77777777" w:rsidR="00663882" w:rsidRDefault="00000000" w:rsidP="00663882">
      <w:r>
        <w:t xml:space="preserve">Lastly, I </w:t>
      </w:r>
      <w:proofErr w:type="gramStart"/>
      <w:r>
        <w:t>made an attempt</w:t>
      </w:r>
      <w:proofErr w:type="gramEnd"/>
      <w:r>
        <w:t xml:space="preserve"> that purposeful</w:t>
      </w:r>
      <w:r w:rsidR="002F018F">
        <w:t>ly made</w:t>
      </w:r>
      <w:r>
        <w:t xml:space="preserve"> </w:t>
      </w:r>
      <w:r w:rsidR="002F018F">
        <w:t xml:space="preserve">statistical errors </w:t>
      </w:r>
      <w:r w:rsidR="005E6726">
        <w:t xml:space="preserve">and went against Vahey et al.’s (2015) descriptions of their analytic strategy </w:t>
      </w:r>
      <w:r>
        <w:t xml:space="preserve">to see if </w:t>
      </w:r>
      <w:r w:rsidR="002F018F">
        <w:t xml:space="preserve">it could allow me to </w:t>
      </w:r>
      <w:r>
        <w:t>reproduce the original results. Although Vahey et al. (2015) are explicit that they meta-analyzed the 15 weighted average effect sizes, in this attempt I instead used the 56 individual weighted effect sizes, weighted by the sample sizes reported in the original forest plot (their Figure 1). This analysis therefore purposefully ignored the dependencies among the effect sizes, which Vahey et al. (2015) acknowledged is problematic</w:t>
      </w:r>
      <w:r w:rsidR="0008043F">
        <w:t xml:space="preserve"> (see their Footnote 2)</w:t>
      </w:r>
      <w:r>
        <w:t xml:space="preserve">. </w:t>
      </w:r>
      <w:r w:rsidR="004F1AC7">
        <w:t xml:space="preserve">For this, I returned to using the original </w:t>
      </w:r>
      <w:r w:rsidR="004F1AC7" w:rsidRPr="00034410">
        <w:t>“h_s syntax.sps”</w:t>
      </w:r>
      <w:r w:rsidR="004F1AC7">
        <w:t xml:space="preserve"> SPSS script, with all reliabilities still set to 0.0.</w:t>
      </w:r>
      <w:r w:rsidR="005E3ABB">
        <w:t xml:space="preserve"> </w:t>
      </w:r>
    </w:p>
    <w:p w14:paraId="0F6B08EC" w14:textId="77777777" w:rsidR="005E3ABB" w:rsidRPr="00663882" w:rsidRDefault="00000000" w:rsidP="00663882">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.48; reported CI = [.40, .54], recalculated CR = [.39, .57]; reported CR = [.23, .67[,</w:t>
      </w:r>
      <w:r>
        <w:t xml:space="preserve"> </w:t>
      </w:r>
      <w:r w:rsidRPr="005E3ABB">
        <w:t xml:space="preserve">recalculated CI = [.20, 74]. </w:t>
      </w:r>
    </w:p>
    <w:p w14:paraId="1841ECDA" w14:textId="77777777" w:rsidR="000C5BDB" w:rsidRDefault="00000000" w:rsidP="00034410">
      <w:pPr>
        <w:pStyle w:val="Heading3"/>
      </w:pPr>
      <w:r w:rsidRPr="00034410">
        <w:t>Summar</w:t>
      </w:r>
      <w:r w:rsidR="00987DC7" w:rsidRPr="00034410">
        <w:t xml:space="preserve">y </w:t>
      </w:r>
      <w:r w:rsidR="009B1C88">
        <w:t>of attempts</w:t>
      </w:r>
    </w:p>
    <w:p w14:paraId="342813A1" w14:textId="77777777" w:rsidR="009B1C88" w:rsidRPr="009B1C88" w:rsidRDefault="00000000" w:rsidP="009B1C88">
      <w:r>
        <w:t>A large</w:t>
      </w:r>
      <w:r w:rsidR="007F7517">
        <w:t>r</w:t>
      </w:r>
      <w:r>
        <w:t xml:space="preserve"> number of small variations on the attempts that are reported here were also tried. For </w:t>
      </w:r>
      <w:r>
        <w:lastRenderedPageBreak/>
        <w:t xml:space="preserve">example, alternative values for reliability estimates, and not </w:t>
      </w:r>
      <w:proofErr w:type="gramStart"/>
      <w:r>
        <w:t>back-transforming</w:t>
      </w:r>
      <w:proofErr w:type="gramEnd"/>
      <w:r>
        <w:t xml:space="preserve">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0085D651" w14:textId="77777777"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297B9833" w14:textId="77777777" w:rsidR="00EA7CE9" w:rsidRDefault="00000000" w:rsidP="00034410">
      <w:r>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77777777" w:rsidR="00710E09" w:rsidRDefault="00000000" w:rsidP="00034410">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mislabelling Confidence Intervals as Credibility Intervals and vice versa. </w:t>
      </w:r>
    </w:p>
    <w:p w14:paraId="343E3FF0" w14:textId="77777777" w:rsidR="000521C2" w:rsidRDefault="00000000" w:rsidP="000521C2">
      <w:r>
        <w:t xml:space="preserve">Lastly, </w:t>
      </w:r>
      <w:proofErr w:type="gramStart"/>
      <w:r>
        <w:t>with regard to</w:t>
      </w:r>
      <w:proofErr w:type="gramEnd"/>
      <w:r>
        <w:t xml:space="preserve">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w:t>
      </w:r>
      <w:r w:rsidR="00877E70">
        <w:t>, or even which mistakes if any during the meta-analysis may have given rise to their reported results.</w:t>
      </w:r>
    </w:p>
    <w:p w14:paraId="5327A12E" w14:textId="77777777" w:rsidR="00697E83" w:rsidRPr="00034410" w:rsidRDefault="00000000" w:rsidP="00034410">
      <w:pPr>
        <w:pStyle w:val="Heading2"/>
      </w:pPr>
      <w:r>
        <w:t>Weighted a</w:t>
      </w:r>
      <w:r w:rsidR="00B95E95" w:rsidRPr="00034410">
        <w:t>verage effect sizes</w:t>
      </w:r>
      <w:r w:rsidR="007E5FD2" w:rsidRPr="00034410">
        <w:t xml:space="preserve"> </w:t>
      </w:r>
    </w:p>
    <w:p w14:paraId="325F52BE" w14:textId="77777777" w:rsidR="00F73DA2" w:rsidRDefault="00000000" w:rsidP="0046629A">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w:t>
      </w:r>
      <w:r>
        <w:t>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034410">
      <w:pPr>
        <w:pStyle w:val="Heading2"/>
      </w:pPr>
      <w:r w:rsidRPr="00034410">
        <w:t>I</w:t>
      </w:r>
      <w:r w:rsidR="00B95E95" w:rsidRPr="00034410">
        <w:t xml:space="preserve">ndividual effect sizes </w:t>
      </w:r>
    </w:p>
    <w:p w14:paraId="32E6DCAD"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034410">
      <w:pPr>
        <w:pStyle w:val="Heading3"/>
      </w:pPr>
      <w:r w:rsidRPr="00034410">
        <w:t>Assessment of incorrect inclusion</w:t>
      </w:r>
      <w:r w:rsidR="007E6922" w:rsidRPr="00034410">
        <w:t>s</w:t>
      </w:r>
    </w:p>
    <w:p w14:paraId="4644309E"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4109F1C5" w14:textId="77777777" w:rsidR="00C65769" w:rsidRPr="00034410" w:rsidRDefault="00000000" w:rsidP="00A42C2C">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 xml:space="preserve">23 of the 56 </w:t>
      </w:r>
      <w:r w:rsidR="004666D2" w:rsidRPr="00034410">
        <w:lastRenderedPageBreak/>
        <w:t>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proofErr w:type="gramStart"/>
      <w:r w:rsidR="004666D2" w:rsidRPr="00034410">
        <w:t>)</w:t>
      </w:r>
      <w:r w:rsidR="00C41C74" w:rsidRPr="00034410">
        <w:t>, and</w:t>
      </w:r>
      <w:proofErr w:type="gramEnd"/>
      <w:r w:rsidR="00C41C74" w:rsidRPr="00034410">
        <w:t xml:space="preserve"> were therefore not suitable to be included in a meta-analysis of the IRAP’s criterion validity. </w:t>
      </w:r>
      <w:r w:rsidR="003E7022">
        <w:t>A large degree of incorrect inclusion error was therefore detected in Vahey et al.’s (2015) effect sizes.</w:t>
      </w:r>
    </w:p>
    <w:p w14:paraId="358CDA46" w14:textId="77777777" w:rsidR="00B923AB" w:rsidRPr="00034410" w:rsidRDefault="00000000" w:rsidP="00034410">
      <w:pPr>
        <w:pStyle w:val="Heading3"/>
      </w:pPr>
      <w:r w:rsidRPr="00034410">
        <w:t>Assessment of incorrect exclusions</w:t>
      </w:r>
    </w:p>
    <w:p w14:paraId="779E82BF"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163348A4"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4876702D" w14:textId="77777777" w:rsidR="00B923AB" w:rsidRDefault="00000000"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02BA5BD2" w14:textId="77777777" w:rsidR="004112F6" w:rsidRPr="00034410" w:rsidRDefault="00000000" w:rsidP="004112F6">
      <w:pPr>
        <w:pStyle w:val="Heading3"/>
      </w:pPr>
      <w:r w:rsidRPr="00034410">
        <w:t>Assessment of erroneous calculation</w:t>
      </w:r>
    </w:p>
    <w:p w14:paraId="4261493A"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w:t>
      </w:r>
      <w:r w:rsidRPr="00034410">
        <w:t xml:space="preserve">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94309EB" w14:textId="77777777" w:rsidR="004112F6" w:rsidRDefault="00000000" w:rsidP="004112F6">
      <w:r w:rsidRPr="00034410">
        <w:t xml:space="preserve">A comprehensive assessment of the reproducibility of the conversions of the individual effect sizes to 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9F3291">
      <w:pPr>
        <w:pStyle w:val="Heading2"/>
      </w:pPr>
      <w:r w:rsidRPr="00CC11E4">
        <w:t>Issues in the publication bias analyses</w:t>
      </w:r>
    </w:p>
    <w:p w14:paraId="378370DC"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77777777"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w:t>
      </w:r>
      <w:proofErr w:type="gramStart"/>
      <w:r w:rsidR="00455DB6" w:rsidRPr="00CC11E4">
        <w:t>first, but</w:t>
      </w:r>
      <w:proofErr w:type="gramEnd"/>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775BEBA6"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w:t>
      </w:r>
      <w:r w:rsidR="003D01B6">
        <w:lastRenderedPageBreak/>
        <w:t xml:space="preserve">of publication bias without also reporting </w:t>
      </w:r>
      <w:r w:rsidR="003D01B6" w:rsidRPr="0082796D">
        <w:rPr>
          <w:i/>
          <w:iCs/>
        </w:rPr>
        <w:t>prima facie</w:t>
      </w:r>
      <w:r w:rsidR="003D01B6">
        <w:t xml:space="preserve"> evidence of publication bias from one's own research group ignores important </w:t>
      </w:r>
      <w:proofErr w:type="gramStart"/>
      <w:r w:rsidR="003D01B6">
        <w:t>evidence</w:t>
      </w:r>
      <w:r w:rsidR="005B2B9F">
        <w:t>, and</w:t>
      </w:r>
      <w:proofErr w:type="gramEnd"/>
      <w:r w:rsidR="005B2B9F">
        <w:t xml:space="preserve">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1C6C297B" w14:textId="77777777" w:rsidR="004112F6" w:rsidRPr="00034410" w:rsidRDefault="00000000" w:rsidP="004112F6">
      <w:pPr>
        <w:pStyle w:val="Heading2"/>
      </w:pPr>
      <w:r w:rsidRPr="00034410">
        <w:t>Corrected meta-analysis and power analyses</w:t>
      </w:r>
    </w:p>
    <w:p w14:paraId="7C8015FE" w14:textId="77777777" w:rsidR="004E47BB" w:rsidRPr="00871704" w:rsidRDefault="00000000" w:rsidP="004E47BB">
      <w:proofErr w:type="gramStart"/>
      <w:r w:rsidRPr="00034410">
        <w:t>In order to</w:t>
      </w:r>
      <w:proofErr w:type="gramEnd"/>
      <w:r w:rsidRPr="00034410">
        <w:t xml:space="preserve">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 </w:t>
      </w:r>
    </w:p>
    <w:p w14:paraId="58D8A7F5" w14:textId="77777777" w:rsidR="004E47BB" w:rsidRPr="00871704" w:rsidRDefault="00000000" w:rsidP="004E47BB">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4E47BB">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77777777" w:rsidR="004E47BB" w:rsidRPr="00871704" w:rsidRDefault="00000000" w:rsidP="004E47BB">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39C2393B" w14:textId="77777777" w:rsidR="004E47BB" w:rsidRPr="00871704" w:rsidRDefault="00000000" w:rsidP="004E47BB">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6B1A716F" w14:textId="77777777" w:rsidR="00032ADB" w:rsidRDefault="00032ADB" w:rsidP="00692B30"/>
    <w:p w14:paraId="707EA9D4"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Forest plot for </w:t>
      </w:r>
      <w:r>
        <w:rPr>
          <w:b/>
          <w:bCs/>
          <w:iCs/>
        </w:rPr>
        <w:t>the new meta-analysis</w:t>
      </w:r>
      <w:r w:rsidRPr="00D0718D">
        <w:rPr>
          <w:b/>
          <w:bCs/>
          <w:iCs/>
        </w:rPr>
        <w:t>.</w:t>
      </w:r>
    </w:p>
    <w:p w14:paraId="4646299E" w14:textId="77777777" w:rsidR="00032ADB" w:rsidRDefault="00000000" w:rsidP="00032ADB">
      <w:pPr>
        <w:ind w:firstLine="0"/>
        <w:jc w:val="center"/>
        <w:rPr>
          <w:b/>
          <w:bCs/>
          <w:iCs/>
        </w:rPr>
      </w:pPr>
      <w:r>
        <w:rPr>
          <w:b/>
          <w:bCs/>
          <w:iCs/>
          <w:noProof/>
        </w:rPr>
        <w:drawing>
          <wp:inline distT="0" distB="0" distL="0" distR="0" wp14:anchorId="295A826F" wp14:editId="104AA575">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54671" cy="8552792"/>
                    </a:xfrm>
                    <a:prstGeom prst="rect">
                      <a:avLst/>
                    </a:prstGeom>
                  </pic:spPr>
                </pic:pic>
              </a:graphicData>
            </a:graphic>
          </wp:inline>
        </w:drawing>
      </w:r>
    </w:p>
    <w:p w14:paraId="0CB77921" w14:textId="77777777" w:rsidR="00D5488E" w:rsidRDefault="00D5488E" w:rsidP="00D5488E"/>
    <w:p w14:paraId="75AE9B96" w14:textId="77777777" w:rsidR="00B95E95" w:rsidRPr="00871704" w:rsidRDefault="00000000" w:rsidP="00034410">
      <w:pPr>
        <w:pStyle w:val="Heading1"/>
      </w:pPr>
      <w:r w:rsidRPr="00871704">
        <w:lastRenderedPageBreak/>
        <w:t>Discussion</w:t>
      </w:r>
    </w:p>
    <w:p w14:paraId="4693B6F6" w14:textId="77777777" w:rsidR="00F31469" w:rsidRPr="00871704" w:rsidRDefault="00000000" w:rsidP="00034410">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77777777"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w:t>
      </w:r>
      <w:proofErr w:type="gramStart"/>
      <w:r w:rsidR="008926B3" w:rsidRPr="00871704">
        <w:t>in order to</w:t>
      </w:r>
      <w:proofErr w:type="gramEnd"/>
      <w:r w:rsidR="008926B3" w:rsidRPr="00871704">
        <w:t xml:space="preserve">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r w:rsidRPr="00871704">
        <w:t>favorably</w:t>
      </w:r>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78195346"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w:t>
      </w:r>
      <w:proofErr w:type="gramStart"/>
      <w:r w:rsidR="00F055F7" w:rsidRPr="00871704">
        <w:t>power;</w:t>
      </w:r>
      <w:proofErr w:type="gramEnd"/>
      <w:r w:rsidR="00F055F7" w:rsidRPr="00871704">
        <w:t xml:space="preserve">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034410" w:rsidRDefault="00000000" w:rsidP="00034410">
      <w:pPr>
        <w:pStyle w:val="Heading2"/>
      </w:pPr>
      <w:r w:rsidRPr="00034410">
        <w:t>Limitations</w:t>
      </w:r>
    </w:p>
    <w:p w14:paraId="5BBEF6FE"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w:t>
      </w:r>
      <w:r w:rsidR="00E4650E" w:rsidRPr="00034410">
        <w:lastRenderedPageBreak/>
        <w:t xml:space="preserve">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48166842" w14:textId="77777777" w:rsidR="00F545F5" w:rsidRPr="001951D7" w:rsidRDefault="00000000" w:rsidP="00F545F5">
      <w:pPr>
        <w:pStyle w:val="Heading2"/>
      </w:pPr>
      <w:r w:rsidRPr="001951D7">
        <w:t>Future research on error detection in meta-analyses</w:t>
      </w:r>
    </w:p>
    <w:p w14:paraId="1EAA7ABB" w14:textId="77777777" w:rsidR="00F545F5" w:rsidRPr="001951D7" w:rsidRDefault="00000000" w:rsidP="00F545F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F545F5">
      <w:pPr>
        <w:pStyle w:val="ListParagraph"/>
        <w:numPr>
          <w:ilvl w:val="0"/>
          <w:numId w:val="5"/>
        </w:numPr>
        <w:ind w:left="360" w:hanging="270"/>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1951D7" w:rsidRDefault="00000000" w:rsidP="00F545F5">
      <w:pPr>
        <w:pStyle w:val="ListParagraph"/>
        <w:numPr>
          <w:ilvl w:val="0"/>
          <w:numId w:val="5"/>
        </w:numPr>
        <w:ind w:left="360" w:hanging="270"/>
      </w:pPr>
      <w:r>
        <w:t>Plots that appear to have been created using software other than commonly employed meta-analysis software (e.g., common R packages for this, Cochrane’s RevMan, Comprehensive Meta-Analysis, etc) may be more likely to contain or expose errors</w:t>
      </w:r>
      <w:r w:rsidR="00841B98">
        <w:t xml:space="preserve">. </w:t>
      </w:r>
    </w:p>
    <w:p w14:paraId="5731C2AC" w14:textId="77777777" w:rsidR="00F545F5" w:rsidRPr="001951D7" w:rsidRDefault="00000000" w:rsidP="00F545F5">
      <w:pPr>
        <w:pStyle w:val="ListParagraph"/>
        <w:numPr>
          <w:ilvl w:val="0"/>
          <w:numId w:val="5"/>
        </w:numPr>
        <w:ind w:left="360" w:hanging="270"/>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95% CI width / [1.96 </w:t>
      </w:r>
      <m:oMath>
        <m:r>
          <w:rPr>
            <w:rFonts w:ascii="Cambria Math" w:hAnsi="Cambria Math"/>
          </w:rPr>
          <m:t>×</m:t>
        </m:r>
      </m:oMath>
      <w:r w:rsidRPr="001951D7">
        <w:t xml:space="preserve"> 2]). </w:t>
      </w:r>
    </w:p>
    <w:p w14:paraId="2B0622B8" w14:textId="77777777" w:rsidR="00F545F5" w:rsidRPr="001951D7" w:rsidRDefault="00000000" w:rsidP="00F545F5">
      <w:pPr>
        <w:pStyle w:val="ListParagraph"/>
        <w:numPr>
          <w:ilvl w:val="0"/>
          <w:numId w:val="5"/>
        </w:numPr>
        <w:ind w:left="360" w:hanging="270"/>
      </w:pPr>
      <w:r w:rsidRPr="001951D7">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F545F5">
      <w:pPr>
        <w:pStyle w:val="ListParagraph"/>
        <w:numPr>
          <w:ilvl w:val="0"/>
          <w:numId w:val="5"/>
        </w:numPr>
        <w:ind w:left="360" w:hanging="270"/>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F545F5">
      <w:pPr>
        <w:pStyle w:val="ListParagraph"/>
        <w:numPr>
          <w:ilvl w:val="0"/>
          <w:numId w:val="5"/>
        </w:numPr>
        <w:ind w:left="360" w:hanging="270"/>
      </w:pPr>
      <w:r>
        <w:t xml:space="preserve">The </w:t>
      </w:r>
      <w:r w:rsidRPr="001951D7">
        <w:t xml:space="preserve">accurate application of the inclusion criteria can also be </w:t>
      </w:r>
      <w:proofErr w:type="gramStart"/>
      <w:r>
        <w:t>checked,</w:t>
      </w:r>
      <w:proofErr w:type="gramEnd"/>
      <w:r>
        <w:t xml:space="preserve">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F545F5">
      <w:pPr>
        <w:pStyle w:val="ListParagraph"/>
        <w:numPr>
          <w:ilvl w:val="0"/>
          <w:numId w:val="5"/>
        </w:numPr>
        <w:ind w:left="360" w:hanging="270"/>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F545F5">
      <w:pPr>
        <w:pStyle w:val="ListParagraph"/>
        <w:numPr>
          <w:ilvl w:val="0"/>
          <w:numId w:val="5"/>
        </w:numPr>
        <w:ind w:left="360" w:hanging="270"/>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F545F5">
      <w:pPr>
        <w:pStyle w:val="ListParagraph"/>
        <w:numPr>
          <w:ilvl w:val="0"/>
          <w:numId w:val="5"/>
        </w:numPr>
        <w:ind w:left="360" w:hanging="270"/>
      </w:pPr>
      <w:r w:rsidRPr="001951D7">
        <w:t xml:space="preserve">Bias assessments can also be scrutinized. This can include an assessment of over-claiming via incorrect interpretations of non-significant tests for bias. </w:t>
      </w:r>
    </w:p>
    <w:p w14:paraId="7F04FB84" w14:textId="77777777" w:rsidR="00F545F5" w:rsidRPr="001951D7" w:rsidRDefault="00000000" w:rsidP="00F545F5">
      <w:pPr>
        <w:pStyle w:val="ListParagraph"/>
        <w:numPr>
          <w:ilvl w:val="0"/>
          <w:numId w:val="5"/>
        </w:numPr>
        <w:ind w:left="360" w:hanging="270"/>
      </w:pPr>
      <w:r w:rsidRPr="001951D7">
        <w:t>Additionally, it can be useful to assess the overlap in authorship between the meta-analysis and the original studies</w:t>
      </w:r>
      <w:r w:rsidR="00A75400">
        <w:t xml:space="preserve"> </w:t>
      </w:r>
      <w:proofErr w:type="gramStart"/>
      <w:r w:rsidR="00A75400">
        <w:t>in order to</w:t>
      </w:r>
      <w:proofErr w:type="gramEnd"/>
      <w:r w:rsidR="00A75400">
        <w:t xml:space="preserve"> understand potential sources of bias, including but not limited to contextualizing the results of any quantitative tests of publication bias or </w:t>
      </w:r>
      <w:r w:rsidR="00A75400" w:rsidRPr="00A75400">
        <w:rPr>
          <w:i/>
          <w:iCs/>
        </w:rPr>
        <w:t>p</w:t>
      </w:r>
      <w:r w:rsidR="00A75400">
        <w:t>-hacking</w:t>
      </w:r>
      <w:r w:rsidR="00CD1F5D">
        <w:t xml:space="preserve">. </w:t>
      </w:r>
      <w:r w:rsidRPr="001951D7">
        <w:t xml:space="preserve"> </w:t>
      </w:r>
    </w:p>
    <w:p w14:paraId="7D32047D" w14:textId="77777777" w:rsidR="00C9290D" w:rsidRPr="00034410" w:rsidRDefault="00000000" w:rsidP="00034410">
      <w:pPr>
        <w:pStyle w:val="Heading2"/>
      </w:pPr>
      <w:r w:rsidRPr="00034410">
        <w:t>Conclusions</w:t>
      </w:r>
    </w:p>
    <w:p w14:paraId="02E33443"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6158A3C3" w14:textId="77777777" w:rsidR="001B6961" w:rsidRPr="001B6961" w:rsidRDefault="00000000" w:rsidP="001B6961">
      <w:pPr>
        <w:pStyle w:val="Heading1"/>
      </w:pPr>
      <w:r w:rsidRPr="001B6961">
        <w:t>Conflict of Interest</w:t>
      </w:r>
    </w:p>
    <w:p w14:paraId="208F5D3D" w14:textId="77777777" w:rsidR="001B6961" w:rsidRDefault="00000000"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led by third parties of which we were both co-authors were published up to 2018. </w:t>
      </w:r>
      <w:r w:rsidR="008739A5">
        <w:t xml:space="preserve">I </w:t>
      </w:r>
      <w:r w:rsidRPr="001B6961">
        <w:t>declare</w:t>
      </w:r>
      <w:r w:rsidR="008739A5">
        <w:t xml:space="preserve"> that I have </w:t>
      </w:r>
      <w:r w:rsidRPr="001B6961">
        <w:t>no other conflict</w:t>
      </w:r>
      <w:r w:rsidR="008739A5">
        <w:t>s</w:t>
      </w:r>
      <w:r w:rsidRPr="001B6961">
        <w:t xml:space="preserve"> of interest associated with the publication of this manuscript.</w:t>
      </w:r>
    </w:p>
    <w:p w14:paraId="36F8BF22" w14:textId="77777777" w:rsidR="008A13E3" w:rsidRDefault="00000000" w:rsidP="008A13E3">
      <w:pPr>
        <w:pStyle w:val="Heading1"/>
      </w:pPr>
      <w:r>
        <w:t>Acknowledgments</w:t>
      </w:r>
    </w:p>
    <w:p w14:paraId="7FC94A3F" w14:textId="77777777" w:rsidR="00871704" w:rsidRDefault="00000000" w:rsidP="009A457F">
      <w:r>
        <w:t xml:space="preserve">I first presented elements of these analyses at the Association for Contextual Behavioral Science meeting in Dublin in 2019. </w:t>
      </w:r>
      <w:r w:rsidR="00F8714D">
        <w:t xml:space="preserve">That </w:t>
      </w:r>
      <w:r w:rsidR="009A457F">
        <w:t>symposium was also the first 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68325D5A" w14:textId="77777777" w:rsidR="00167923" w:rsidRDefault="00000000" w:rsidP="00954504">
      <w:pPr>
        <w:pStyle w:val="Heading1"/>
      </w:pPr>
      <w:r w:rsidRPr="00034410">
        <w:t>References</w:t>
      </w:r>
    </w:p>
    <w:p w14:paraId="6F34394F" w14:textId="77777777" w:rsidR="0074245E" w:rsidRPr="0074245E" w:rsidRDefault="00000000" w:rsidP="0074245E">
      <w:pPr>
        <w:pStyle w:val="Bibliography"/>
      </w:pPr>
      <w:r>
        <w:fldChar w:fldCharType="begin"/>
      </w:r>
      <w:r>
        <w:instrText xml:space="preserve"> ADDIN ZOTERO_BIBL {"uncited":[],"omitted":[],"custom":[]} CSL_BIBLIOGRAPHY </w:instrText>
      </w:r>
      <w:r>
        <w:fldChar w:fldCharType="separate"/>
      </w:r>
      <w:r w:rsidRPr="0074245E">
        <w:t xml:space="preserve">Aczel, B., Palfi, B., Szollosi, A., Kovacs, M., Szaszi, B., Szecsi, P., Zrubka, M., Gronau, Q. F., van den Bergh, D., &amp; Wagenmakers, E.-J. (2018). Quantifying Support for the Null Hypothesis in Psychology: An Empirical Investigation. </w:t>
      </w:r>
      <w:r w:rsidRPr="0074245E">
        <w:rPr>
          <w:i/>
          <w:iCs/>
        </w:rPr>
        <w:t xml:space="preserve">Advances </w:t>
      </w:r>
      <w:r w:rsidRPr="0074245E">
        <w:rPr>
          <w:i/>
          <w:iCs/>
        </w:rPr>
        <w:lastRenderedPageBreak/>
        <w:t>in Methods and Practices in Psychological Science</w:t>
      </w:r>
      <w:r w:rsidRPr="0074245E">
        <w:t xml:space="preserve">, </w:t>
      </w:r>
      <w:r w:rsidRPr="0074245E">
        <w:rPr>
          <w:i/>
          <w:iCs/>
        </w:rPr>
        <w:t>1</w:t>
      </w:r>
      <w:r w:rsidRPr="0074245E">
        <w:t>(3), 357–366. https://doi.org/10.1177/2515245918773742</w:t>
      </w:r>
    </w:p>
    <w:p w14:paraId="41876FF4" w14:textId="77777777" w:rsidR="0074245E" w:rsidRPr="0074245E" w:rsidRDefault="00000000" w:rsidP="0074245E">
      <w:pPr>
        <w:pStyle w:val="Bibliography"/>
      </w:pPr>
      <w:r w:rsidRPr="0074245E">
        <w:t xml:space="preserve">Allen, M. J., &amp; Yen, W. M. (2002). </w:t>
      </w:r>
      <w:r w:rsidRPr="0074245E">
        <w:rPr>
          <w:i/>
          <w:iCs/>
        </w:rPr>
        <w:t>Introduction to measurement theory</w:t>
      </w:r>
      <w:r w:rsidRPr="0074245E">
        <w:t>. Waveland Press.</w:t>
      </w:r>
    </w:p>
    <w:p w14:paraId="03DEBED5" w14:textId="77777777" w:rsidR="0074245E" w:rsidRPr="0074245E" w:rsidRDefault="00000000" w:rsidP="0074245E">
      <w:pPr>
        <w:pStyle w:val="Bibliography"/>
      </w:pPr>
      <w:r w:rsidRPr="0074245E">
        <w:t xml:space="preserve">American Psychological Association. (2024). </w:t>
      </w:r>
      <w:r w:rsidRPr="0074245E">
        <w:rPr>
          <w:i/>
          <w:iCs/>
        </w:rPr>
        <w:t>APA Dictionary of Psychology</w:t>
      </w:r>
      <w:r w:rsidRPr="0074245E">
        <w:t>. https://dictionary.apa.org/criterion-validity</w:t>
      </w:r>
    </w:p>
    <w:p w14:paraId="134BA708" w14:textId="77777777" w:rsidR="0074245E" w:rsidRPr="0074245E" w:rsidRDefault="00000000" w:rsidP="0074245E">
      <w:pPr>
        <w:pStyle w:val="Bibliography"/>
      </w:pPr>
      <w:r w:rsidRPr="0074245E">
        <w:t xml:space="preserve">Barnes-Holmes, D., Barnes-Holmes, Y., Stewart, I., &amp; Boles, S. (2010). A sketch of the Implicit Relational Assessment Procedure (IRAP) and the Relational Elaboration and Coherence (REC) model. </w:t>
      </w:r>
      <w:r w:rsidRPr="0074245E">
        <w:rPr>
          <w:i/>
          <w:iCs/>
        </w:rPr>
        <w:t>The Psychological Record</w:t>
      </w:r>
      <w:r w:rsidRPr="0074245E">
        <w:t xml:space="preserve">, </w:t>
      </w:r>
      <w:r w:rsidRPr="0074245E">
        <w:rPr>
          <w:i/>
          <w:iCs/>
        </w:rPr>
        <w:t>60</w:t>
      </w:r>
      <w:r w:rsidRPr="0074245E">
        <w:t>(3), 527–542. https://doi.org/10.1007/BF03395726</w:t>
      </w:r>
    </w:p>
    <w:p w14:paraId="5853937B" w14:textId="77777777" w:rsidR="0074245E" w:rsidRPr="0074245E" w:rsidRDefault="00000000" w:rsidP="0074245E">
      <w:pPr>
        <w:pStyle w:val="Bibliography"/>
      </w:pPr>
      <w:r w:rsidRPr="0074245E">
        <w:t xml:space="preserve">Barnes-Holmes, D., &amp; Harte, C. (2022a). The IRAP as a Measure of Implicit Cognition: A Case of Frankenstein’s Monster. </w:t>
      </w:r>
      <w:r w:rsidRPr="0074245E">
        <w:rPr>
          <w:i/>
          <w:iCs/>
        </w:rPr>
        <w:t>Perspectives on Behavior Science</w:t>
      </w:r>
      <w:r w:rsidRPr="0074245E">
        <w:t>. https://doi.org/10.1007/s40614-022-00352-z</w:t>
      </w:r>
    </w:p>
    <w:p w14:paraId="194DAAA8" w14:textId="77777777" w:rsidR="0074245E" w:rsidRPr="0074245E" w:rsidRDefault="00000000" w:rsidP="0074245E">
      <w:pPr>
        <w:pStyle w:val="Bibliography"/>
      </w:pPr>
      <w:r w:rsidRPr="0074245E">
        <w:t xml:space="preserve">Barnes-Holmes, D., &amp; Harte, C. (2022b). Relational frame theory 20 years on: The Odysseus voyage and beyond. In </w:t>
      </w:r>
      <w:r w:rsidRPr="0074245E">
        <w:rPr>
          <w:i/>
          <w:iCs/>
        </w:rPr>
        <w:t>Journal of the Experimental Analysis of Behavior</w:t>
      </w:r>
      <w:r w:rsidRPr="0074245E">
        <w:t xml:space="preserve"> (Vol. 117, Issue 2, pp. 240–266). WILEY. https://doi.org/10.1002/jeab.733</w:t>
      </w:r>
    </w:p>
    <w:p w14:paraId="5398A1C2" w14:textId="77777777" w:rsidR="0074245E" w:rsidRPr="0074245E" w:rsidRDefault="00000000" w:rsidP="0074245E">
      <w:pPr>
        <w:pStyle w:val="Bibliography"/>
      </w:pPr>
      <w:r w:rsidRPr="0074245E">
        <w:t xml:space="preserve">Bast, D. F., &amp; Barnes-Holmes, D. (2015). Developing the Implicit Relational Assessment Procedure (IRAP) as a Measure of Self-Forgiveness Related to Failing and Succeeding Behaviors. </w:t>
      </w:r>
      <w:r w:rsidRPr="0074245E">
        <w:rPr>
          <w:i/>
          <w:iCs/>
        </w:rPr>
        <w:t>The Psychological Record</w:t>
      </w:r>
      <w:r w:rsidRPr="0074245E">
        <w:t xml:space="preserve">, </w:t>
      </w:r>
      <w:r w:rsidRPr="0074245E">
        <w:rPr>
          <w:i/>
          <w:iCs/>
        </w:rPr>
        <w:t>65</w:t>
      </w:r>
      <w:r w:rsidRPr="0074245E">
        <w:t>(1), 189–201. https://doi.org/10.1007/s40732-014-0100-5</w:t>
      </w:r>
    </w:p>
    <w:p w14:paraId="21826832" w14:textId="77777777" w:rsidR="0074245E" w:rsidRPr="0074245E" w:rsidRDefault="00000000" w:rsidP="0074245E">
      <w:pPr>
        <w:pStyle w:val="Bibliography"/>
      </w:pPr>
      <w:r w:rsidRPr="0074245E">
        <w:t xml:space="preserve">Champely, S. (2016). </w:t>
      </w:r>
      <w:r w:rsidRPr="0074245E">
        <w:rPr>
          <w:i/>
          <w:iCs/>
        </w:rPr>
        <w:t>pwr: Basic Functions for Power Analysis</w:t>
      </w:r>
      <w:r w:rsidRPr="0074245E">
        <w:t xml:space="preserve"> [Computer software]. https://CRAN.R-project.org/package=pwr</w:t>
      </w:r>
    </w:p>
    <w:p w14:paraId="22E3FC0A" w14:textId="77777777" w:rsidR="0074245E" w:rsidRPr="0074245E" w:rsidRDefault="00000000" w:rsidP="0074245E">
      <w:pPr>
        <w:pStyle w:val="Bibliography"/>
      </w:pPr>
      <w:r w:rsidRPr="0074245E">
        <w:t xml:space="preserve">Corneille, O., &amp; Hütter, M. (2020). Implicit? What Do You Mean? A Comprehensive Review of the Delusive Implicitness Construct in Attitude Research. </w:t>
      </w:r>
      <w:r w:rsidRPr="0074245E">
        <w:rPr>
          <w:i/>
          <w:iCs/>
        </w:rPr>
        <w:t>Personality and Social Psychology Review</w:t>
      </w:r>
      <w:r w:rsidRPr="0074245E">
        <w:t>, 1088868320911325. https://doi.org/10.1177/1088868320911325</w:t>
      </w:r>
    </w:p>
    <w:p w14:paraId="1F48D61D" w14:textId="77777777" w:rsidR="0074245E" w:rsidRPr="0074245E" w:rsidRDefault="00000000" w:rsidP="0074245E">
      <w:pPr>
        <w:pStyle w:val="Bibliography"/>
      </w:pPr>
      <w:r w:rsidRPr="0074245E">
        <w:t xml:space="preserve">Egger, M., Smith, G. D., Schneider, M., &amp; Minder, C. (1997). </w:t>
      </w:r>
      <w:r w:rsidRPr="0074245E">
        <w:rPr>
          <w:i/>
          <w:iCs/>
        </w:rPr>
        <w:t>Bias in meta-analysis detected by a simple, graphical test</w:t>
      </w:r>
      <w:r w:rsidRPr="0074245E">
        <w:t>. https://doi.org/10.1136/bmj.315.7109.629</w:t>
      </w:r>
    </w:p>
    <w:p w14:paraId="484ADF24" w14:textId="77777777" w:rsidR="0074245E" w:rsidRPr="0074245E" w:rsidRDefault="00000000" w:rsidP="0074245E">
      <w:pPr>
        <w:pStyle w:val="Bibliography"/>
      </w:pPr>
      <w:r w:rsidRPr="0074245E">
        <w:t xml:space="preserve">Farrell, L., &amp; McHugh, L. (2017). Examining gender-STEM bias among STEM and non-STEM students using the Implicit Relational Assessment Procedure (IRAP). </w:t>
      </w:r>
      <w:r w:rsidRPr="0074245E">
        <w:rPr>
          <w:i/>
          <w:iCs/>
        </w:rPr>
        <w:t>Journal of Contextual Behavioral Science</w:t>
      </w:r>
      <w:r w:rsidRPr="0074245E">
        <w:t xml:space="preserve">, </w:t>
      </w:r>
      <w:r w:rsidRPr="0074245E">
        <w:rPr>
          <w:i/>
          <w:iCs/>
        </w:rPr>
        <w:t>6</w:t>
      </w:r>
      <w:r w:rsidRPr="0074245E">
        <w:t>(1), 80–90. https://doi.org/10.1016/j.jcbs.2017.02.001</w:t>
      </w:r>
    </w:p>
    <w:p w14:paraId="7B5F424A" w14:textId="77777777" w:rsidR="0074245E" w:rsidRPr="0074245E" w:rsidRDefault="00000000" w:rsidP="0074245E">
      <w:pPr>
        <w:pStyle w:val="Bibliography"/>
      </w:pPr>
      <w:r w:rsidRPr="0074245E">
        <w:t xml:space="preserve">Field, A. P., &amp; Gillett, R. (2010). How to do a meta-analysis. </w:t>
      </w:r>
      <w:r w:rsidRPr="0074245E">
        <w:rPr>
          <w:i/>
          <w:iCs/>
        </w:rPr>
        <w:t>British Journal of Mathematical and Statistical Psychology</w:t>
      </w:r>
      <w:r w:rsidRPr="0074245E">
        <w:t xml:space="preserve">, </w:t>
      </w:r>
      <w:r w:rsidRPr="0074245E">
        <w:rPr>
          <w:i/>
          <w:iCs/>
        </w:rPr>
        <w:t>63</w:t>
      </w:r>
      <w:r w:rsidRPr="0074245E">
        <w:t>(3), 665–694. https://doi.org/10.1348/000711010X502733</w:t>
      </w:r>
    </w:p>
    <w:p w14:paraId="107F0566" w14:textId="77777777" w:rsidR="0074245E" w:rsidRPr="0074245E" w:rsidRDefault="00000000" w:rsidP="0074245E">
      <w:pPr>
        <w:pStyle w:val="Bibliography"/>
      </w:pPr>
      <w:r w:rsidRPr="0074245E">
        <w:t xml:space="preserve">Golijani-Moghaddam, N., Hart, A., &amp; Dawson, D. L. (2013). The Implicit Relational Assessment Procedure: Emerging reliability and validity data. </w:t>
      </w:r>
      <w:r w:rsidRPr="0074245E">
        <w:rPr>
          <w:i/>
          <w:iCs/>
        </w:rPr>
        <w:t>Journal of Contextual Behavioral Science</w:t>
      </w:r>
      <w:r w:rsidRPr="0074245E">
        <w:t xml:space="preserve">, </w:t>
      </w:r>
      <w:r w:rsidRPr="0074245E">
        <w:rPr>
          <w:i/>
          <w:iCs/>
        </w:rPr>
        <w:t>2</w:t>
      </w:r>
      <w:r w:rsidRPr="0074245E">
        <w:t>(3–4), 105–119. https://doi.org/10.1016/j.jcbs.2013.05.002</w:t>
      </w:r>
    </w:p>
    <w:p w14:paraId="73FEDEE9" w14:textId="77777777" w:rsidR="0074245E" w:rsidRPr="0074245E" w:rsidRDefault="00000000" w:rsidP="0074245E">
      <w:pPr>
        <w:pStyle w:val="Bibliography"/>
      </w:pPr>
      <w:r w:rsidRPr="0074245E">
        <w:t xml:space="preserve">Gøtzsche, P. C., Hróbjartsson, A., Marić, K., &amp; Tendal, B. (2007). Data Extraction Errors in Meta-analyses That Use Standardized Mean Differences. </w:t>
      </w:r>
      <w:r w:rsidRPr="0074245E">
        <w:rPr>
          <w:i/>
          <w:iCs/>
        </w:rPr>
        <w:t>JAMA</w:t>
      </w:r>
      <w:r w:rsidRPr="0074245E">
        <w:t xml:space="preserve">, </w:t>
      </w:r>
      <w:r w:rsidRPr="0074245E">
        <w:rPr>
          <w:i/>
          <w:iCs/>
        </w:rPr>
        <w:t>298</w:t>
      </w:r>
      <w:r w:rsidRPr="0074245E">
        <w:t>(4), 430–437. https://doi.org/10.1001/jama.298.4.430</w:t>
      </w:r>
    </w:p>
    <w:p w14:paraId="13BA8E14" w14:textId="77777777" w:rsidR="0074245E" w:rsidRPr="0074245E" w:rsidRDefault="00000000" w:rsidP="0074245E">
      <w:pPr>
        <w:pStyle w:val="Bibliography"/>
      </w:pPr>
      <w:r w:rsidRPr="0074245E">
        <w:t xml:space="preserve">Greenland, S., Senn, S. J., Rothman, K. J., Carlin, J. B., Poole, C., Goodman, S. N., &amp; Altman, D. G. (2016). Statistical tests, P values, confidence intervals, and power: A guide to misinterpretations. </w:t>
      </w:r>
      <w:r w:rsidRPr="0074245E">
        <w:rPr>
          <w:i/>
          <w:iCs/>
        </w:rPr>
        <w:t>European Journal of Epidemiology</w:t>
      </w:r>
      <w:r w:rsidRPr="0074245E">
        <w:t xml:space="preserve">, </w:t>
      </w:r>
      <w:r w:rsidRPr="0074245E">
        <w:rPr>
          <w:i/>
          <w:iCs/>
        </w:rPr>
        <w:t>31</w:t>
      </w:r>
      <w:r w:rsidRPr="0074245E">
        <w:t>(4), 337–350. https://doi.org/10.1007/s10654-016-0149-3</w:t>
      </w:r>
    </w:p>
    <w:p w14:paraId="76E94B49" w14:textId="77777777" w:rsidR="0074245E" w:rsidRPr="0074245E" w:rsidRDefault="00000000" w:rsidP="0074245E">
      <w:pPr>
        <w:pStyle w:val="Bibliography"/>
      </w:pPr>
      <w:r w:rsidRPr="0074245E">
        <w:t xml:space="preserve">Greenwald, A. G., &amp; Lai, C. K. (2020). Implicit Social Cognition. </w:t>
      </w:r>
      <w:r w:rsidRPr="0074245E">
        <w:rPr>
          <w:i/>
          <w:iCs/>
        </w:rPr>
        <w:t>Annual Review of Psychology</w:t>
      </w:r>
      <w:r w:rsidRPr="0074245E">
        <w:t xml:space="preserve">, </w:t>
      </w:r>
      <w:r w:rsidRPr="0074245E">
        <w:rPr>
          <w:i/>
          <w:iCs/>
        </w:rPr>
        <w:t>71</w:t>
      </w:r>
      <w:r w:rsidRPr="0074245E">
        <w:t>(1), 419–445. https://doi.org/10.1146/annurev-psych-010419-050837</w:t>
      </w:r>
    </w:p>
    <w:p w14:paraId="6EFA2E4C" w14:textId="77777777" w:rsidR="0074245E" w:rsidRPr="0074245E" w:rsidRDefault="00000000" w:rsidP="0074245E">
      <w:pPr>
        <w:pStyle w:val="Bibliography"/>
      </w:pPr>
      <w:r w:rsidRPr="0074245E">
        <w:t xml:space="preserve">Greenwald, A. G., McGhee, D. E., &amp; Schwartz, J. L. (1998). Measuring individual differences in implicit cognition: The Implicit Association Test. </w:t>
      </w:r>
      <w:r w:rsidRPr="0074245E">
        <w:rPr>
          <w:i/>
          <w:iCs/>
        </w:rPr>
        <w:t>Journal of Personality and Social Psychology</w:t>
      </w:r>
      <w:r w:rsidRPr="0074245E">
        <w:t xml:space="preserve">, </w:t>
      </w:r>
      <w:r w:rsidRPr="0074245E">
        <w:rPr>
          <w:i/>
          <w:iCs/>
        </w:rPr>
        <w:t>74</w:t>
      </w:r>
      <w:r w:rsidRPr="0074245E">
        <w:t>(6), 1464–1480. https://doi.org/10.1037/0022-3514.74.6.1464</w:t>
      </w:r>
    </w:p>
    <w:p w14:paraId="0ECF0057" w14:textId="77777777" w:rsidR="0074245E" w:rsidRPr="0074245E" w:rsidRDefault="00000000" w:rsidP="0074245E">
      <w:pPr>
        <w:pStyle w:val="Bibliography"/>
      </w:pPr>
      <w:r w:rsidRPr="0074245E">
        <w:t xml:space="preserve">Heathers, J. A., Anaya, J., Zee, T. van der, &amp; Brown, N. J. (2018). </w:t>
      </w:r>
      <w:r w:rsidRPr="0074245E">
        <w:rPr>
          <w:i/>
          <w:iCs/>
        </w:rPr>
        <w:t>Recovering data from summary statistics: Sample Parameter Reconstruction via Iterative TEchniques (SPRITE)</w:t>
      </w:r>
      <w:r w:rsidRPr="0074245E">
        <w:t xml:space="preserve"> (e26968v1). PeerJ Inc. https://doi.org/10.7287/peerj.preprints.26968v1</w:t>
      </w:r>
    </w:p>
    <w:p w14:paraId="364CBE48" w14:textId="77777777" w:rsidR="0074245E" w:rsidRPr="0074245E" w:rsidRDefault="00000000" w:rsidP="0074245E">
      <w:pPr>
        <w:pStyle w:val="Bibliography"/>
      </w:pPr>
      <w:r w:rsidRPr="0074245E">
        <w:t xml:space="preserve">Hemphill, J. F. (2003). Interpreting the magnitudes of correlation coefficients. </w:t>
      </w:r>
      <w:r w:rsidRPr="0074245E">
        <w:rPr>
          <w:i/>
          <w:iCs/>
        </w:rPr>
        <w:t>American Psychologist</w:t>
      </w:r>
      <w:r w:rsidRPr="0074245E">
        <w:t xml:space="preserve">, </w:t>
      </w:r>
      <w:r w:rsidRPr="0074245E">
        <w:rPr>
          <w:i/>
          <w:iCs/>
        </w:rPr>
        <w:t>58</w:t>
      </w:r>
      <w:r w:rsidRPr="0074245E">
        <w:t>(1), 78–79. https://doi.org/10.1037/0003-066X.58.1.78</w:t>
      </w:r>
    </w:p>
    <w:p w14:paraId="392C9E3B" w14:textId="77777777" w:rsidR="0074245E" w:rsidRPr="0074245E" w:rsidRDefault="00000000" w:rsidP="0074245E">
      <w:pPr>
        <w:pStyle w:val="Bibliography"/>
      </w:pPr>
      <w:r w:rsidRPr="0074245E">
        <w:t xml:space="preserve">Hunter, J. E., &amp; Schmidt, F. L. (2004). </w:t>
      </w:r>
      <w:r w:rsidRPr="0074245E">
        <w:rPr>
          <w:i/>
          <w:iCs/>
        </w:rPr>
        <w:t>Methods of meta-analysis: Correcting error and bias in research findings</w:t>
      </w:r>
      <w:r w:rsidRPr="0074245E">
        <w:t>. Sage.</w:t>
      </w:r>
    </w:p>
    <w:p w14:paraId="7FBF219C" w14:textId="77777777" w:rsidR="0074245E" w:rsidRPr="0074245E" w:rsidRDefault="00000000" w:rsidP="0074245E">
      <w:pPr>
        <w:pStyle w:val="Bibliography"/>
      </w:pPr>
      <w:r w:rsidRPr="0074245E">
        <w:t xml:space="preserve">Hussey, I. (2022). Reply to Barnes-Holmes &amp; Harte (2022) “The IRAP as a Measure of Implicit Cognition: A Case of Frankenstein’s Monster”. </w:t>
      </w:r>
      <w:r w:rsidRPr="0074245E">
        <w:rPr>
          <w:i/>
          <w:iCs/>
        </w:rPr>
        <w:t>PsyArXiv</w:t>
      </w:r>
      <w:r w:rsidRPr="0074245E">
        <w:t>. https://doi.org/10.31234/osf.io/qmg6s</w:t>
      </w:r>
    </w:p>
    <w:p w14:paraId="62795841" w14:textId="77777777" w:rsidR="0074245E" w:rsidRPr="0074245E" w:rsidRDefault="00000000" w:rsidP="0074245E">
      <w:pPr>
        <w:pStyle w:val="Bibliography"/>
      </w:pPr>
      <w:r w:rsidRPr="0074245E">
        <w:t xml:space="preserve">Hussey, I. (2023). A systematic review of null hypothesis significance testing, sample sizes, and statistical power in research using the Implicit Relational Assessment Procedure. </w:t>
      </w:r>
      <w:r w:rsidRPr="0074245E">
        <w:rPr>
          <w:i/>
          <w:iCs/>
        </w:rPr>
        <w:t>Journal of Contextual Behavioral Science</w:t>
      </w:r>
      <w:r w:rsidRPr="0074245E">
        <w:t xml:space="preserve">, </w:t>
      </w:r>
      <w:r w:rsidRPr="0074245E">
        <w:rPr>
          <w:i/>
          <w:iCs/>
        </w:rPr>
        <w:t>29</w:t>
      </w:r>
      <w:r w:rsidRPr="0074245E">
        <w:t>, 86–97. https://doi.org/10.1016/j.jcbs.2023.06.008</w:t>
      </w:r>
    </w:p>
    <w:p w14:paraId="643B95BF" w14:textId="77777777" w:rsidR="0074245E" w:rsidRPr="0074245E" w:rsidRDefault="00000000" w:rsidP="0074245E">
      <w:pPr>
        <w:pStyle w:val="Bibliography"/>
      </w:pPr>
      <w:r w:rsidRPr="0074245E">
        <w:t xml:space="preserve">Hussey, I., Alsalti, T., Bosco, F., Elson, M., &amp; Arslan, R. C. (2023). </w:t>
      </w:r>
      <w:r w:rsidRPr="0074245E">
        <w:rPr>
          <w:i/>
          <w:iCs/>
        </w:rPr>
        <w:t>An aberrant abundance of Cronbach’s alpha values at .70</w:t>
      </w:r>
      <w:r w:rsidRPr="0074245E">
        <w:t>. PsyArXiv. https://doi.org/10.31234/osf.io/dm8xn</w:t>
      </w:r>
    </w:p>
    <w:p w14:paraId="5CEC9BF3" w14:textId="77777777" w:rsidR="0074245E" w:rsidRPr="0074245E" w:rsidRDefault="00000000" w:rsidP="0074245E">
      <w:pPr>
        <w:pStyle w:val="Bibliography"/>
      </w:pPr>
      <w:r w:rsidRPr="0074245E">
        <w:t xml:space="preserve">Hussey, I., &amp; Drake, C. E. (2020). The Implicit Relational Assessment Procedure demonstrates poor internal consistency and test-retest reliability: A meta-analysis. </w:t>
      </w:r>
      <w:r w:rsidRPr="0074245E">
        <w:rPr>
          <w:i/>
          <w:iCs/>
        </w:rPr>
        <w:t>PsyArXiv</w:t>
      </w:r>
      <w:r w:rsidRPr="0074245E">
        <w:t>. https://doi.org/10.31234/osf.io/ge3k7</w:t>
      </w:r>
    </w:p>
    <w:p w14:paraId="7C2791C4" w14:textId="77777777" w:rsidR="0074245E" w:rsidRPr="0074245E" w:rsidRDefault="00000000" w:rsidP="0074245E">
      <w:pPr>
        <w:pStyle w:val="Bibliography"/>
      </w:pPr>
      <w:r w:rsidRPr="0074245E">
        <w:t xml:space="preserve">Hussey, I., &amp; Drake, C. E. (2022). </w:t>
      </w:r>
      <w:r w:rsidRPr="0074245E">
        <w:rPr>
          <w:i/>
          <w:iCs/>
        </w:rPr>
        <w:t>The IRAP File-Drawer: A repository of unpublished studies using the Implicit Relational Assessment Procedure</w:t>
      </w:r>
      <w:r w:rsidRPr="0074245E">
        <w:t>. https://osf.io/g4qsu/</w:t>
      </w:r>
    </w:p>
    <w:p w14:paraId="150FF9E7" w14:textId="77777777" w:rsidR="0074245E" w:rsidRPr="0074245E" w:rsidRDefault="00000000" w:rsidP="0074245E">
      <w:pPr>
        <w:pStyle w:val="Bibliography"/>
      </w:pPr>
      <w:r w:rsidRPr="0074245E">
        <w:t xml:space="preserve">Kadlec, D., Sainani, K. L., &amp; Nimphius, S. (2023). With Great Power Comes Great Responsibility: </w:t>
      </w:r>
      <w:r w:rsidRPr="0074245E">
        <w:lastRenderedPageBreak/>
        <w:t xml:space="preserve">Common Errors in Meta-Analyses and Meta-Regressions in Strength &amp; Conditioning Research. </w:t>
      </w:r>
      <w:r w:rsidRPr="0074245E">
        <w:rPr>
          <w:i/>
          <w:iCs/>
        </w:rPr>
        <w:t>Sports Medicine</w:t>
      </w:r>
      <w:r w:rsidRPr="0074245E">
        <w:t xml:space="preserve">, </w:t>
      </w:r>
      <w:r w:rsidRPr="0074245E">
        <w:rPr>
          <w:i/>
          <w:iCs/>
        </w:rPr>
        <w:t>53</w:t>
      </w:r>
      <w:r w:rsidRPr="0074245E">
        <w:t>(2), 313–325. https://doi.org/10.1007/s40279-022-01766-0</w:t>
      </w:r>
    </w:p>
    <w:p w14:paraId="20F2C366" w14:textId="77777777" w:rsidR="0074245E" w:rsidRPr="0074245E" w:rsidRDefault="00000000" w:rsidP="0074245E">
      <w:pPr>
        <w:pStyle w:val="Bibliography"/>
      </w:pPr>
      <w:r w:rsidRPr="0074245E">
        <w:t xml:space="preserve">Kavanagh, D., Barnes-Holmes, Y., &amp; Barnes-Holmes, D. (2022). Attempting to Analyze Perspective-Taking with a False Belief Vignette Using the Implicit Relational Assessment Procedure. </w:t>
      </w:r>
      <w:r w:rsidRPr="0074245E">
        <w:rPr>
          <w:i/>
          <w:iCs/>
        </w:rPr>
        <w:t>The Psychological Record</w:t>
      </w:r>
      <w:r w:rsidRPr="0074245E">
        <w:t xml:space="preserve">, </w:t>
      </w:r>
      <w:r w:rsidRPr="0074245E">
        <w:rPr>
          <w:i/>
          <w:iCs/>
        </w:rPr>
        <w:t>72</w:t>
      </w:r>
      <w:r w:rsidRPr="0074245E">
        <w:t>(4), 525–549. https://doi.org/10.1007/s40732-021-00500-y</w:t>
      </w:r>
    </w:p>
    <w:p w14:paraId="1C3EE78A" w14:textId="77777777" w:rsidR="0074245E" w:rsidRPr="0074245E" w:rsidRDefault="00000000" w:rsidP="0074245E">
      <w:pPr>
        <w:pStyle w:val="Bibliography"/>
      </w:pPr>
      <w:r w:rsidRPr="0074245E">
        <w:t xml:space="preserve">Lakens, D., Hilgard, J., &amp; Staaks, J. (2016). On the reproducibility of meta-analyses: Six practical recommendations. </w:t>
      </w:r>
      <w:r w:rsidRPr="0074245E">
        <w:rPr>
          <w:i/>
          <w:iCs/>
        </w:rPr>
        <w:t>BMC Psychology</w:t>
      </w:r>
      <w:r w:rsidRPr="0074245E">
        <w:t xml:space="preserve">, </w:t>
      </w:r>
      <w:r w:rsidRPr="0074245E">
        <w:rPr>
          <w:i/>
          <w:iCs/>
        </w:rPr>
        <w:t>4</w:t>
      </w:r>
      <w:r w:rsidRPr="0074245E">
        <w:t>(1), 24. https://doi.org/10.1186/s40359-016-0126-3</w:t>
      </w:r>
    </w:p>
    <w:p w14:paraId="3445578D" w14:textId="77777777" w:rsidR="0074245E" w:rsidRPr="0074245E" w:rsidRDefault="00000000" w:rsidP="0074245E">
      <w:pPr>
        <w:pStyle w:val="Bibliography"/>
      </w:pPr>
      <w:r w:rsidRPr="0074245E">
        <w:t xml:space="preserve">Lakens, D., Page-Gould, E., van Assen, M. A. L. M., Spellman, B., Schönbrodt, F. D., Hasselman, F., Corker, K. S., Grange, J., Sharples, A., Cavender, C., Augusteijn, H., Augusteijn, H., Gerger, H., Locher, C., Miller, I. D., Anvari, F., &amp; Scheel, A. M. (2017). </w:t>
      </w:r>
      <w:r w:rsidRPr="0074245E">
        <w:rPr>
          <w:i/>
          <w:iCs/>
        </w:rPr>
        <w:t>Examining the Reproducibility of Meta-Analyses in Psychology: A Preliminary Report</w:t>
      </w:r>
      <w:r w:rsidRPr="0074245E">
        <w:t xml:space="preserve"> [Preprint]. BITSS. https://doi.org/10.31222/osf.io/xfbjf</w:t>
      </w:r>
    </w:p>
    <w:p w14:paraId="633C7B76" w14:textId="77777777" w:rsidR="0074245E" w:rsidRPr="0074245E" w:rsidRDefault="00000000" w:rsidP="0074245E">
      <w:pPr>
        <w:pStyle w:val="Bibliography"/>
      </w:pPr>
      <w:r w:rsidRPr="0074245E">
        <w:t xml:space="preserve">Leech, A., Bouyrden, J., Bruijsten, N., Barnes-Holmes, D., &amp; McEnteggart, C. (2018). Training and testing for a transformation of fear and avoidance functions using the Implicit Relational Assessment Procedure: The first study. </w:t>
      </w:r>
      <w:r w:rsidRPr="0074245E">
        <w:rPr>
          <w:i/>
          <w:iCs/>
        </w:rPr>
        <w:t>Behavioural Processes</w:t>
      </w:r>
      <w:r w:rsidRPr="0074245E">
        <w:t xml:space="preserve">, </w:t>
      </w:r>
      <w:r w:rsidRPr="0074245E">
        <w:rPr>
          <w:i/>
          <w:iCs/>
        </w:rPr>
        <w:t>157</w:t>
      </w:r>
      <w:r w:rsidRPr="0074245E">
        <w:t>, 24–35. https://doi.org/10.1016/j.beproc.2018.08.012</w:t>
      </w:r>
    </w:p>
    <w:p w14:paraId="22594366" w14:textId="77777777" w:rsidR="0074245E" w:rsidRPr="0074245E" w:rsidRDefault="00000000" w:rsidP="0074245E">
      <w:pPr>
        <w:pStyle w:val="Bibliography"/>
      </w:pPr>
      <w:r w:rsidRPr="0074245E">
        <w:t xml:space="preserve">López-Nicolás, R., López-López, J. A., Rubio-Aparicio, M., &amp; Sánchez-Meca, J. (2022). A meta-review of transparency and reproducibility-related reporting practices in published meta-analyses on clinical psychological interventions (2000–2020). </w:t>
      </w:r>
      <w:r w:rsidRPr="0074245E">
        <w:rPr>
          <w:i/>
          <w:iCs/>
        </w:rPr>
        <w:t>Behavior Research Methods</w:t>
      </w:r>
      <w:r w:rsidRPr="0074245E">
        <w:t xml:space="preserve">, </w:t>
      </w:r>
      <w:r w:rsidRPr="0074245E">
        <w:rPr>
          <w:i/>
          <w:iCs/>
        </w:rPr>
        <w:t>54</w:t>
      </w:r>
      <w:r w:rsidRPr="0074245E">
        <w:t>(1), 334–349. https://doi.org/10.3758/s13428-021-01644-z</w:t>
      </w:r>
    </w:p>
    <w:p w14:paraId="557B5840" w14:textId="77777777" w:rsidR="0074245E" w:rsidRPr="0074245E" w:rsidRDefault="00000000" w:rsidP="0074245E">
      <w:pPr>
        <w:pStyle w:val="Bibliography"/>
      </w:pPr>
      <w:r w:rsidRPr="0074245E">
        <w:t xml:space="preserve">Maassen, E., Assen, M. A. L. M. van, Nuijten, M. B., Olsson-Collentine, A., &amp; Wicherts, J. M. (2020). Reproducibility of individual effect sizes in meta-analyses in psychology. </w:t>
      </w:r>
      <w:r w:rsidRPr="0074245E">
        <w:rPr>
          <w:i/>
          <w:iCs/>
        </w:rPr>
        <w:t>PLOS ONE</w:t>
      </w:r>
      <w:r w:rsidRPr="0074245E">
        <w:t xml:space="preserve">, </w:t>
      </w:r>
      <w:r w:rsidRPr="0074245E">
        <w:rPr>
          <w:i/>
          <w:iCs/>
        </w:rPr>
        <w:t>15</w:t>
      </w:r>
      <w:r w:rsidRPr="0074245E">
        <w:t>(5), e0233107. https://doi.org/10.1371/journal.pone.0233107</w:t>
      </w:r>
    </w:p>
    <w:p w14:paraId="77F571ED" w14:textId="77777777" w:rsidR="0074245E" w:rsidRPr="0074245E" w:rsidRDefault="00000000" w:rsidP="0074245E">
      <w:pPr>
        <w:pStyle w:val="Bibliography"/>
      </w:pPr>
      <w:r w:rsidRPr="0074245E">
        <w:t xml:space="preserve">Maloney, E., &amp; Barnes-Holmes, D. (2016). Exploring the Behavioral Dynamics of the Implicit Relational Assessment Procedure: The Role of Relational Contextual Cues Versus Relational Coherence Indicators as Response Options. </w:t>
      </w:r>
      <w:r w:rsidRPr="0074245E">
        <w:rPr>
          <w:i/>
          <w:iCs/>
        </w:rPr>
        <w:t>The Psychological Record</w:t>
      </w:r>
      <w:r w:rsidRPr="0074245E">
        <w:t xml:space="preserve">, </w:t>
      </w:r>
      <w:r w:rsidRPr="0074245E">
        <w:rPr>
          <w:i/>
          <w:iCs/>
        </w:rPr>
        <w:t>66</w:t>
      </w:r>
      <w:r w:rsidRPr="0074245E">
        <w:t>(3), 395–403. https://doi.org/10.1007/s40732-016-0180-5</w:t>
      </w:r>
    </w:p>
    <w:p w14:paraId="1E2099C5" w14:textId="77777777" w:rsidR="0074245E" w:rsidRPr="0074245E" w:rsidRDefault="00000000" w:rsidP="0074245E">
      <w:pPr>
        <w:pStyle w:val="Bibliography"/>
      </w:pPr>
      <w:r w:rsidRPr="0074245E">
        <w:t xml:space="preserve">Marin, F., Rohatgi, A., &amp; Charlot, S. (2017). </w:t>
      </w:r>
      <w:r w:rsidRPr="0074245E">
        <w:rPr>
          <w:i/>
          <w:iCs/>
        </w:rPr>
        <w:t>WebPlotDigitizer, a polyvalent and free software to extract spectra from old astronomical publications: Application to ultraviolet spectropolarimetry</w:t>
      </w:r>
      <w:r w:rsidRPr="0074245E">
        <w:t xml:space="preserve"> (arXiv:1708.02025). arXiv. http://arxiv.org/abs/1708.02025</w:t>
      </w:r>
    </w:p>
    <w:p w14:paraId="63B7DA07" w14:textId="77777777" w:rsidR="0074245E" w:rsidRPr="0074245E" w:rsidRDefault="00000000" w:rsidP="0074245E">
      <w:pPr>
        <w:pStyle w:val="Bibliography"/>
      </w:pPr>
      <w:r w:rsidRPr="0074245E">
        <w:t xml:space="preserve">Perugini, M., Gallucci, M., &amp; Costantini, G. (2014). Safeguard Power as a Protection Against Imprecise Power Estimates. </w:t>
      </w:r>
      <w:r w:rsidRPr="0074245E">
        <w:rPr>
          <w:i/>
          <w:iCs/>
        </w:rPr>
        <w:t xml:space="preserve">Perspectives on Psychological </w:t>
      </w:r>
      <w:r w:rsidRPr="0074245E">
        <w:rPr>
          <w:i/>
          <w:iCs/>
        </w:rPr>
        <w:t>Science</w:t>
      </w:r>
      <w:r w:rsidRPr="0074245E">
        <w:t xml:space="preserve">, </w:t>
      </w:r>
      <w:r w:rsidRPr="0074245E">
        <w:rPr>
          <w:i/>
          <w:iCs/>
        </w:rPr>
        <w:t>9</w:t>
      </w:r>
      <w:r w:rsidRPr="0074245E">
        <w:t>(3), 319–332. https://doi.org/10.1177/1745691614528519</w:t>
      </w:r>
    </w:p>
    <w:p w14:paraId="1F3438FA" w14:textId="77777777" w:rsidR="0074245E" w:rsidRPr="0074245E" w:rsidRDefault="00000000" w:rsidP="0074245E">
      <w:pPr>
        <w:pStyle w:val="Bibliography"/>
      </w:pPr>
      <w:r w:rsidRPr="0074245E">
        <w:t xml:space="preserve">Plessen, C. Y., Karyotaki, E., Miguel, C., Ciharova, M., &amp; Cuijpers, P. (2023). Exploring the efficacy of psychotherapies for depression: A multiverse meta-analysis. </w:t>
      </w:r>
      <w:r w:rsidRPr="0074245E">
        <w:rPr>
          <w:i/>
          <w:iCs/>
        </w:rPr>
        <w:t>BMJ Ment Health</w:t>
      </w:r>
      <w:r w:rsidRPr="0074245E">
        <w:t xml:space="preserve">, </w:t>
      </w:r>
      <w:r w:rsidRPr="0074245E">
        <w:rPr>
          <w:i/>
          <w:iCs/>
        </w:rPr>
        <w:t>26</w:t>
      </w:r>
      <w:r w:rsidRPr="0074245E">
        <w:t>(1). https://doi.org/10.1136/bmjment-2022-300626</w:t>
      </w:r>
    </w:p>
    <w:p w14:paraId="317AA105" w14:textId="77777777" w:rsidR="0074245E" w:rsidRPr="0074245E" w:rsidRDefault="00000000" w:rsidP="0074245E">
      <w:pPr>
        <w:pStyle w:val="Bibliography"/>
      </w:pPr>
      <w:r w:rsidRPr="0074245E">
        <w:t xml:space="preserve">Power, P. M., Harte, C., Barnes-Holmes, D., &amp; Barnes-Holmes, Y. (2017). Exploring Racial Bias in a European Country with a Recent History of Immigration of Black Africans. </w:t>
      </w:r>
      <w:r w:rsidRPr="0074245E">
        <w:rPr>
          <w:i/>
          <w:iCs/>
        </w:rPr>
        <w:t>The Psychological Record</w:t>
      </w:r>
      <w:r w:rsidRPr="0074245E">
        <w:t xml:space="preserve">, </w:t>
      </w:r>
      <w:r w:rsidRPr="0074245E">
        <w:rPr>
          <w:i/>
          <w:iCs/>
        </w:rPr>
        <w:t>67</w:t>
      </w:r>
      <w:r w:rsidRPr="0074245E">
        <w:t>(3), 365–375. https://doi.org/10.1007/s40732-017-0223-6</w:t>
      </w:r>
    </w:p>
    <w:p w14:paraId="487FFA42" w14:textId="77777777" w:rsidR="0074245E" w:rsidRPr="0074245E" w:rsidRDefault="00000000" w:rsidP="0074245E">
      <w:pPr>
        <w:pStyle w:val="Bibliography"/>
      </w:pPr>
      <w:r w:rsidRPr="0074245E">
        <w:t xml:space="preserve">Revelle, W. (2009). </w:t>
      </w:r>
      <w:r w:rsidRPr="0074245E">
        <w:rPr>
          <w:i/>
          <w:iCs/>
        </w:rPr>
        <w:t>An introduction to psychometric theory with applications in R</w:t>
      </w:r>
      <w:r w:rsidRPr="0074245E">
        <w:t>. Springer Evanston, IL. https://www.personality-project.org/r/book/</w:t>
      </w:r>
    </w:p>
    <w:p w14:paraId="70B08DB7" w14:textId="77777777" w:rsidR="0074245E" w:rsidRPr="0074245E" w:rsidRDefault="00000000" w:rsidP="0074245E">
      <w:pPr>
        <w:pStyle w:val="Bibliography"/>
      </w:pPr>
      <w:r w:rsidRPr="0074245E">
        <w:t xml:space="preserve">Richard, F. D., Bond, C. F., &amp; Stokes-Zoota, J. J. (2003). One Hundred Years of Social Psychology Quantitatively Described. </w:t>
      </w:r>
      <w:r w:rsidRPr="0074245E">
        <w:rPr>
          <w:i/>
          <w:iCs/>
        </w:rPr>
        <w:t>Review of General Psychology</w:t>
      </w:r>
      <w:r w:rsidRPr="0074245E">
        <w:t xml:space="preserve">, </w:t>
      </w:r>
      <w:r w:rsidRPr="0074245E">
        <w:rPr>
          <w:i/>
          <w:iCs/>
        </w:rPr>
        <w:t>7</w:t>
      </w:r>
      <w:r w:rsidRPr="0074245E">
        <w:t>(4), 331–363. https://doi.org/10.1037/1089-2680.7.4.331</w:t>
      </w:r>
    </w:p>
    <w:p w14:paraId="40399A38" w14:textId="77777777" w:rsidR="0074245E" w:rsidRPr="0074245E" w:rsidRDefault="00000000" w:rsidP="0074245E">
      <w:pPr>
        <w:pStyle w:val="Bibliography"/>
      </w:pPr>
      <w:r w:rsidRPr="0074245E">
        <w:t xml:space="preserve">Rücker, G., Carpenter, J. R., &amp; Schwarzer, G. (2011). Detecting and adjusting for small-study effects in meta-analysis. </w:t>
      </w:r>
      <w:r w:rsidRPr="0074245E">
        <w:rPr>
          <w:i/>
          <w:iCs/>
        </w:rPr>
        <w:t>Biometrical Journal</w:t>
      </w:r>
      <w:r w:rsidRPr="0074245E">
        <w:t xml:space="preserve">, </w:t>
      </w:r>
      <w:r w:rsidRPr="0074245E">
        <w:rPr>
          <w:i/>
          <w:iCs/>
        </w:rPr>
        <w:t>53</w:t>
      </w:r>
      <w:r w:rsidRPr="0074245E">
        <w:t>(2), 351–368. https://doi.org/10.1002/bimj.201000151</w:t>
      </w:r>
    </w:p>
    <w:p w14:paraId="7CDE3008" w14:textId="77777777" w:rsidR="0074245E" w:rsidRPr="0074245E" w:rsidRDefault="00000000" w:rsidP="0074245E">
      <w:pPr>
        <w:pStyle w:val="Bibliography"/>
      </w:pPr>
      <w:r w:rsidRPr="0074245E">
        <w:t xml:space="preserve">Sterne, J. A. C., Gavaghan, D., &amp; Egger, M. (2000). Publication and related bias in meta-analysis: Power of statistical tests and prevalence in the literature. </w:t>
      </w:r>
      <w:r w:rsidRPr="0074245E">
        <w:rPr>
          <w:i/>
          <w:iCs/>
        </w:rPr>
        <w:t>Journal of Clinical Epidemiology</w:t>
      </w:r>
      <w:r w:rsidRPr="0074245E">
        <w:t xml:space="preserve">, </w:t>
      </w:r>
      <w:r w:rsidRPr="0074245E">
        <w:rPr>
          <w:i/>
          <w:iCs/>
        </w:rPr>
        <w:t>53</w:t>
      </w:r>
      <w:r w:rsidRPr="0074245E">
        <w:t>(11), 1119–1129. https://doi.org/10.1016/S0895-4356(00)00242-0</w:t>
      </w:r>
    </w:p>
    <w:p w14:paraId="72E58D00" w14:textId="77777777" w:rsidR="0074245E" w:rsidRPr="0074245E" w:rsidRDefault="00000000" w:rsidP="0074245E">
      <w:pPr>
        <w:pStyle w:val="Bibliography"/>
      </w:pPr>
      <w:r w:rsidRPr="0074245E">
        <w:t xml:space="preserve">Vahey, N. A., Nicholson, E., &amp; Barnes-Holmes, D. (2015). A meta-analysis of criterion effects for the Implicit Relational Assessment Procedure (IRAP) in the clinical domain. </w:t>
      </w:r>
      <w:r w:rsidRPr="0074245E">
        <w:rPr>
          <w:i/>
          <w:iCs/>
        </w:rPr>
        <w:t>Journal of Behavior Therapy and Experimental Psychiatry</w:t>
      </w:r>
      <w:r w:rsidRPr="0074245E">
        <w:t xml:space="preserve">, </w:t>
      </w:r>
      <w:r w:rsidRPr="0074245E">
        <w:rPr>
          <w:i/>
          <w:iCs/>
        </w:rPr>
        <w:t>48</w:t>
      </w:r>
      <w:r w:rsidRPr="0074245E">
        <w:t>, 59–65. https://doi.org/10.1016/j.jbtep.2015.01.004</w:t>
      </w:r>
    </w:p>
    <w:p w14:paraId="6B5F40FE" w14:textId="77777777" w:rsidR="0074245E" w:rsidRPr="0074245E" w:rsidRDefault="00000000" w:rsidP="0074245E">
      <w:pPr>
        <w:pStyle w:val="Bibliography"/>
      </w:pPr>
      <w:r w:rsidRPr="0074245E">
        <w:t xml:space="preserve">Vevea, J. L., &amp; Woods, C. M. (2005). Publication bias in research synthesis: Sensitivity analysis using a priori weight functions. </w:t>
      </w:r>
      <w:r w:rsidRPr="0074245E">
        <w:rPr>
          <w:i/>
          <w:iCs/>
        </w:rPr>
        <w:t>Psychological Methods</w:t>
      </w:r>
      <w:r w:rsidRPr="0074245E">
        <w:t xml:space="preserve">, </w:t>
      </w:r>
      <w:r w:rsidRPr="0074245E">
        <w:rPr>
          <w:i/>
          <w:iCs/>
        </w:rPr>
        <w:t>10</w:t>
      </w:r>
      <w:r w:rsidRPr="0074245E">
        <w:t>(4), 428–443. https://doi.org/10.1037/1082-989X.10.4.428</w:t>
      </w:r>
    </w:p>
    <w:p w14:paraId="404D4430" w14:textId="77777777" w:rsidR="0074245E" w:rsidRPr="0074245E" w:rsidRDefault="00000000" w:rsidP="0074245E">
      <w:pPr>
        <w:pStyle w:val="Bibliography"/>
      </w:pPr>
      <w:r w:rsidRPr="0074245E">
        <w:t xml:space="preserve">Viechtbauer, W. (2010). Conducting Meta-Analyses in R with the metafor Package. </w:t>
      </w:r>
      <w:r w:rsidRPr="0074245E">
        <w:rPr>
          <w:i/>
          <w:iCs/>
        </w:rPr>
        <w:t>Journal of Statistical Software</w:t>
      </w:r>
      <w:r w:rsidRPr="0074245E">
        <w:t xml:space="preserve">, </w:t>
      </w:r>
      <w:r w:rsidRPr="0074245E">
        <w:rPr>
          <w:i/>
          <w:iCs/>
        </w:rPr>
        <w:t>36</w:t>
      </w:r>
      <w:r w:rsidRPr="0074245E">
        <w:t>(3). https://doi.org/10.18637/jss.v036.i03</w:t>
      </w:r>
    </w:p>
    <w:p w14:paraId="6F3DBF46" w14:textId="77777777" w:rsidR="0074245E" w:rsidRPr="0074245E" w:rsidRDefault="00000000" w:rsidP="0074245E">
      <w:pPr>
        <w:pStyle w:val="Bibliography"/>
      </w:pPr>
      <w:r w:rsidRPr="0074245E">
        <w:t xml:space="preserve">Viechtbauer, W. (2022). </w:t>
      </w:r>
      <w:r w:rsidRPr="0074245E">
        <w:rPr>
          <w:i/>
          <w:iCs/>
        </w:rPr>
        <w:t>Hunter and Schmidt Method</w:t>
      </w:r>
      <w:r w:rsidRPr="0074245E">
        <w:t>. https://www.metafor-project.org/doku.php/tips:hunter_schmidt_method</w:t>
      </w:r>
    </w:p>
    <w:p w14:paraId="2EDFD877" w14:textId="77777777" w:rsidR="0074245E" w:rsidRPr="0074245E" w:rsidRDefault="00000000" w:rsidP="0074245E">
      <w:pPr>
        <w:pStyle w:val="Bibliography"/>
      </w:pPr>
      <w:r w:rsidRPr="0074245E">
        <w:t xml:space="preserve">Viechtbauer, W. (2024). </w:t>
      </w:r>
      <w:r w:rsidRPr="0074245E">
        <w:rPr>
          <w:i/>
          <w:iCs/>
        </w:rPr>
        <w:t>metafor: Meta-Analysis Package for R</w:t>
      </w:r>
      <w:r w:rsidRPr="0074245E">
        <w:t xml:space="preserve"> (4.6-0) [Computer software]. https://CRAN.R-project.org/package=metafor</w:t>
      </w:r>
    </w:p>
    <w:p w14:paraId="5C80269E" w14:textId="77777777" w:rsidR="0074245E" w:rsidRPr="0074245E" w:rsidRDefault="00000000" w:rsidP="0074245E">
      <w:pPr>
        <w:pStyle w:val="Bibliography"/>
      </w:pPr>
      <w:r w:rsidRPr="0074245E">
        <w:t xml:space="preserve">Wilkinson, J., Heal, C., Antoniou, G. A., Alfirevic, Z., Avenell, A., Barbour, V., Brown, N. J. L., Carlisle, J., Dicker, P., Dumville, J., Grey, A., Gurrin, L. C., Hayden, J. A., Heathers, J., Hunter, K. E., Lasserson, T., Lam, E., Lensen, S., Li, T., … Kirkham, J. J. (2023). </w:t>
      </w:r>
      <w:r w:rsidRPr="0074245E">
        <w:rPr>
          <w:i/>
          <w:iCs/>
        </w:rPr>
        <w:t xml:space="preserve">Protocol for the </w:t>
      </w:r>
      <w:r w:rsidRPr="0074245E">
        <w:rPr>
          <w:i/>
          <w:iCs/>
        </w:rPr>
        <w:lastRenderedPageBreak/>
        <w:t>development of a tool (INSPECT-SR) to identify problematic randomised controlled trials in systematic reviews of health interventions</w:t>
      </w:r>
      <w:r w:rsidRPr="0074245E">
        <w:t xml:space="preserve"> (p. </w:t>
      </w:r>
      <w:r w:rsidRPr="0074245E">
        <w:t>2023.09.21.23295626). medRxiv. https://doi.org/10.1101/2023.09.21.23295626</w:t>
      </w:r>
    </w:p>
    <w:p w14:paraId="3B566FFD" w14:textId="77777777" w:rsidR="00954504" w:rsidRPr="00954504" w:rsidRDefault="00000000" w:rsidP="00954504">
      <w:pPr>
        <w:ind w:firstLine="0"/>
      </w:pPr>
      <w:r>
        <w:fldChar w:fldCharType="end"/>
      </w:r>
    </w:p>
    <w:p w14:paraId="7E1308A9"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3B402DBC"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FEC10" w14:textId="77777777" w:rsidR="00771FDA" w:rsidRDefault="00771FDA">
      <w:r>
        <w:separator/>
      </w:r>
    </w:p>
  </w:endnote>
  <w:endnote w:type="continuationSeparator" w:id="0">
    <w:p w14:paraId="2B1813D0" w14:textId="77777777" w:rsidR="00771FDA" w:rsidRDefault="0077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547E9A91"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FC8458"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4B916" w14:textId="77777777" w:rsidR="00771FDA" w:rsidRDefault="00771FDA" w:rsidP="00034410">
      <w:r>
        <w:separator/>
      </w:r>
    </w:p>
  </w:footnote>
  <w:footnote w:type="continuationSeparator" w:id="0">
    <w:p w14:paraId="664F5504" w14:textId="77777777" w:rsidR="00771FDA" w:rsidRDefault="00771FDA" w:rsidP="00034410">
      <w:r>
        <w:continuationSeparator/>
      </w:r>
    </w:p>
  </w:footnote>
  <w:footnote w:id="1">
    <w:p w14:paraId="4659E64C" w14:textId="77777777" w:rsidR="002B214D" w:rsidRPr="007C23EB" w:rsidRDefault="00000000" w:rsidP="002B214D">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r w:rsidRPr="007C23EB">
        <w:rPr>
          <w:i/>
          <w:iCs/>
        </w:rPr>
        <w:t>k</w:t>
      </w:r>
      <w:r w:rsidRPr="007C23EB">
        <w:t>s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A5B"/>
    <w:rsid w:val="000111B2"/>
    <w:rsid w:val="00011913"/>
    <w:rsid w:val="000119D0"/>
    <w:rsid w:val="00011BAA"/>
    <w:rsid w:val="000128DF"/>
    <w:rsid w:val="00013124"/>
    <w:rsid w:val="00013508"/>
    <w:rsid w:val="0001350A"/>
    <w:rsid w:val="00013AE4"/>
    <w:rsid w:val="00013F4A"/>
    <w:rsid w:val="00017296"/>
    <w:rsid w:val="0002030D"/>
    <w:rsid w:val="00020A4F"/>
    <w:rsid w:val="00021197"/>
    <w:rsid w:val="000218F8"/>
    <w:rsid w:val="00021C43"/>
    <w:rsid w:val="00021F72"/>
    <w:rsid w:val="00023292"/>
    <w:rsid w:val="000239E6"/>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50D9B"/>
    <w:rsid w:val="000521C2"/>
    <w:rsid w:val="00052449"/>
    <w:rsid w:val="000525B9"/>
    <w:rsid w:val="000532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7BA9"/>
    <w:rsid w:val="000C0C37"/>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4325"/>
    <w:rsid w:val="000D68CF"/>
    <w:rsid w:val="000D6DA5"/>
    <w:rsid w:val="000D7837"/>
    <w:rsid w:val="000D7C57"/>
    <w:rsid w:val="000D7CEC"/>
    <w:rsid w:val="000E02ED"/>
    <w:rsid w:val="000E0890"/>
    <w:rsid w:val="000E2434"/>
    <w:rsid w:val="000E24E4"/>
    <w:rsid w:val="000E284E"/>
    <w:rsid w:val="000E29C2"/>
    <w:rsid w:val="000E3572"/>
    <w:rsid w:val="000F12D8"/>
    <w:rsid w:val="000F1AA0"/>
    <w:rsid w:val="000F1DBE"/>
    <w:rsid w:val="000F2C73"/>
    <w:rsid w:val="000F3D9D"/>
    <w:rsid w:val="000F43B1"/>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75AC"/>
    <w:rsid w:val="0012052E"/>
    <w:rsid w:val="001206E0"/>
    <w:rsid w:val="00122EDC"/>
    <w:rsid w:val="00123A38"/>
    <w:rsid w:val="0012469C"/>
    <w:rsid w:val="00124C89"/>
    <w:rsid w:val="00125897"/>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49AE"/>
    <w:rsid w:val="00144E52"/>
    <w:rsid w:val="00146175"/>
    <w:rsid w:val="0014685A"/>
    <w:rsid w:val="001475A1"/>
    <w:rsid w:val="001475A4"/>
    <w:rsid w:val="0014779F"/>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923"/>
    <w:rsid w:val="00167DAE"/>
    <w:rsid w:val="00170C4C"/>
    <w:rsid w:val="00171EBC"/>
    <w:rsid w:val="001721B4"/>
    <w:rsid w:val="0017243A"/>
    <w:rsid w:val="0017266A"/>
    <w:rsid w:val="00172C84"/>
    <w:rsid w:val="00174134"/>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425A"/>
    <w:rsid w:val="002353CA"/>
    <w:rsid w:val="00235562"/>
    <w:rsid w:val="00235649"/>
    <w:rsid w:val="00235B77"/>
    <w:rsid w:val="00235EAA"/>
    <w:rsid w:val="00236F94"/>
    <w:rsid w:val="0023725A"/>
    <w:rsid w:val="00240F20"/>
    <w:rsid w:val="00241488"/>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F3C"/>
    <w:rsid w:val="003457D0"/>
    <w:rsid w:val="00345876"/>
    <w:rsid w:val="00345998"/>
    <w:rsid w:val="003469FC"/>
    <w:rsid w:val="00347726"/>
    <w:rsid w:val="0035022A"/>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C4"/>
    <w:rsid w:val="00374ED6"/>
    <w:rsid w:val="00375A1A"/>
    <w:rsid w:val="00375AA0"/>
    <w:rsid w:val="00380AE1"/>
    <w:rsid w:val="00380E3E"/>
    <w:rsid w:val="00381AD6"/>
    <w:rsid w:val="00381B75"/>
    <w:rsid w:val="00383573"/>
    <w:rsid w:val="00383AAD"/>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23DE"/>
    <w:rsid w:val="003C334C"/>
    <w:rsid w:val="003C3CC1"/>
    <w:rsid w:val="003C4274"/>
    <w:rsid w:val="003C4781"/>
    <w:rsid w:val="003C670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EBE"/>
    <w:rsid w:val="00454A33"/>
    <w:rsid w:val="00455DB6"/>
    <w:rsid w:val="00455E14"/>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ACE"/>
    <w:rsid w:val="004E3B23"/>
    <w:rsid w:val="004E47BB"/>
    <w:rsid w:val="004E50FB"/>
    <w:rsid w:val="004E6040"/>
    <w:rsid w:val="004F0E14"/>
    <w:rsid w:val="004F1AC7"/>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6A59"/>
    <w:rsid w:val="005B1640"/>
    <w:rsid w:val="005B2B9F"/>
    <w:rsid w:val="005B3F58"/>
    <w:rsid w:val="005B4FE4"/>
    <w:rsid w:val="005B7D3D"/>
    <w:rsid w:val="005C1237"/>
    <w:rsid w:val="005C3626"/>
    <w:rsid w:val="005C408F"/>
    <w:rsid w:val="005C65F3"/>
    <w:rsid w:val="005C6FA5"/>
    <w:rsid w:val="005C7269"/>
    <w:rsid w:val="005C7766"/>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45B6"/>
    <w:rsid w:val="00664B6B"/>
    <w:rsid w:val="00666D6B"/>
    <w:rsid w:val="00666D92"/>
    <w:rsid w:val="006703BA"/>
    <w:rsid w:val="0067061C"/>
    <w:rsid w:val="00671988"/>
    <w:rsid w:val="00672384"/>
    <w:rsid w:val="00672A84"/>
    <w:rsid w:val="00672B4A"/>
    <w:rsid w:val="006732C1"/>
    <w:rsid w:val="00673B89"/>
    <w:rsid w:val="00673CE6"/>
    <w:rsid w:val="00676B55"/>
    <w:rsid w:val="00676CEF"/>
    <w:rsid w:val="006805ED"/>
    <w:rsid w:val="006827FB"/>
    <w:rsid w:val="00684549"/>
    <w:rsid w:val="006857B5"/>
    <w:rsid w:val="00687B9D"/>
    <w:rsid w:val="006900B7"/>
    <w:rsid w:val="00690F5B"/>
    <w:rsid w:val="00691465"/>
    <w:rsid w:val="0069174C"/>
    <w:rsid w:val="00692B30"/>
    <w:rsid w:val="00694410"/>
    <w:rsid w:val="00696029"/>
    <w:rsid w:val="00696B83"/>
    <w:rsid w:val="00697598"/>
    <w:rsid w:val="006975DC"/>
    <w:rsid w:val="00697E83"/>
    <w:rsid w:val="006A0C5C"/>
    <w:rsid w:val="006A0F98"/>
    <w:rsid w:val="006A215D"/>
    <w:rsid w:val="006A26DB"/>
    <w:rsid w:val="006A37FD"/>
    <w:rsid w:val="006A4F99"/>
    <w:rsid w:val="006A5A3B"/>
    <w:rsid w:val="006A671B"/>
    <w:rsid w:val="006B0292"/>
    <w:rsid w:val="006B2E43"/>
    <w:rsid w:val="006B7517"/>
    <w:rsid w:val="006B7A30"/>
    <w:rsid w:val="006C086F"/>
    <w:rsid w:val="006C0A05"/>
    <w:rsid w:val="006C0CEE"/>
    <w:rsid w:val="006C0D10"/>
    <w:rsid w:val="006C17C8"/>
    <w:rsid w:val="006C1CF5"/>
    <w:rsid w:val="006C21CF"/>
    <w:rsid w:val="006C452F"/>
    <w:rsid w:val="006C5878"/>
    <w:rsid w:val="006C5DE1"/>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F0BC6"/>
    <w:rsid w:val="006F0BE0"/>
    <w:rsid w:val="006F4262"/>
    <w:rsid w:val="006F6671"/>
    <w:rsid w:val="006F7859"/>
    <w:rsid w:val="00701180"/>
    <w:rsid w:val="0070182A"/>
    <w:rsid w:val="00702CFF"/>
    <w:rsid w:val="007035D9"/>
    <w:rsid w:val="007044F6"/>
    <w:rsid w:val="0070457C"/>
    <w:rsid w:val="00704BD7"/>
    <w:rsid w:val="007057F7"/>
    <w:rsid w:val="00705971"/>
    <w:rsid w:val="007063C6"/>
    <w:rsid w:val="00707292"/>
    <w:rsid w:val="00710E09"/>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6285C"/>
    <w:rsid w:val="00763238"/>
    <w:rsid w:val="00764184"/>
    <w:rsid w:val="00764280"/>
    <w:rsid w:val="007650B2"/>
    <w:rsid w:val="00765F0B"/>
    <w:rsid w:val="00766409"/>
    <w:rsid w:val="007668ED"/>
    <w:rsid w:val="00771FDA"/>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F37"/>
    <w:rsid w:val="007A42D1"/>
    <w:rsid w:val="007A4FB2"/>
    <w:rsid w:val="007A5466"/>
    <w:rsid w:val="007A5556"/>
    <w:rsid w:val="007A63AD"/>
    <w:rsid w:val="007A6740"/>
    <w:rsid w:val="007A688D"/>
    <w:rsid w:val="007B0AB3"/>
    <w:rsid w:val="007B153A"/>
    <w:rsid w:val="007B2A60"/>
    <w:rsid w:val="007B2AE3"/>
    <w:rsid w:val="007B3ED7"/>
    <w:rsid w:val="007B6DB9"/>
    <w:rsid w:val="007C1A8A"/>
    <w:rsid w:val="007C21F8"/>
    <w:rsid w:val="007C23EB"/>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E7F62"/>
    <w:rsid w:val="007F0539"/>
    <w:rsid w:val="007F06A2"/>
    <w:rsid w:val="007F0FAB"/>
    <w:rsid w:val="007F19D1"/>
    <w:rsid w:val="007F33E4"/>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987"/>
    <w:rsid w:val="008812DF"/>
    <w:rsid w:val="008826E2"/>
    <w:rsid w:val="00882D83"/>
    <w:rsid w:val="008857BA"/>
    <w:rsid w:val="008868E9"/>
    <w:rsid w:val="00887E86"/>
    <w:rsid w:val="008902B8"/>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53FE"/>
    <w:rsid w:val="008B5603"/>
    <w:rsid w:val="008B57B9"/>
    <w:rsid w:val="008C02F8"/>
    <w:rsid w:val="008C347B"/>
    <w:rsid w:val="008C49D1"/>
    <w:rsid w:val="008C58AF"/>
    <w:rsid w:val="008C5B5D"/>
    <w:rsid w:val="008D0E58"/>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F5"/>
    <w:rsid w:val="008F3009"/>
    <w:rsid w:val="008F32C9"/>
    <w:rsid w:val="008F35B9"/>
    <w:rsid w:val="008F5D45"/>
    <w:rsid w:val="00900CAC"/>
    <w:rsid w:val="009010C0"/>
    <w:rsid w:val="00901A5C"/>
    <w:rsid w:val="00903996"/>
    <w:rsid w:val="00903F3A"/>
    <w:rsid w:val="00903FD1"/>
    <w:rsid w:val="00904B44"/>
    <w:rsid w:val="009078D1"/>
    <w:rsid w:val="009115A8"/>
    <w:rsid w:val="00914F09"/>
    <w:rsid w:val="0091531A"/>
    <w:rsid w:val="00916B1E"/>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68C7"/>
    <w:rsid w:val="0098076F"/>
    <w:rsid w:val="00983C7C"/>
    <w:rsid w:val="00984B3D"/>
    <w:rsid w:val="009862CD"/>
    <w:rsid w:val="00986FBB"/>
    <w:rsid w:val="00987DC7"/>
    <w:rsid w:val="00987DD2"/>
    <w:rsid w:val="00991577"/>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3F9"/>
    <w:rsid w:val="009C5108"/>
    <w:rsid w:val="009C6F25"/>
    <w:rsid w:val="009C7A5C"/>
    <w:rsid w:val="009C7B3C"/>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490D"/>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61A9"/>
    <w:rsid w:val="00A26464"/>
    <w:rsid w:val="00A30DBD"/>
    <w:rsid w:val="00A32EDE"/>
    <w:rsid w:val="00A33843"/>
    <w:rsid w:val="00A35264"/>
    <w:rsid w:val="00A40B74"/>
    <w:rsid w:val="00A40D21"/>
    <w:rsid w:val="00A40FD5"/>
    <w:rsid w:val="00A415A5"/>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A4"/>
    <w:rsid w:val="00AD48F0"/>
    <w:rsid w:val="00AD5472"/>
    <w:rsid w:val="00AE2FEA"/>
    <w:rsid w:val="00AE363A"/>
    <w:rsid w:val="00AE3991"/>
    <w:rsid w:val="00AE452F"/>
    <w:rsid w:val="00AE4F32"/>
    <w:rsid w:val="00AE586D"/>
    <w:rsid w:val="00AE58C9"/>
    <w:rsid w:val="00AE5C22"/>
    <w:rsid w:val="00AE6220"/>
    <w:rsid w:val="00AE6A52"/>
    <w:rsid w:val="00AE700E"/>
    <w:rsid w:val="00AE730A"/>
    <w:rsid w:val="00AF3998"/>
    <w:rsid w:val="00AF4F8F"/>
    <w:rsid w:val="00AF5DF1"/>
    <w:rsid w:val="00AF6510"/>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BF0"/>
    <w:rsid w:val="00B6073F"/>
    <w:rsid w:val="00B61DA2"/>
    <w:rsid w:val="00B61E4E"/>
    <w:rsid w:val="00B6211E"/>
    <w:rsid w:val="00B62C3D"/>
    <w:rsid w:val="00B63051"/>
    <w:rsid w:val="00B6757E"/>
    <w:rsid w:val="00B67C69"/>
    <w:rsid w:val="00B7238C"/>
    <w:rsid w:val="00B73280"/>
    <w:rsid w:val="00B736FB"/>
    <w:rsid w:val="00B755C2"/>
    <w:rsid w:val="00B769AF"/>
    <w:rsid w:val="00B77233"/>
    <w:rsid w:val="00B80182"/>
    <w:rsid w:val="00B80A4D"/>
    <w:rsid w:val="00B80A9A"/>
    <w:rsid w:val="00B81678"/>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DA"/>
    <w:rsid w:val="00BB1882"/>
    <w:rsid w:val="00BB224F"/>
    <w:rsid w:val="00BB2457"/>
    <w:rsid w:val="00BB2526"/>
    <w:rsid w:val="00BB3060"/>
    <w:rsid w:val="00BB3D46"/>
    <w:rsid w:val="00BB465E"/>
    <w:rsid w:val="00BB47C4"/>
    <w:rsid w:val="00BB4B03"/>
    <w:rsid w:val="00BB72A5"/>
    <w:rsid w:val="00BC1230"/>
    <w:rsid w:val="00BC1458"/>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E1C"/>
    <w:rsid w:val="00C25613"/>
    <w:rsid w:val="00C256F3"/>
    <w:rsid w:val="00C30222"/>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77A87"/>
    <w:rsid w:val="00C80554"/>
    <w:rsid w:val="00C81A4C"/>
    <w:rsid w:val="00C82775"/>
    <w:rsid w:val="00C82E8B"/>
    <w:rsid w:val="00C842F7"/>
    <w:rsid w:val="00C84EB6"/>
    <w:rsid w:val="00C85097"/>
    <w:rsid w:val="00C8575D"/>
    <w:rsid w:val="00C86BC8"/>
    <w:rsid w:val="00C87AD5"/>
    <w:rsid w:val="00C9290D"/>
    <w:rsid w:val="00C92C21"/>
    <w:rsid w:val="00C933DB"/>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25F9"/>
    <w:rsid w:val="00CC276E"/>
    <w:rsid w:val="00CC3F10"/>
    <w:rsid w:val="00CC50EF"/>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5C47"/>
    <w:rsid w:val="00D065B6"/>
    <w:rsid w:val="00D0718D"/>
    <w:rsid w:val="00D11331"/>
    <w:rsid w:val="00D129E9"/>
    <w:rsid w:val="00D14459"/>
    <w:rsid w:val="00D1447F"/>
    <w:rsid w:val="00D14AF2"/>
    <w:rsid w:val="00D1600A"/>
    <w:rsid w:val="00D16137"/>
    <w:rsid w:val="00D17707"/>
    <w:rsid w:val="00D2100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1"/>
    <w:rsid w:val="00D85DD8"/>
    <w:rsid w:val="00D8689F"/>
    <w:rsid w:val="00D86F11"/>
    <w:rsid w:val="00D870BC"/>
    <w:rsid w:val="00D91AD7"/>
    <w:rsid w:val="00D9395F"/>
    <w:rsid w:val="00D93C6B"/>
    <w:rsid w:val="00D93E5B"/>
    <w:rsid w:val="00D95FD5"/>
    <w:rsid w:val="00D96AB3"/>
    <w:rsid w:val="00D96B56"/>
    <w:rsid w:val="00D97A41"/>
    <w:rsid w:val="00DA2E35"/>
    <w:rsid w:val="00DA36CB"/>
    <w:rsid w:val="00DA4BF9"/>
    <w:rsid w:val="00DA626B"/>
    <w:rsid w:val="00DA69D3"/>
    <w:rsid w:val="00DA70FA"/>
    <w:rsid w:val="00DB0409"/>
    <w:rsid w:val="00DB0EFE"/>
    <w:rsid w:val="00DB2444"/>
    <w:rsid w:val="00DB28FC"/>
    <w:rsid w:val="00DB30E6"/>
    <w:rsid w:val="00DB62A2"/>
    <w:rsid w:val="00DB7C3D"/>
    <w:rsid w:val="00DC0141"/>
    <w:rsid w:val="00DC0E7A"/>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4EEC"/>
    <w:rsid w:val="00DE6104"/>
    <w:rsid w:val="00DE7C6F"/>
    <w:rsid w:val="00DF0B9B"/>
    <w:rsid w:val="00DF1E77"/>
    <w:rsid w:val="00DF4C01"/>
    <w:rsid w:val="00DF693C"/>
    <w:rsid w:val="00DF69CD"/>
    <w:rsid w:val="00DF7881"/>
    <w:rsid w:val="00E00A05"/>
    <w:rsid w:val="00E029DC"/>
    <w:rsid w:val="00E0308B"/>
    <w:rsid w:val="00E047BD"/>
    <w:rsid w:val="00E0592E"/>
    <w:rsid w:val="00E107C2"/>
    <w:rsid w:val="00E120F5"/>
    <w:rsid w:val="00E129DE"/>
    <w:rsid w:val="00E14394"/>
    <w:rsid w:val="00E14416"/>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51F"/>
    <w:rsid w:val="00E808FA"/>
    <w:rsid w:val="00E81D38"/>
    <w:rsid w:val="00E83BE1"/>
    <w:rsid w:val="00E863C1"/>
    <w:rsid w:val="00E86CD0"/>
    <w:rsid w:val="00E87B7F"/>
    <w:rsid w:val="00E915D8"/>
    <w:rsid w:val="00E91DD6"/>
    <w:rsid w:val="00E922C9"/>
    <w:rsid w:val="00E93CCC"/>
    <w:rsid w:val="00E93EBF"/>
    <w:rsid w:val="00E96F65"/>
    <w:rsid w:val="00E972A5"/>
    <w:rsid w:val="00E976A8"/>
    <w:rsid w:val="00EA01B7"/>
    <w:rsid w:val="00EA0AA1"/>
    <w:rsid w:val="00EA5AF0"/>
    <w:rsid w:val="00EA647D"/>
    <w:rsid w:val="00EA6E1F"/>
    <w:rsid w:val="00EA79B5"/>
    <w:rsid w:val="00EA7CE9"/>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934"/>
    <w:rsid w:val="00F055F7"/>
    <w:rsid w:val="00F05C1E"/>
    <w:rsid w:val="00F063CD"/>
    <w:rsid w:val="00F06731"/>
    <w:rsid w:val="00F06BD3"/>
    <w:rsid w:val="00F06F75"/>
    <w:rsid w:val="00F07A47"/>
    <w:rsid w:val="00F10ECC"/>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3FEE"/>
    <w:rsid w:val="00F745BD"/>
    <w:rsid w:val="00F74C45"/>
    <w:rsid w:val="00F751DC"/>
    <w:rsid w:val="00F7582D"/>
    <w:rsid w:val="00F80243"/>
    <w:rsid w:val="00F8025E"/>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0E45"/>
    <w:rsid w:val="00FA16AB"/>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19</Pages>
  <Words>30840</Words>
  <Characters>175788</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850</cp:revision>
  <cp:lastPrinted>2024-08-01T11:55:00Z</cp:lastPrinted>
  <dcterms:created xsi:type="dcterms:W3CDTF">2024-08-01T11:55:00Z</dcterms:created>
  <dcterms:modified xsi:type="dcterms:W3CDTF">2024-08-02T17:57:00Z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id="a9WvCHF8"/&gt;&lt;style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