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C6C6" w14:textId="77777777" w:rsidR="00F91A12" w:rsidRPr="00043D43" w:rsidRDefault="00F91A12" w:rsidP="00043D43">
      <w:pPr>
        <w:pStyle w:val="Title1"/>
      </w:pPr>
    </w:p>
    <w:p w14:paraId="59836F1F" w14:textId="77777777" w:rsidR="00F91A12" w:rsidRPr="00043D43" w:rsidRDefault="00F91A12" w:rsidP="00043D43">
      <w:pPr>
        <w:pStyle w:val="Title1"/>
      </w:pPr>
    </w:p>
    <w:p w14:paraId="224AE642" w14:textId="77777777" w:rsidR="00F91A12" w:rsidRPr="00043D43" w:rsidRDefault="00F91A12" w:rsidP="00043D43">
      <w:pPr>
        <w:pStyle w:val="Title1"/>
      </w:pPr>
    </w:p>
    <w:p w14:paraId="2E703E54" w14:textId="77777777" w:rsidR="00F91A12" w:rsidRPr="00043D43" w:rsidRDefault="00F91A12" w:rsidP="00043D43">
      <w:pPr>
        <w:pStyle w:val="Title1"/>
      </w:pPr>
    </w:p>
    <w:p w14:paraId="2313F9E1" w14:textId="77777777" w:rsidR="00F91A12" w:rsidRPr="00043D43" w:rsidRDefault="00000000" w:rsidP="00043D43">
      <w:pPr>
        <w:pStyle w:val="Title1"/>
      </w:pPr>
      <w:r w:rsidRPr="00043D43">
        <w:t xml:space="preserve">Verification Report: </w:t>
      </w:r>
    </w:p>
    <w:p w14:paraId="5065ECA7"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71349A2E" w14:textId="77777777" w:rsidR="00167923" w:rsidRPr="00043D43" w:rsidRDefault="00000000" w:rsidP="00043D43">
      <w:pPr>
        <w:pStyle w:val="Title1"/>
      </w:pPr>
      <w:r w:rsidRPr="00043D43">
        <w:t>“A meta-analysis of criterion effects for the Implicit Relational Assessment Procedure (IRAP) in the clinical domain”</w:t>
      </w:r>
    </w:p>
    <w:p w14:paraId="0A0BDCE9" w14:textId="77777777" w:rsidR="00034410" w:rsidRPr="00043D43" w:rsidRDefault="00034410" w:rsidP="00043D43">
      <w:pPr>
        <w:pStyle w:val="authors"/>
      </w:pPr>
    </w:p>
    <w:p w14:paraId="0426966A" w14:textId="77777777" w:rsidR="00034410" w:rsidRPr="00043D43" w:rsidRDefault="00000000" w:rsidP="00043D43">
      <w:pPr>
        <w:pStyle w:val="authors"/>
      </w:pPr>
      <w:r w:rsidRPr="00043D43">
        <w:t>Ian Hussey</w:t>
      </w:r>
    </w:p>
    <w:p w14:paraId="576503B9" w14:textId="77777777" w:rsidR="00167923" w:rsidRPr="00043D43" w:rsidRDefault="00167923" w:rsidP="00043D43">
      <w:pPr>
        <w:pStyle w:val="authors"/>
      </w:pPr>
    </w:p>
    <w:p w14:paraId="594CB848" w14:textId="77777777"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Results were found to have very poor reproducibility at almost every stage of their analytic strategy</w:t>
      </w:r>
      <w:r w:rsidR="0074529F" w:rsidRPr="006C17C8">
        <w:t xml:space="preserve">, </w:t>
      </w:r>
      <w:r w:rsidR="00113C79" w:rsidRPr="006C17C8">
        <w:t>with</w:t>
      </w:r>
      <w:r w:rsidR="0074529F" w:rsidRPr="006C17C8">
        <w:t xml:space="preserve"> errors 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1A187C" w:rsidRPr="006C17C8">
        <w:t xml:space="preserve">Multiple internal discrepancies were found in the effect sizes, e.g., between the forest vs. funnel plot, and the forest plot vs. the supplementary data. </w:t>
      </w:r>
      <w:r w:rsidR="001F4B6A" w:rsidRPr="006C17C8">
        <w:t xml:space="preserve">23 of the 56 (41.1%) originally included effect sizes were not criterion effects that were erroneously included.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r w:rsidR="0028714C" w:rsidRPr="006C17C8">
        <w:t>In particular, r</w:t>
      </w:r>
      <w:r w:rsidR="00747CBF" w:rsidRPr="006C17C8">
        <w:t xml:space="preserve">esearchers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6F468775" w14:textId="77777777" w:rsidR="00167923" w:rsidRPr="00034410" w:rsidRDefault="00167923" w:rsidP="00F0388F">
      <w:pPr>
        <w:ind w:firstLine="0"/>
      </w:pPr>
    </w:p>
    <w:p w14:paraId="7FC78385"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40D7470" w14:textId="77777777" w:rsidR="0080605A"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w:t>
      </w:r>
      <w:r>
        <w:t>it focuses on features of meta-analyses that are either informative but often overlooked or which repeat information. Both provide vectors for error detection. 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3338AE8D" w14:textId="77777777"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of </w:t>
      </w:r>
      <w:r w:rsidR="00916B1E" w:rsidRPr="00034410">
        <w:t xml:space="preserve">the </w:t>
      </w:r>
      <w:r w:rsidR="000D2430" w:rsidRPr="00034410">
        <w:t xml:space="preserve">Implicit Relational Assessment Procedure </w:t>
      </w:r>
      <w:r w:rsidR="000D2430" w:rsidRPr="00034410">
        <w:fldChar w:fldCharType="begin"/>
      </w:r>
      <w:r w:rsidR="007C23EB" w:rsidRPr="00034410">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0D2430" w:rsidRPr="00034410">
        <w:fldChar w:fldCharType="separate"/>
      </w:r>
      <w:r w:rsidR="000D2430" w:rsidRPr="00034410">
        <w:t>(IRAP: Barnes-Holmes et al., 2010)</w:t>
      </w:r>
      <w:r w:rsidR="000D2430" w:rsidRPr="00034410">
        <w:fldChar w:fldCharType="end"/>
      </w:r>
      <w:r w:rsidR="000D2430" w:rsidRPr="00034410">
        <w:t xml:space="preserve"> concluded that it possesses good criterion validity </w:t>
      </w:r>
      <w:r w:rsidRPr="00034410">
        <w:t xml:space="preserve">and that the IRAP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 th</w:t>
      </w:r>
      <w:r w:rsidR="00AC0000" w:rsidRPr="00034410">
        <w:t>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w:t>
      </w:r>
      <w:r w:rsidR="000D2430" w:rsidRPr="00034410">
        <w:lastRenderedPageBreak/>
        <w:t xml:space="preserve">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208D241A" w14:textId="77777777" w:rsidR="001537F8" w:rsidRPr="00034410" w:rsidRDefault="00000000" w:rsidP="00034410">
      <w:pPr>
        <w:pStyle w:val="Heading2"/>
      </w:pPr>
      <w:r w:rsidRPr="00034410">
        <w:t xml:space="preserve">Rationale for </w:t>
      </w:r>
      <w:r w:rsidR="00223420" w:rsidRPr="00034410">
        <w:t>verification</w:t>
      </w:r>
    </w:p>
    <w:p w14:paraId="61AEBADB" w14:textId="6E9A7BB3"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0743535B" w14:textId="5C93222C" w:rsidR="00167923"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July 2024</w:t>
      </w:r>
      <w:r w:rsidR="000954F4" w:rsidRPr="00034410">
        <w:t>,</w:t>
      </w:r>
      <w:r w:rsidR="00A22623" w:rsidRPr="00034410">
        <w:t xml:space="preserve"> it has been cited </w:t>
      </w:r>
      <w:r w:rsidR="00D17707" w:rsidRPr="00034410">
        <w:t>1</w:t>
      </w:r>
      <w:r w:rsidR="00F57646" w:rsidRPr="00034410">
        <w:t>43</w:t>
      </w:r>
      <w:r w:rsidR="00A22623" w:rsidRPr="00034410">
        <w:t xml:space="preserve"> times </w:t>
      </w:r>
      <w:r w:rsidR="00F57646" w:rsidRPr="00034410">
        <w:t xml:space="preserve">on Google Scholar, </w:t>
      </w:r>
      <w:r w:rsidR="00A22623" w:rsidRPr="00034410">
        <w:t>with roughly 20% of 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clinically-focused IRAP effect and a given </w:t>
      </w:r>
      <w:r w:rsidR="002F1558" w:rsidRPr="00034410">
        <w:t>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reproducibility, </w:t>
      </w:r>
      <w:r w:rsidR="00A22623" w:rsidRPr="00034410">
        <w:t xml:space="preserve">it is therefore </w:t>
      </w:r>
      <w:r w:rsidR="00842324" w:rsidRPr="00034410">
        <w:t>useful</w:t>
      </w:r>
      <w:r w:rsidR="008B007D">
        <w:t xml:space="preserve"> </w:t>
      </w:r>
      <w:r w:rsidR="00842324" w:rsidRPr="00034410">
        <w:t xml:space="preserve">to verify </w:t>
      </w:r>
      <w:r w:rsidR="00ED5CE9" w:rsidRPr="00034410">
        <w:t>Vahey et al.’s (2015)</w:t>
      </w:r>
      <w:r w:rsidR="00842324" w:rsidRPr="00034410">
        <w:t xml:space="preserve"> results</w:t>
      </w:r>
      <w:r w:rsidR="00A22623" w:rsidRPr="00034410">
        <w:t xml:space="preserve">. </w:t>
      </w:r>
    </w:p>
    <w:p w14:paraId="07586CE2" w14:textId="3DFDD51D" w:rsidR="008A44AB" w:rsidRPr="00034410" w:rsidRDefault="008A44AB" w:rsidP="00BF5789">
      <w:r>
        <w:t>Third, Vahey et al. (2015) may have been modest when they reported that their results imply the IRAP compares “</w:t>
      </w:r>
      <w:proofErr w:type="spellStart"/>
      <w:r>
        <w:t>favorably</w:t>
      </w:r>
      <w:proofErr w:type="spellEnd"/>
      <w:r>
        <w:t xml:space="preserve">” with other implicit measures. </w:t>
      </w:r>
      <w:r w:rsidR="00BF5789">
        <w:t xml:space="preserve">In fact, </w:t>
      </w:r>
      <w:r>
        <w:t xml:space="preserve">Vahey et al.’s (2015) reported meta-analytic effect size of </w:t>
      </w:r>
      <m:oMath>
        <m:acc>
          <m:accPr>
            <m:chr m:val="̅"/>
            <m:ctrlPr>
              <w:rPr>
                <w:rFonts w:ascii="Cambria Math" w:hAnsi="Cambria Math"/>
                <w:i/>
                <w:sz w:val="20"/>
                <w:szCs w:val="20"/>
              </w:rPr>
            </m:ctrlPr>
          </m:accPr>
          <m:e>
            <m:r>
              <w:rPr>
                <w:rFonts w:ascii="Cambria Math" w:hAnsi="Cambria Math"/>
              </w:rPr>
              <m:t>r</m:t>
            </m:r>
          </m:e>
        </m:acc>
      </m:oMath>
      <w:r w:rsidRPr="00862779">
        <w:t xml:space="preserve"> = .</w:t>
      </w:r>
      <w:r>
        <w:t>46 would place it in &gt;90</w:t>
      </w:r>
      <w:r w:rsidRPr="000B7BA9">
        <w:rPr>
          <w:vertAlign w:val="superscript"/>
        </w:rPr>
        <w:t>th</w:t>
      </w:r>
      <w:r>
        <w:t xml:space="preserve"> percentile of all meta-analytic effect sizes </w:t>
      </w:r>
      <w:r w:rsidR="00BF5789">
        <w:t>reported in psychology (Richard et al., 2003)</w:t>
      </w:r>
      <w:r>
        <w:t>.</w:t>
      </w:r>
      <w:r w:rsidR="00BF5789">
        <w:t xml:space="preserve"> Given that the IRAP is a reaction </w:t>
      </w:r>
      <w:proofErr w:type="gramStart"/>
      <w:r w:rsidR="00BF5789">
        <w:t>time based</w:t>
      </w:r>
      <w:proofErr w:type="gramEnd"/>
      <w:r w:rsidR="00BF5789">
        <w:t xml:space="preserve"> measure, which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00BF5789">
        <w:t>Or,</w:t>
      </w:r>
      <w:proofErr w:type="gramEnd"/>
      <w:r w:rsidR="00BF5789">
        <w:t xml:space="preserve"> something is amiss with Vahey et al. (2015).</w:t>
      </w:r>
    </w:p>
    <w:p w14:paraId="3CE17DD6" w14:textId="294E42E5" w:rsidR="005924D8" w:rsidRPr="00034410" w:rsidRDefault="008A44AB" w:rsidP="00034410">
      <w:r>
        <w:t>Fourth</w:t>
      </w:r>
      <w:r w:rsidR="00000000" w:rsidRPr="00034410">
        <w:t xml:space="preserve">, </w:t>
      </w:r>
      <w:r w:rsidR="00744B57" w:rsidRPr="00034410">
        <w:t xml:space="preserve">in light of estimates of the IRAP’s low reliability </w:t>
      </w:r>
      <w:r w:rsidR="00744B57" w:rsidRPr="00034410">
        <w:fldChar w:fldCharType="begin"/>
      </w:r>
      <w:r w:rsidR="007C23EB" w:rsidRPr="00034410">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rsidRPr="00034410">
        <w:fldChar w:fldCharType="separate"/>
      </w:r>
      <w:r w:rsidR="00744B57" w:rsidRPr="00034410">
        <w:rPr>
          <w:noProof/>
        </w:rPr>
        <w:t>(Hussey &amp; Drake, 2020)</w:t>
      </w:r>
      <w:r w:rsidR="00744B57" w:rsidRPr="00034410">
        <w:fldChar w:fldCharType="end"/>
      </w:r>
      <w:r w:rsidR="00744B57" w:rsidRPr="00034410">
        <w:t xml:space="preserve">, </w:t>
      </w:r>
      <w:r w:rsidR="00000000" w:rsidRPr="00034410">
        <w:t xml:space="preserve">there is good reason to believe that Vahey et al.’s (2015) meta-analytic estimate of </w:t>
      </w:r>
      <m:oMath>
        <m:acc>
          <m:accPr>
            <m:chr m:val="̅"/>
            <m:ctrlPr>
              <w:rPr>
                <w:rFonts w:ascii="Cambria Math" w:hAnsi="Cambria Math"/>
                <w:i/>
                <w:sz w:val="20"/>
                <w:szCs w:val="20"/>
              </w:rPr>
            </m:ctrlPr>
          </m:accPr>
          <m:e>
            <m:r>
              <w:rPr>
                <w:rFonts w:ascii="Cambria Math" w:hAnsi="Cambria Math"/>
              </w:rPr>
              <m:t>r</m:t>
            </m:r>
          </m:e>
        </m:acc>
      </m:oMath>
      <w:r w:rsidR="00000000" w:rsidRPr="00034410">
        <w:t xml:space="preserve"> = .45 is implausibly large</w:t>
      </w:r>
      <w:r w:rsidR="00744B57" w:rsidRPr="00034410">
        <w:t xml:space="preserve">. </w:t>
      </w:r>
      <w:r w:rsidR="000B4D42" w:rsidRPr="00034410">
        <w:t xml:space="preserve">According to classical test theory, a measure's reliability refers to the proportion of the variance that is caused by the construct rather than noise </w:t>
      </w:r>
      <w:r w:rsidR="000B4D42" w:rsidRPr="00034410">
        <w:fldChar w:fldCharType="begin"/>
      </w:r>
      <w:r w:rsidR="007C23EB" w:rsidRPr="00034410">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rsidRPr="00034410">
        <w:fldChar w:fldCharType="separate"/>
      </w:r>
      <w:r w:rsidR="000B4D42" w:rsidRPr="00034410">
        <w:rPr>
          <w:noProof/>
        </w:rPr>
        <w:t>(Allen &amp; Yen, 2002, p.73)</w:t>
      </w:r>
      <w:r w:rsidR="000B4D42" w:rsidRPr="00034410">
        <w:fldChar w:fldCharType="end"/>
      </w:r>
      <w:r w:rsidR="000B4D42" w:rsidRPr="00034410">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000B4D42" w:rsidRPr="00034410">
        <w:t xml:space="preserve"> and </w:t>
      </w:r>
      <m:oMath>
        <m:r>
          <w:rPr>
            <w:rFonts w:ascii="Cambria Math" w:hAnsi="Cambria Math"/>
          </w:rPr>
          <m:t>y</m:t>
        </m:r>
      </m:oMath>
      <w:r w:rsidR="000B4D42" w:rsidRPr="00034410">
        <w:t xml:space="preserve"> </w:t>
      </w:r>
      <w:r w:rsidR="00CB2150" w:rsidRPr="0003441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rsidRPr="00034410">
        <w:t xml:space="preserve">) </w:t>
      </w:r>
      <w:r w:rsidR="000B4D42" w:rsidRPr="00034410">
        <w:t xml:space="preserve">is a function of the </w:t>
      </w:r>
      <w:r w:rsidR="007D11DE" w:rsidRPr="00034410">
        <w:t xml:space="preserve">true </w:t>
      </w:r>
      <w:r w:rsidR="000B4D42" w:rsidRPr="00034410">
        <w:t>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034410">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034410">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rsidRPr="00034410">
        <w:t xml:space="preserve">). This can be quantified via </w:t>
      </w:r>
      <w:r w:rsidR="000B4D42" w:rsidRPr="00034410">
        <w:rPr>
          <w:lang w:val="en-US"/>
        </w:rPr>
        <w:t>the Attenuation Formula derived from classical test theory</w:t>
      </w:r>
      <w:r w:rsidR="00812BDF" w:rsidRPr="00034410">
        <w:rPr>
          <w:lang w:val="en-US"/>
        </w:rPr>
        <w:t xml:space="preserve"> </w:t>
      </w:r>
      <w:r w:rsidR="00000000" w:rsidRPr="00034410">
        <w:fldChar w:fldCharType="begin"/>
      </w:r>
      <w:r w:rsidR="007C23EB" w:rsidRPr="00034410">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00000000" w:rsidRPr="00034410">
        <w:fldChar w:fldCharType="separate"/>
      </w:r>
      <w:r w:rsidR="00000000" w:rsidRPr="00034410">
        <w:rPr>
          <w:noProof/>
        </w:rPr>
        <w:t>(Revelle, 2009, equation 7.3)</w:t>
      </w:r>
      <w:r w:rsidR="00000000" w:rsidRPr="00034410">
        <w:fldChar w:fldCharType="end"/>
      </w:r>
      <w:r w:rsidR="00000000" w:rsidRPr="00034410">
        <w:t>:</w:t>
      </w:r>
    </w:p>
    <w:p w14:paraId="31A541ED" w14:textId="77777777" w:rsidR="005924D8" w:rsidRPr="00034410" w:rsidRDefault="005924D8" w:rsidP="00034410"/>
    <w:p w14:paraId="2BDEEA01" w14:textId="77777777" w:rsidR="005924D8" w:rsidRPr="002C31EF" w:rsidRDefault="00000000" w:rsidP="0003441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1C3F817" w14:textId="77777777" w:rsidR="005924D8" w:rsidRPr="00034410" w:rsidRDefault="005924D8" w:rsidP="002C31EF">
      <w:pPr>
        <w:ind w:firstLine="0"/>
      </w:pPr>
    </w:p>
    <w:p w14:paraId="378DD65F" w14:textId="77777777" w:rsidR="002B214D" w:rsidRDefault="002B214D" w:rsidP="004F3E34"/>
    <w:p w14:paraId="7759E055" w14:textId="77777777" w:rsidR="002B214D" w:rsidRDefault="002B214D" w:rsidP="004F3E34"/>
    <w:p w14:paraId="730CDB88" w14:textId="77777777" w:rsidR="002B214D" w:rsidRPr="00034410" w:rsidRDefault="002B214D" w:rsidP="004F3E34"/>
    <w:p w14:paraId="1004D47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7E508F8D" w14:textId="77777777" w:rsidR="002B214D" w:rsidRDefault="002B214D">
      <w:pPr>
        <w:ind w:firstLine="0"/>
        <w:jc w:val="left"/>
        <w:rPr>
          <w:b/>
          <w:bCs/>
        </w:rPr>
      </w:pPr>
      <w:r>
        <w:rPr>
          <w:b/>
          <w:bCs/>
        </w:rPr>
        <w:br w:type="page"/>
      </w:r>
    </w:p>
    <w:p w14:paraId="24579B3F" w14:textId="231F2EBB" w:rsidR="000967B0" w:rsidRPr="00EE79F9" w:rsidRDefault="00000000" w:rsidP="00EE79F9">
      <w:pPr>
        <w:ind w:firstLine="0"/>
        <w:rPr>
          <w:b/>
          <w:bCs/>
        </w:rPr>
      </w:pPr>
      <w:r w:rsidRPr="00EE79F9">
        <w:rPr>
          <w:b/>
          <w:bCs/>
        </w:rPr>
        <w:lastRenderedPageBreak/>
        <w:t>Table 1. Verifications of power analyses for 80% power.</w:t>
      </w:r>
    </w:p>
    <w:p w14:paraId="4FEB7456"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01A43" w14:paraId="74261F08"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16DAE6C7"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6D42A78"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746E370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4342D86C"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767573E2"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12EB9E57" w14:textId="77777777" w:rsidR="00A30DBD" w:rsidRPr="001D3517" w:rsidRDefault="00000000" w:rsidP="002D69CC">
            <w:pPr>
              <w:pStyle w:val="table"/>
              <w:jc w:val="center"/>
            </w:pPr>
            <w:r w:rsidRPr="001D3517">
              <w:t>New meta-analysis</w:t>
            </w:r>
          </w:p>
        </w:tc>
      </w:tr>
      <w:tr w:rsidR="00A01A43" w14:paraId="65D2D2C4"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75817548"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027D4345"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1A8A6823"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4AC9D7CA"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3C683F6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0654C576"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7D27E315"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7E3F84B3" w14:textId="77777777" w:rsidR="00A30DBD" w:rsidRPr="001D3517" w:rsidRDefault="00000000" w:rsidP="002D69CC">
            <w:pPr>
              <w:pStyle w:val="table"/>
              <w:jc w:val="center"/>
            </w:pPr>
            <w:r w:rsidRPr="001D3517">
              <w:rPr>
                <w:i/>
                <w:iCs/>
              </w:rPr>
              <w:t>N</w:t>
            </w:r>
          </w:p>
        </w:tc>
      </w:tr>
      <w:tr w:rsidR="00A01A43" w14:paraId="55B38B7F"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63ECA043"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07CD1C3C"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62C0E0DE"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1C7F91E5"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650CD196" w14:textId="77777777" w:rsidR="00A30DBD" w:rsidRPr="00D85791" w:rsidRDefault="00000000" w:rsidP="002D69CC">
            <w:pPr>
              <w:pStyle w:val="table"/>
              <w:jc w:val="center"/>
            </w:pPr>
            <w:r w:rsidRPr="00D85791">
              <w:t>29</w:t>
            </w:r>
          </w:p>
        </w:tc>
        <w:tc>
          <w:tcPr>
            <w:tcW w:w="900" w:type="dxa"/>
            <w:tcBorders>
              <w:top w:val="single" w:sz="4" w:space="0" w:color="auto"/>
            </w:tcBorders>
            <w:vAlign w:val="center"/>
          </w:tcPr>
          <w:p w14:paraId="37D147B3" w14:textId="77777777" w:rsidR="00A30DBD" w:rsidRPr="00D85791" w:rsidRDefault="00000000" w:rsidP="007F7D0A">
            <w:pPr>
              <w:pStyle w:val="table"/>
              <w:tabs>
                <w:tab w:val="left" w:pos="444"/>
              </w:tabs>
              <w:jc w:val="center"/>
            </w:pPr>
            <w:r w:rsidRPr="00D85791">
              <w:t>29</w:t>
            </w:r>
          </w:p>
        </w:tc>
        <w:tc>
          <w:tcPr>
            <w:tcW w:w="630" w:type="dxa"/>
            <w:tcBorders>
              <w:top w:val="single" w:sz="4" w:space="0" w:color="auto"/>
            </w:tcBorders>
            <w:vAlign w:val="center"/>
          </w:tcPr>
          <w:p w14:paraId="72B8808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2B28C252" w14:textId="77777777" w:rsidR="00A30DBD" w:rsidRPr="00D85791" w:rsidRDefault="00000000" w:rsidP="002D69CC">
            <w:pPr>
              <w:pStyle w:val="table"/>
              <w:jc w:val="center"/>
            </w:pPr>
            <w:r w:rsidRPr="00500B88">
              <w:t>126</w:t>
            </w:r>
          </w:p>
        </w:tc>
      </w:tr>
      <w:tr w:rsidR="00A01A43" w14:paraId="1E4D9951" w14:textId="77777777" w:rsidTr="008902B8">
        <w:trPr>
          <w:jc w:val="center"/>
        </w:trPr>
        <w:tc>
          <w:tcPr>
            <w:tcW w:w="2577" w:type="dxa"/>
            <w:shd w:val="clear" w:color="auto" w:fill="auto"/>
            <w:tcMar>
              <w:top w:w="0" w:type="dxa"/>
              <w:left w:w="75" w:type="dxa"/>
              <w:bottom w:w="0" w:type="dxa"/>
              <w:right w:w="75" w:type="dxa"/>
            </w:tcMar>
            <w:vAlign w:val="center"/>
            <w:hideMark/>
          </w:tcPr>
          <w:p w14:paraId="63FB5A75"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CCA13BE"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6446AD"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34F82ED8" w14:textId="77777777" w:rsidR="00A30DBD" w:rsidRPr="00D85791" w:rsidRDefault="00000000" w:rsidP="002D69CC">
            <w:pPr>
              <w:pStyle w:val="table"/>
              <w:jc w:val="center"/>
            </w:pPr>
            <w:r w:rsidRPr="00D85791">
              <w:t>0.40</w:t>
            </w:r>
          </w:p>
        </w:tc>
        <w:tc>
          <w:tcPr>
            <w:tcW w:w="950" w:type="dxa"/>
            <w:vAlign w:val="center"/>
          </w:tcPr>
          <w:p w14:paraId="3029DFB3" w14:textId="77777777" w:rsidR="00A30DBD" w:rsidRPr="00D85791" w:rsidRDefault="00000000" w:rsidP="002D69CC">
            <w:pPr>
              <w:pStyle w:val="table"/>
              <w:jc w:val="center"/>
            </w:pPr>
            <w:r w:rsidRPr="00D85791">
              <w:t>37</w:t>
            </w:r>
          </w:p>
        </w:tc>
        <w:tc>
          <w:tcPr>
            <w:tcW w:w="900" w:type="dxa"/>
            <w:vAlign w:val="center"/>
          </w:tcPr>
          <w:p w14:paraId="51779797" w14:textId="77777777" w:rsidR="00A30DBD" w:rsidRPr="00D85791" w:rsidRDefault="00000000" w:rsidP="007F7D0A">
            <w:pPr>
              <w:pStyle w:val="table"/>
              <w:tabs>
                <w:tab w:val="left" w:pos="444"/>
              </w:tabs>
              <w:jc w:val="center"/>
            </w:pPr>
            <w:r w:rsidRPr="00D85791">
              <w:t>37</w:t>
            </w:r>
          </w:p>
        </w:tc>
        <w:tc>
          <w:tcPr>
            <w:tcW w:w="630" w:type="dxa"/>
            <w:vAlign w:val="center"/>
          </w:tcPr>
          <w:p w14:paraId="73FF5338" w14:textId="77777777" w:rsidR="00A30DBD" w:rsidRPr="00D85791" w:rsidRDefault="00000000" w:rsidP="002D69CC">
            <w:pPr>
              <w:pStyle w:val="table"/>
              <w:jc w:val="center"/>
            </w:pPr>
            <w:r w:rsidRPr="00500B88">
              <w:t>.15</w:t>
            </w:r>
          </w:p>
        </w:tc>
        <w:tc>
          <w:tcPr>
            <w:tcW w:w="900" w:type="dxa"/>
            <w:vAlign w:val="center"/>
          </w:tcPr>
          <w:p w14:paraId="2528839B" w14:textId="77777777" w:rsidR="00A30DBD" w:rsidRPr="00D85791" w:rsidRDefault="00000000" w:rsidP="002D69CC">
            <w:pPr>
              <w:pStyle w:val="table"/>
              <w:jc w:val="center"/>
            </w:pPr>
            <w:r w:rsidRPr="00500B88">
              <w:t>273</w:t>
            </w:r>
          </w:p>
        </w:tc>
      </w:tr>
      <w:tr w:rsidR="00A01A43" w14:paraId="6E737415" w14:textId="77777777" w:rsidTr="008902B8">
        <w:trPr>
          <w:jc w:val="center"/>
        </w:trPr>
        <w:tc>
          <w:tcPr>
            <w:tcW w:w="2577" w:type="dxa"/>
            <w:shd w:val="clear" w:color="auto" w:fill="auto"/>
            <w:tcMar>
              <w:top w:w="0" w:type="dxa"/>
              <w:left w:w="75" w:type="dxa"/>
              <w:bottom w:w="0" w:type="dxa"/>
              <w:right w:w="75" w:type="dxa"/>
            </w:tcMar>
            <w:vAlign w:val="center"/>
            <w:hideMark/>
          </w:tcPr>
          <w:p w14:paraId="21FF8142"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620E89BB"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62C6B315"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BD118E6" w14:textId="77777777" w:rsidR="00A30DBD" w:rsidRPr="00D85791" w:rsidRDefault="00000000" w:rsidP="002D69CC">
            <w:pPr>
              <w:pStyle w:val="table"/>
              <w:jc w:val="center"/>
            </w:pPr>
            <w:r w:rsidRPr="00D85791">
              <w:t>0.45</w:t>
            </w:r>
          </w:p>
        </w:tc>
        <w:tc>
          <w:tcPr>
            <w:tcW w:w="950" w:type="dxa"/>
            <w:vAlign w:val="center"/>
          </w:tcPr>
          <w:p w14:paraId="1FB51B74" w14:textId="77777777" w:rsidR="00A30DBD" w:rsidRPr="00D85791" w:rsidRDefault="00000000" w:rsidP="002D69CC">
            <w:pPr>
              <w:pStyle w:val="table"/>
              <w:jc w:val="center"/>
            </w:pPr>
            <w:r w:rsidRPr="00D85791">
              <w:t>36</w:t>
            </w:r>
          </w:p>
        </w:tc>
        <w:tc>
          <w:tcPr>
            <w:tcW w:w="900" w:type="dxa"/>
            <w:vAlign w:val="center"/>
          </w:tcPr>
          <w:p w14:paraId="01EAFA33" w14:textId="77777777" w:rsidR="00A30DBD" w:rsidRPr="00D85791" w:rsidRDefault="00000000" w:rsidP="007F7D0A">
            <w:pPr>
              <w:pStyle w:val="table"/>
              <w:tabs>
                <w:tab w:val="left" w:pos="444"/>
              </w:tabs>
              <w:jc w:val="center"/>
            </w:pPr>
            <w:r w:rsidRPr="00D85791">
              <w:t>36</w:t>
            </w:r>
          </w:p>
        </w:tc>
        <w:tc>
          <w:tcPr>
            <w:tcW w:w="630" w:type="dxa"/>
            <w:vAlign w:val="center"/>
          </w:tcPr>
          <w:p w14:paraId="2E8D2DD3" w14:textId="77777777" w:rsidR="00A30DBD" w:rsidRPr="00D85791" w:rsidRDefault="00000000" w:rsidP="002D69CC">
            <w:pPr>
              <w:pStyle w:val="table"/>
              <w:jc w:val="center"/>
            </w:pPr>
            <w:r w:rsidRPr="00500B88">
              <w:t>.22</w:t>
            </w:r>
          </w:p>
        </w:tc>
        <w:tc>
          <w:tcPr>
            <w:tcW w:w="900" w:type="dxa"/>
            <w:vAlign w:val="center"/>
          </w:tcPr>
          <w:p w14:paraId="7923D370" w14:textId="77777777" w:rsidR="00A30DBD" w:rsidRPr="00D85791" w:rsidRDefault="00000000" w:rsidP="002D69CC">
            <w:pPr>
              <w:pStyle w:val="table"/>
              <w:jc w:val="center"/>
            </w:pPr>
            <w:r w:rsidRPr="00500B88">
              <w:t>160</w:t>
            </w:r>
          </w:p>
        </w:tc>
      </w:tr>
      <w:tr w:rsidR="00A01A43" w14:paraId="6038A459" w14:textId="77777777" w:rsidTr="008902B8">
        <w:trPr>
          <w:jc w:val="center"/>
        </w:trPr>
        <w:tc>
          <w:tcPr>
            <w:tcW w:w="2577" w:type="dxa"/>
            <w:shd w:val="clear" w:color="auto" w:fill="auto"/>
            <w:tcMar>
              <w:top w:w="0" w:type="dxa"/>
              <w:left w:w="75" w:type="dxa"/>
              <w:bottom w:w="0" w:type="dxa"/>
              <w:right w:w="75" w:type="dxa"/>
            </w:tcMar>
            <w:vAlign w:val="center"/>
            <w:hideMark/>
          </w:tcPr>
          <w:p w14:paraId="5E394855"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5698C4B6"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3DBF602C"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71D93A98" w14:textId="77777777" w:rsidR="00A30DBD" w:rsidRPr="00D85791" w:rsidRDefault="00000000" w:rsidP="002D69CC">
            <w:pPr>
              <w:pStyle w:val="table"/>
              <w:jc w:val="center"/>
            </w:pPr>
            <w:r w:rsidRPr="00D85791">
              <w:t>0.40</w:t>
            </w:r>
          </w:p>
        </w:tc>
        <w:tc>
          <w:tcPr>
            <w:tcW w:w="950" w:type="dxa"/>
            <w:vAlign w:val="center"/>
          </w:tcPr>
          <w:p w14:paraId="35A9C56B" w14:textId="77777777" w:rsidR="00A30DBD" w:rsidRDefault="00000000" w:rsidP="002D69CC">
            <w:pPr>
              <w:pStyle w:val="table"/>
              <w:jc w:val="center"/>
            </w:pPr>
            <w:r>
              <w:t>-</w:t>
            </w:r>
          </w:p>
        </w:tc>
        <w:tc>
          <w:tcPr>
            <w:tcW w:w="900" w:type="dxa"/>
            <w:vAlign w:val="center"/>
          </w:tcPr>
          <w:p w14:paraId="4D075870" w14:textId="77777777" w:rsidR="00A30DBD" w:rsidRDefault="00000000" w:rsidP="007F7D0A">
            <w:pPr>
              <w:pStyle w:val="table"/>
              <w:tabs>
                <w:tab w:val="left" w:pos="444"/>
              </w:tabs>
              <w:jc w:val="center"/>
            </w:pPr>
            <w:r w:rsidRPr="00D85791">
              <w:t>46</w:t>
            </w:r>
          </w:p>
        </w:tc>
        <w:tc>
          <w:tcPr>
            <w:tcW w:w="630" w:type="dxa"/>
            <w:vAlign w:val="center"/>
          </w:tcPr>
          <w:p w14:paraId="2DD88DDD" w14:textId="77777777" w:rsidR="00A30DBD" w:rsidRPr="00D85791" w:rsidRDefault="00000000" w:rsidP="002D69CC">
            <w:pPr>
              <w:pStyle w:val="table"/>
              <w:jc w:val="center"/>
            </w:pPr>
            <w:r w:rsidRPr="00500B88">
              <w:t>.15</w:t>
            </w:r>
          </w:p>
        </w:tc>
        <w:tc>
          <w:tcPr>
            <w:tcW w:w="900" w:type="dxa"/>
            <w:vAlign w:val="center"/>
          </w:tcPr>
          <w:p w14:paraId="67C73492" w14:textId="77777777" w:rsidR="00A30DBD" w:rsidRPr="00D85791" w:rsidRDefault="00000000" w:rsidP="002D69CC">
            <w:pPr>
              <w:pStyle w:val="table"/>
              <w:jc w:val="center"/>
            </w:pPr>
            <w:r w:rsidRPr="00500B88">
              <w:t>346</w:t>
            </w:r>
          </w:p>
        </w:tc>
      </w:tr>
      <w:tr w:rsidR="00A01A43" w14:paraId="1731E640" w14:textId="77777777" w:rsidTr="008902B8">
        <w:trPr>
          <w:jc w:val="center"/>
        </w:trPr>
        <w:tc>
          <w:tcPr>
            <w:tcW w:w="2577" w:type="dxa"/>
            <w:shd w:val="clear" w:color="auto" w:fill="auto"/>
            <w:tcMar>
              <w:top w:w="0" w:type="dxa"/>
              <w:left w:w="75" w:type="dxa"/>
              <w:bottom w:w="0" w:type="dxa"/>
              <w:right w:w="75" w:type="dxa"/>
            </w:tcMar>
            <w:vAlign w:val="center"/>
            <w:hideMark/>
          </w:tcPr>
          <w:p w14:paraId="7805C5F7"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10889A8E"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639DFCCB"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3EF7F554" w14:textId="77777777" w:rsidR="00A30DBD" w:rsidRPr="00D85791" w:rsidRDefault="00000000" w:rsidP="002D69CC">
            <w:pPr>
              <w:pStyle w:val="table"/>
              <w:jc w:val="center"/>
            </w:pPr>
            <w:r w:rsidRPr="00D85791">
              <w:t>1.01</w:t>
            </w:r>
          </w:p>
        </w:tc>
        <w:tc>
          <w:tcPr>
            <w:tcW w:w="950" w:type="dxa"/>
            <w:vAlign w:val="center"/>
          </w:tcPr>
          <w:p w14:paraId="498B5B7A" w14:textId="77777777" w:rsidR="00A30DBD" w:rsidRPr="00D85791" w:rsidRDefault="00000000" w:rsidP="002D69CC">
            <w:pPr>
              <w:pStyle w:val="table"/>
              <w:jc w:val="center"/>
            </w:pPr>
            <w:r w:rsidRPr="00D85791">
              <w:t>26</w:t>
            </w:r>
          </w:p>
        </w:tc>
        <w:tc>
          <w:tcPr>
            <w:tcW w:w="900" w:type="dxa"/>
            <w:vAlign w:val="center"/>
          </w:tcPr>
          <w:p w14:paraId="0241277F" w14:textId="77777777" w:rsidR="00A30DBD" w:rsidRPr="00D85791" w:rsidRDefault="00000000" w:rsidP="007F7D0A">
            <w:pPr>
              <w:pStyle w:val="table"/>
              <w:tabs>
                <w:tab w:val="left" w:pos="444"/>
              </w:tabs>
              <w:jc w:val="center"/>
            </w:pPr>
            <w:r w:rsidRPr="00D85791">
              <w:t>26</w:t>
            </w:r>
          </w:p>
        </w:tc>
        <w:tc>
          <w:tcPr>
            <w:tcW w:w="630" w:type="dxa"/>
            <w:vAlign w:val="center"/>
          </w:tcPr>
          <w:p w14:paraId="1894F441" w14:textId="77777777" w:rsidR="00A30DBD" w:rsidRPr="00D85791" w:rsidRDefault="00000000" w:rsidP="002D69CC">
            <w:pPr>
              <w:pStyle w:val="table"/>
              <w:jc w:val="center"/>
            </w:pPr>
            <w:r w:rsidRPr="00500B88">
              <w:t>.45</w:t>
            </w:r>
          </w:p>
        </w:tc>
        <w:tc>
          <w:tcPr>
            <w:tcW w:w="900" w:type="dxa"/>
            <w:vAlign w:val="center"/>
          </w:tcPr>
          <w:p w14:paraId="256B0F2D" w14:textId="77777777" w:rsidR="00A30DBD" w:rsidRPr="00D85791" w:rsidRDefault="00000000" w:rsidP="002D69CC">
            <w:pPr>
              <w:pStyle w:val="table"/>
              <w:jc w:val="center"/>
            </w:pPr>
            <w:r w:rsidRPr="00500B88">
              <w:t>124</w:t>
            </w:r>
          </w:p>
        </w:tc>
      </w:tr>
      <w:tr w:rsidR="00A01A43" w14:paraId="1FDBDDA7" w14:textId="77777777" w:rsidTr="008902B8">
        <w:trPr>
          <w:jc w:val="center"/>
        </w:trPr>
        <w:tc>
          <w:tcPr>
            <w:tcW w:w="2577" w:type="dxa"/>
            <w:shd w:val="clear" w:color="auto" w:fill="auto"/>
            <w:tcMar>
              <w:top w:w="0" w:type="dxa"/>
              <w:left w:w="75" w:type="dxa"/>
              <w:bottom w:w="0" w:type="dxa"/>
              <w:right w:w="75" w:type="dxa"/>
            </w:tcMar>
            <w:vAlign w:val="center"/>
            <w:hideMark/>
          </w:tcPr>
          <w:p w14:paraId="705AE1DD"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6997D976"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017E7F94"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CF0FFF8" w14:textId="77777777" w:rsidR="00A30DBD" w:rsidRPr="00D85791" w:rsidRDefault="00000000" w:rsidP="002D69CC">
            <w:pPr>
              <w:pStyle w:val="table"/>
              <w:jc w:val="center"/>
            </w:pPr>
            <w:r w:rsidRPr="00D85791">
              <w:t>0.87</w:t>
            </w:r>
          </w:p>
        </w:tc>
        <w:tc>
          <w:tcPr>
            <w:tcW w:w="950" w:type="dxa"/>
            <w:vAlign w:val="center"/>
          </w:tcPr>
          <w:p w14:paraId="7498B791" w14:textId="77777777" w:rsidR="00A30DBD" w:rsidRPr="00D85791" w:rsidRDefault="00000000" w:rsidP="002D69CC">
            <w:pPr>
              <w:pStyle w:val="table"/>
              <w:jc w:val="center"/>
            </w:pPr>
            <w:r w:rsidRPr="00D85791">
              <w:t>36</w:t>
            </w:r>
          </w:p>
        </w:tc>
        <w:tc>
          <w:tcPr>
            <w:tcW w:w="900" w:type="dxa"/>
            <w:vAlign w:val="center"/>
          </w:tcPr>
          <w:p w14:paraId="21C71F40" w14:textId="77777777" w:rsidR="00A30DBD" w:rsidRPr="00D85791" w:rsidRDefault="00000000" w:rsidP="007F7D0A">
            <w:pPr>
              <w:pStyle w:val="table"/>
              <w:tabs>
                <w:tab w:val="left" w:pos="444"/>
              </w:tabs>
              <w:jc w:val="center"/>
            </w:pPr>
            <w:r w:rsidRPr="00D85791">
              <w:t>34</w:t>
            </w:r>
            <w:r>
              <w:t>***</w:t>
            </w:r>
          </w:p>
        </w:tc>
        <w:tc>
          <w:tcPr>
            <w:tcW w:w="630" w:type="dxa"/>
            <w:vAlign w:val="center"/>
          </w:tcPr>
          <w:p w14:paraId="6F06B18A" w14:textId="77777777" w:rsidR="00A30DBD" w:rsidRDefault="00000000" w:rsidP="002D69CC">
            <w:pPr>
              <w:pStyle w:val="table"/>
              <w:jc w:val="center"/>
            </w:pPr>
            <w:r w:rsidRPr="00500B88">
              <w:t>.30</w:t>
            </w:r>
          </w:p>
        </w:tc>
        <w:tc>
          <w:tcPr>
            <w:tcW w:w="900" w:type="dxa"/>
            <w:vAlign w:val="center"/>
          </w:tcPr>
          <w:p w14:paraId="6ED5EC6C" w14:textId="77777777" w:rsidR="00A30DBD" w:rsidRPr="00D85791" w:rsidRDefault="00000000" w:rsidP="002D69CC">
            <w:pPr>
              <w:pStyle w:val="table"/>
              <w:jc w:val="center"/>
            </w:pPr>
            <w:r w:rsidRPr="00500B88">
              <w:t>270</w:t>
            </w:r>
          </w:p>
        </w:tc>
      </w:tr>
      <w:tr w:rsidR="00A01A43" w14:paraId="447CB8B0" w14:textId="77777777" w:rsidTr="008902B8">
        <w:trPr>
          <w:jc w:val="center"/>
        </w:trPr>
        <w:tc>
          <w:tcPr>
            <w:tcW w:w="2577" w:type="dxa"/>
            <w:tcBorders>
              <w:bottom w:val="nil"/>
            </w:tcBorders>
            <w:shd w:val="clear" w:color="auto" w:fill="auto"/>
            <w:tcMar>
              <w:top w:w="0" w:type="dxa"/>
              <w:left w:w="75" w:type="dxa"/>
              <w:bottom w:w="0" w:type="dxa"/>
              <w:right w:w="75" w:type="dxa"/>
            </w:tcMar>
            <w:vAlign w:val="center"/>
            <w:hideMark/>
          </w:tcPr>
          <w:p w14:paraId="50D3113B"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C48DBCD"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2225195F"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44B1972" w14:textId="77777777" w:rsidR="00A30DBD" w:rsidRPr="00D85791" w:rsidRDefault="00000000" w:rsidP="002D69CC">
            <w:pPr>
              <w:pStyle w:val="table"/>
              <w:jc w:val="center"/>
            </w:pPr>
            <w:r w:rsidRPr="00D85791">
              <w:t>1.01</w:t>
            </w:r>
          </w:p>
        </w:tc>
        <w:tc>
          <w:tcPr>
            <w:tcW w:w="950" w:type="dxa"/>
            <w:tcBorders>
              <w:bottom w:val="nil"/>
            </w:tcBorders>
            <w:vAlign w:val="center"/>
          </w:tcPr>
          <w:p w14:paraId="501BEC46" w14:textId="77777777" w:rsidR="00A30DBD" w:rsidRPr="00D85791" w:rsidRDefault="00000000" w:rsidP="002D69CC">
            <w:pPr>
              <w:pStyle w:val="table"/>
              <w:jc w:val="center"/>
            </w:pPr>
            <w:r w:rsidRPr="00D85791">
              <w:t>8</w:t>
            </w:r>
          </w:p>
        </w:tc>
        <w:tc>
          <w:tcPr>
            <w:tcW w:w="900" w:type="dxa"/>
            <w:tcBorders>
              <w:bottom w:val="nil"/>
            </w:tcBorders>
            <w:vAlign w:val="center"/>
          </w:tcPr>
          <w:p w14:paraId="5A442CAB" w14:textId="77777777" w:rsidR="00A30DBD" w:rsidRPr="00D85791" w:rsidRDefault="00000000" w:rsidP="007F7D0A">
            <w:pPr>
              <w:pStyle w:val="table"/>
              <w:tabs>
                <w:tab w:val="left" w:pos="444"/>
              </w:tabs>
              <w:jc w:val="center"/>
            </w:pPr>
            <w:r w:rsidRPr="00D85791">
              <w:t>8</w:t>
            </w:r>
          </w:p>
        </w:tc>
        <w:tc>
          <w:tcPr>
            <w:tcW w:w="630" w:type="dxa"/>
            <w:tcBorders>
              <w:bottom w:val="nil"/>
            </w:tcBorders>
            <w:vAlign w:val="center"/>
          </w:tcPr>
          <w:p w14:paraId="047283E7" w14:textId="77777777" w:rsidR="00A30DBD" w:rsidRPr="00D85791" w:rsidRDefault="00000000" w:rsidP="002D69CC">
            <w:pPr>
              <w:pStyle w:val="table"/>
              <w:jc w:val="center"/>
            </w:pPr>
            <w:r w:rsidRPr="00500B88">
              <w:t>.45</w:t>
            </w:r>
          </w:p>
        </w:tc>
        <w:tc>
          <w:tcPr>
            <w:tcW w:w="900" w:type="dxa"/>
            <w:tcBorders>
              <w:bottom w:val="nil"/>
            </w:tcBorders>
            <w:vAlign w:val="center"/>
          </w:tcPr>
          <w:p w14:paraId="383AD7FC" w14:textId="77777777" w:rsidR="00A30DBD" w:rsidRPr="00D85791" w:rsidRDefault="00000000" w:rsidP="002D69CC">
            <w:pPr>
              <w:pStyle w:val="table"/>
              <w:jc w:val="center"/>
            </w:pPr>
            <w:r w:rsidRPr="00500B88">
              <w:t>32</w:t>
            </w:r>
          </w:p>
        </w:tc>
      </w:tr>
      <w:tr w:rsidR="00A01A43" w14:paraId="78841712"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7FC5FF1E"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9D9112A"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47746E6B"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58BCE9DE"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264D22C" w14:textId="77777777" w:rsidR="00A30DBD" w:rsidRPr="00D85791" w:rsidRDefault="00000000" w:rsidP="002D69CC">
            <w:pPr>
              <w:pStyle w:val="table"/>
              <w:jc w:val="center"/>
            </w:pPr>
            <w:r w:rsidRPr="00D85791">
              <w:t>10</w:t>
            </w:r>
          </w:p>
        </w:tc>
        <w:tc>
          <w:tcPr>
            <w:tcW w:w="900" w:type="dxa"/>
            <w:tcBorders>
              <w:top w:val="nil"/>
              <w:bottom w:val="single" w:sz="4" w:space="0" w:color="auto"/>
            </w:tcBorders>
            <w:vAlign w:val="center"/>
          </w:tcPr>
          <w:p w14:paraId="50DFCABC" w14:textId="77777777" w:rsidR="00A30DBD" w:rsidRPr="00D85791" w:rsidRDefault="00000000" w:rsidP="007F7D0A">
            <w:pPr>
              <w:pStyle w:val="table"/>
              <w:tabs>
                <w:tab w:val="left" w:pos="444"/>
              </w:tabs>
              <w:jc w:val="center"/>
            </w:pPr>
            <w:r w:rsidRPr="00D85791">
              <w:t>10</w:t>
            </w:r>
          </w:p>
        </w:tc>
        <w:tc>
          <w:tcPr>
            <w:tcW w:w="630" w:type="dxa"/>
            <w:tcBorders>
              <w:top w:val="nil"/>
              <w:bottom w:val="single" w:sz="4" w:space="0" w:color="auto"/>
            </w:tcBorders>
            <w:vAlign w:val="center"/>
          </w:tcPr>
          <w:p w14:paraId="34716597"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7D531CC8" w14:textId="77777777" w:rsidR="00A30DBD" w:rsidRPr="00D85791" w:rsidRDefault="00000000" w:rsidP="002D69CC">
            <w:pPr>
              <w:pStyle w:val="table"/>
              <w:jc w:val="center"/>
            </w:pPr>
            <w:r w:rsidRPr="00500B88">
              <w:t>69</w:t>
            </w:r>
          </w:p>
        </w:tc>
      </w:tr>
      <w:tr w:rsidR="00A01A43" w14:paraId="52FF1F5A"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7E75F576" w14:textId="77777777" w:rsidR="00A30DBD" w:rsidRPr="001E11B0" w:rsidRDefault="00000000" w:rsidP="002D69CC">
            <w:pPr>
              <w:pStyle w:val="table"/>
              <w:jc w:val="left"/>
              <w:rPr>
                <w:i/>
                <w:iCs/>
              </w:rPr>
            </w:pPr>
            <w:r w:rsidRPr="001E11B0">
              <w:rPr>
                <w:i/>
                <w:iCs/>
              </w:rPr>
              <w:t xml:space="preserve">Notes: </w:t>
            </w:r>
          </w:p>
          <w:p w14:paraId="0E56ADAD"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E51786D"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 but are recalculated here using the effectsize R package</w:t>
            </w:r>
            <w:r>
              <w:t>’</w:t>
            </w:r>
            <w:r w:rsidRPr="00664B6B">
              <w:t xml:space="preserve">s </w:t>
            </w:r>
            <w:r>
              <w:t>‘</w:t>
            </w:r>
            <w:r w:rsidRPr="00664B6B">
              <w:t>r_to_d</w:t>
            </w:r>
            <w:r>
              <w:t>’</w:t>
            </w:r>
            <w:r w:rsidRPr="00664B6B">
              <w:t xml:space="preserve"> function.</w:t>
            </w:r>
          </w:p>
          <w:p w14:paraId="0685B861" w14:textId="77777777" w:rsidR="00A30DBD" w:rsidRPr="00D85791" w:rsidRDefault="00000000" w:rsidP="002D69CC">
            <w:pPr>
              <w:pStyle w:val="table"/>
              <w:jc w:val="left"/>
            </w:pPr>
            <w:r>
              <w:t>*** Discrepancy between the result reported by Vahey et al. (2015) and the recalculated result</w:t>
            </w:r>
          </w:p>
        </w:tc>
      </w:tr>
    </w:tbl>
    <w:p w14:paraId="2062AFCA" w14:textId="77777777" w:rsidR="00664B6B" w:rsidRDefault="00664B6B" w:rsidP="00EE79F9">
      <w:pPr>
        <w:ind w:firstLine="0"/>
      </w:pPr>
    </w:p>
    <w:p w14:paraId="04FEA809" w14:textId="77777777" w:rsidR="000967B0" w:rsidRDefault="000967B0" w:rsidP="00EE79F9">
      <w:pPr>
        <w:ind w:firstLine="0"/>
      </w:pPr>
    </w:p>
    <w:p w14:paraId="388117F8"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4B814F7F" w14:textId="383D4F2F" w:rsidR="004F3E34" w:rsidRPr="00034410" w:rsidRDefault="002B214D" w:rsidP="002B214D">
      <w:r w:rsidRPr="00034410">
        <w:t xml:space="preserve">Two of the variables </w:t>
      </w:r>
      <w:r>
        <w:t xml:space="preserve">in equation 1 </w:t>
      </w:r>
      <w:r w:rsidRPr="00034410">
        <w:t>already have empirical estimates. First, Vahey et al.'s (2015) estimate of the observed correlation between the IRAP and criterion variables was</w:t>
      </w:r>
      <w:r w:rsidRPr="00034410">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034410">
        <w:t xml:space="preserve"> = .27) and test-retest (ICC</w:t>
      </w:r>
      <w:r w:rsidRPr="00034410">
        <w:rPr>
          <w:vertAlign w:val="subscript"/>
        </w:rPr>
        <w:t>2</w:t>
      </w:r>
      <w:r w:rsidRPr="00034410">
        <w:t xml:space="preserve"> = .18) are extremely low </w:t>
      </w:r>
      <w:r w:rsidRPr="00034410">
        <w:fldChar w:fldCharType="begin"/>
      </w:r>
      <w:r w:rsidRPr="00034410">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034410">
        <w:fldChar w:fldCharType="separate"/>
      </w:r>
      <w:r w:rsidRPr="00034410">
        <w:rPr>
          <w:noProof/>
        </w:rPr>
        <w:t>(Hussey &amp; Drake, 2020)</w:t>
      </w:r>
      <w:r w:rsidRPr="00034410">
        <w:fldChar w:fldCharType="end"/>
      </w:r>
      <w:r w:rsidRPr="00034410">
        <w:t>.</w:t>
      </w:r>
      <w:r>
        <w:rPr>
          <w:rStyle w:val="FootnoteReference"/>
        </w:rPr>
        <w:footnoteReference w:id="1"/>
      </w:r>
      <w:r w:rsidRPr="00034410">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034410">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034410">
        <w:t xml:space="preserve">). </w:t>
      </w:r>
      <w:proofErr w:type="gramStart"/>
      <w:r w:rsidR="00486207" w:rsidRPr="00034410">
        <w:t>Both of these</w:t>
      </w:r>
      <w:proofErr w:type="gramEnd"/>
      <w:r w:rsidR="00486207" w:rsidRPr="00034410">
        <w:t xml:space="preserve"> variables share the same constraint: as correlations, their value cannot be </w:t>
      </w:r>
      <w:r w:rsidR="00486207">
        <w:t>below -1 or above 1</w:t>
      </w:r>
      <w:r w:rsidR="00486207" w:rsidRPr="00034410">
        <w:t>.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0.90). This would imply that the lower limit of the IRAP’s true criterion validity after adjusting for measurement error is </w:t>
      </w:r>
      <w:r w:rsidR="00486207">
        <w:t xml:space="preserve">somewhere </w:t>
      </w:r>
      <w:r w:rsidR="00486207" w:rsidRPr="00034410">
        <w:t xml:space="preserve">between </w:t>
      </w:r>
      <w:r w:rsidR="00486207">
        <w:t xml:space="preserve">(a) </w:t>
      </w:r>
      <w:r w:rsidR="00486207" w:rsidRPr="00034410">
        <w:t xml:space="preserve">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.91 (when using the estimate</w:t>
      </w:r>
      <w:r w:rsidR="00486207">
        <w:t xml:space="preserve"> </w:t>
      </w:r>
      <w:r w:rsidR="00486207" w:rsidRPr="00034410">
        <w:t xml:space="preserve">of internal consistency), </w:t>
      </w:r>
      <w:r w:rsidR="00486207">
        <w:t>and</w:t>
      </w:r>
      <w:r w:rsidR="00486207" w:rsidRPr="00034410">
        <w:t xml:space="preserve"> </w:t>
      </w:r>
      <w:r w:rsidR="00486207">
        <w:t xml:space="preserve">(b) </w:t>
      </w:r>
      <w:r w:rsidR="00486207" w:rsidRPr="00034410">
        <w:t xml:space="preserve">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1.12 (when using the estimate of test-retest</w:t>
      </w:r>
      <w:r w:rsidR="00486207">
        <w:t xml:space="preserve"> reliability</w:t>
      </w:r>
      <w:r w:rsidR="00486207" w:rsidRPr="00034410">
        <w:t xml:space="preserve">).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486207" w:rsidRPr="00034410">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486207" w:rsidRPr="00034410">
        <w:t xml:space="preserve"> = 1.04 or 1.27 respectively). </w:t>
      </w:r>
    </w:p>
    <w:p w14:paraId="3AD3A323" w14:textId="77777777" w:rsidR="004F3E34" w:rsidRDefault="00000000" w:rsidP="004F3E34">
      <w:r w:rsidRPr="00034410">
        <w:t>Given that these estimates range between highly implausible and impossible, something appears to be amiss. Either Vahey et al.</w:t>
      </w:r>
      <w:r>
        <w:t>’</w:t>
      </w:r>
      <w:r w:rsidRPr="00034410">
        <w:t xml:space="preserve"> s (2015) estimate of average criterion associations is somewhere between highly </w:t>
      </w:r>
      <w:r w:rsidRPr="00034410">
        <w:t xml:space="preserve">implausible and mathematically impossible given the IRAP's reliability (i.e., assuming Hussey &amp; Drake 2020 are right about </w:t>
      </w:r>
      <w:r>
        <w:t xml:space="preserve">the IRAP’s </w:t>
      </w:r>
      <w:r w:rsidRPr="00034410">
        <w:t>reliability), or Hussey &amp; Drake's (2020) estimates of the IRAP's average reliability is implausibly low given the IRAP's high criterion validity (i.e., assuming Vahey et al.</w:t>
      </w:r>
      <w:r>
        <w:t>,</w:t>
      </w:r>
      <w:r w:rsidRPr="00034410">
        <w:t xml:space="preserve"> 2015</w:t>
      </w:r>
      <w:r>
        <w:t>,</w:t>
      </w:r>
      <w:r w:rsidRPr="00034410">
        <w:t xml:space="preserve"> are right about </w:t>
      </w:r>
      <w:r>
        <w:t xml:space="preserve">the IRAP’s criterion </w:t>
      </w:r>
      <w:r w:rsidRPr="00034410">
        <w:t xml:space="preserve">validity). Ultimately it will be up to the </w:t>
      </w:r>
      <w:r>
        <w:t xml:space="preserve">research </w:t>
      </w:r>
      <w:r w:rsidRPr="00034410">
        <w:t>community to determine whether our analyses in Hussey &amp; Drake (2020) are sound, and we provide</w:t>
      </w:r>
      <w:r>
        <w:t>d</w:t>
      </w:r>
      <w:r w:rsidRPr="00034410">
        <w:t xml:space="preserve"> open data and code to aid others in inspecting our work for errors. Because I am confident in </w:t>
      </w:r>
      <w:r>
        <w:t xml:space="preserve">our results reported there, I am instead </w:t>
      </w:r>
      <w:r w:rsidRPr="00034410">
        <w:t>motivated to inspect Vahey et al.</w:t>
      </w:r>
      <w:r>
        <w:t>’</w:t>
      </w:r>
      <w:r w:rsidRPr="00034410">
        <w:t xml:space="preserve">s (2015) data and analyses to determine if the issue lies there instead.  </w:t>
      </w:r>
    </w:p>
    <w:p w14:paraId="6426540C" w14:textId="77777777" w:rsidR="00404694" w:rsidRPr="00034410" w:rsidRDefault="00000000" w:rsidP="00404694">
      <w:pPr>
        <w:pStyle w:val="Heading1"/>
      </w:pPr>
      <w:r w:rsidRPr="00034410">
        <w:t>Method &amp; Results</w:t>
      </w:r>
    </w:p>
    <w:p w14:paraId="2D734480" w14:textId="77777777" w:rsidR="00404694" w:rsidRPr="00034410" w:rsidRDefault="00000000" w:rsidP="00404694">
      <w:r w:rsidRPr="00034410">
        <w:t xml:space="preserve">Vahey et al. (2015) reported the steps in their analyses in the conventional order: they identified effect sizes in the original article, applied inclusion and exclusion </w:t>
      </w:r>
    </w:p>
    <w:p w14:paraId="3900858A" w14:textId="169CCD00" w:rsidR="00F2404A" w:rsidRPr="00CA0A9B" w:rsidRDefault="00000000" w:rsidP="005F0161">
      <w:pPr>
        <w:ind w:firstLine="0"/>
      </w:pPr>
      <w:r w:rsidRPr="00034410">
        <w:t xml:space="preserve">criteria, extracted them, converted them to Pearson’s </w:t>
      </w:r>
      <w:r w:rsidRPr="00034410">
        <w:rPr>
          <w:i/>
          <w:iCs/>
        </w:rPr>
        <w:t>r</w:t>
      </w:r>
      <w:r w:rsidRPr="00034410">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w:t>
      </w:r>
      <w:r>
        <w:t>re-extract</w:t>
      </w:r>
      <w:r w:rsidRPr="00034410">
        <w:t xml:space="preserve">ed individual effect sizes. </w:t>
      </w:r>
    </w:p>
    <w:p w14:paraId="640FDDC4" w14:textId="77777777" w:rsidR="005F0161" w:rsidRDefault="00000000" w:rsidP="005F0161">
      <w:pPr>
        <w:ind w:firstLine="0"/>
        <w:rPr>
          <w:b/>
          <w:bCs/>
        </w:rPr>
      </w:pPr>
      <w:r w:rsidRPr="00C842F7">
        <w:rPr>
          <w:b/>
          <w:bCs/>
        </w:rPr>
        <w:t>Transparency statement</w:t>
      </w:r>
    </w:p>
    <w:p w14:paraId="4FBB91DA" w14:textId="06A47575" w:rsidR="00F940A0" w:rsidRPr="00034410" w:rsidRDefault="00000000" w:rsidP="005F0161">
      <w:r w:rsidRPr="00C842F7">
        <w:t>All data, code, and formulae (e.g., to convert effect sizes) to reproduce the verification and extension analyses can be found in the supplementary materials</w:t>
      </w:r>
      <w:r>
        <w:t xml:space="preserve"> (</w:t>
      </w:r>
      <w:r w:rsidR="00B33C2E" w:rsidRPr="00034410">
        <w:t xml:space="preserve">see </w:t>
      </w:r>
      <w:hyperlink r:id="rId11" w:history="1">
        <w:r w:rsidR="00A634B8" w:rsidRPr="00034410">
          <w:rPr>
            <w:rStyle w:val="Hyperlink"/>
          </w:rPr>
          <w:t>osf.io/jg8td</w:t>
        </w:r>
      </w:hyperlink>
      <w:r w:rsidR="00B33C2E" w:rsidRPr="00034410">
        <w:t xml:space="preserve">). </w:t>
      </w:r>
      <w:r w:rsidR="00380E3E" w:rsidRPr="00034410">
        <w:t xml:space="preserve">In the process of conducting this </w:t>
      </w:r>
      <w:r w:rsidR="00380E3E" w:rsidRPr="00034410">
        <w:lastRenderedPageBreak/>
        <w:t xml:space="preserve">verification attempt, I contacted the corresponding author of Vahey et al. (2015) and requested that they share their code or further details of their </w:t>
      </w:r>
      <w:r w:rsidR="00586996" w:rsidRPr="00034410">
        <w:t>analytic approach</w:t>
      </w:r>
      <w:r w:rsidR="00380E3E" w:rsidRPr="00034410">
        <w:t xml:space="preserve">, who declined. </w:t>
      </w:r>
      <w:r w:rsidR="002D2566" w:rsidRPr="00034410">
        <w:t xml:space="preserve">In July 2019, </w:t>
      </w:r>
      <w:r w:rsidR="00380E3E" w:rsidRPr="00034410">
        <w:t>I shared a copy of an earlier version of th</w:t>
      </w:r>
      <w:r w:rsidR="00F21238" w:rsidRPr="00034410">
        <w:t>ese</w:t>
      </w:r>
      <w:r w:rsidR="00380E3E" w:rsidRPr="00034410">
        <w:t xml:space="preserve"> verification attempt</w:t>
      </w:r>
      <w:r w:rsidR="00F21238" w:rsidRPr="00034410">
        <w:t>s with the corresponding author</w:t>
      </w:r>
      <w:r w:rsidR="00380E3E" w:rsidRPr="00034410">
        <w:t xml:space="preserve">, including code, data, and a set of slides outlining my concerns about </w:t>
      </w:r>
      <w:r w:rsidR="002D2566" w:rsidRPr="00034410">
        <w:t>the credibility of their findings</w:t>
      </w:r>
      <w:r w:rsidR="00380E3E" w:rsidRPr="00034410">
        <w:t xml:space="preserve">. </w:t>
      </w:r>
      <w:r w:rsidR="00F21238" w:rsidRPr="00034410">
        <w:t xml:space="preserve">I </w:t>
      </w:r>
      <w:r w:rsidR="007D4DD0" w:rsidRPr="00034410">
        <w:t xml:space="preserve">have </w:t>
      </w:r>
      <w:r w:rsidR="00F21238" w:rsidRPr="00034410">
        <w:t>received n</w:t>
      </w:r>
      <w:r w:rsidR="00380E3E" w:rsidRPr="00034410">
        <w:t xml:space="preserve">o contact from the </w:t>
      </w:r>
      <w:r w:rsidR="00E6539D" w:rsidRPr="00034410">
        <w:t xml:space="preserve">corresponding </w:t>
      </w:r>
      <w:r w:rsidR="00380E3E" w:rsidRPr="00034410">
        <w:t>author since then</w:t>
      </w:r>
      <w:r w:rsidR="00FC0551" w:rsidRPr="00034410">
        <w:t xml:space="preserve">. No corrections of Vahey et al. (2015) have been issued at the time of writing (July 2024), and to the best of my knowledge, the authors of Vahey et al. (2015) have made no public statements about these concerns about the credibility of their findings. </w:t>
      </w:r>
      <w:r w:rsidR="008D3041" w:rsidRPr="00034410">
        <w:t xml:space="preserve">Even </w:t>
      </w:r>
      <w:r w:rsidR="00612DC2">
        <w:t>five</w:t>
      </w:r>
      <w:r w:rsidR="008D3041" w:rsidRPr="00034410">
        <w:t xml:space="preserve"> years after I initially raised these concerns, the senior author of Vahey et al. (2015) has continued to cite the article favorably as evidence for the IRAP's validity </w:t>
      </w:r>
      <w:r w:rsidR="008D3041" w:rsidRPr="00034410">
        <w:fldChar w:fldCharType="begin"/>
      </w:r>
      <w:r w:rsidR="000E284E">
        <w:instrText xml:space="preserve"> ADDIN ZOTERO_ITEM CSL_CITATION {"citationID":"OVMdbenp","properties":{"formattedCitation":"(e.g., Barnes-Holmes &amp; Harte, 2022a, 2022b)","plainCitation":"(e.g.,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8D3041" w:rsidRPr="00034410">
        <w:fldChar w:fldCharType="separate"/>
      </w:r>
      <w:r w:rsidR="008D3041" w:rsidRPr="00034410">
        <w:rPr>
          <w:noProof/>
        </w:rPr>
        <w:t>(e.g., Barnes-Holmes &amp; Harte, 2022a, 2022b)</w:t>
      </w:r>
      <w:r w:rsidR="008D3041" w:rsidRPr="00034410">
        <w:fldChar w:fldCharType="end"/>
      </w:r>
      <w:r w:rsidR="008D3041" w:rsidRPr="00034410">
        <w:t>.</w:t>
      </w:r>
      <w:r w:rsidR="00366912" w:rsidRPr="00034410">
        <w:t xml:space="preserve"> </w:t>
      </w:r>
    </w:p>
    <w:p w14:paraId="69D73661" w14:textId="77777777" w:rsidR="00B95E95" w:rsidRPr="00034410" w:rsidRDefault="00000000" w:rsidP="00034410">
      <w:pPr>
        <w:pStyle w:val="Heading2"/>
      </w:pPr>
      <w:r w:rsidRPr="00034410">
        <w:t>Power analyses</w:t>
      </w:r>
    </w:p>
    <w:p w14:paraId="004E0D72" w14:textId="77777777" w:rsidR="00B63051" w:rsidRDefault="00000000" w:rsidP="00F862D8">
      <w:r w:rsidRPr="00034410">
        <w:t xml:space="preserve">Details of the power analyses conducted by Vahey et al. (2015) were extracted. This included the meta-effect size used (i.e., using point estimate or lower bound </w:t>
      </w:r>
      <w:r w:rsidR="00BE42D5">
        <w:t>Confidence Interval</w:t>
      </w:r>
      <w:r w:rsidRPr="00034410">
        <w:t xml:space="preserve">, following Perugini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-test), the direction of hypothesis (one-sided vs. two-sided)</w:t>
      </w:r>
      <w:r w:rsidR="009D6E04" w:rsidRPr="00034410">
        <w:t xml:space="preserve">, and the </w:t>
      </w:r>
      <w:r w:rsidR="00D566E1" w:rsidRPr="00034410">
        <w:t>recommended</w:t>
      </w:r>
      <w:r w:rsidR="009D6E04" w:rsidRPr="00034410">
        <w:t xml:space="preserve"> sample size (i.e., the result of the test).</w:t>
      </w:r>
      <w:r w:rsidRPr="00034410">
        <w:t xml:space="preserve"> Verification tests were </w:t>
      </w:r>
      <w:r w:rsidRPr="00B6073F">
        <w:t xml:space="preserve">performed using the </w:t>
      </w:r>
      <w:r w:rsidR="00D36B5A" w:rsidRPr="00B6073F">
        <w:t>pwr</w:t>
      </w:r>
      <w:r w:rsidRPr="00B6073F">
        <w:t xml:space="preserve"> R library</w:t>
      </w:r>
      <w:r w:rsidR="003A49F2" w:rsidRPr="00B6073F">
        <w:t xml:space="preserve"> </w:t>
      </w:r>
      <w:r w:rsidR="00DE6104" w:rsidRPr="00B6073F">
        <w:fldChar w:fldCharType="begin"/>
      </w:r>
      <w:r w:rsidR="00DE6104"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00DE6104" w:rsidRPr="00B6073F">
        <w:fldChar w:fldCharType="separate"/>
      </w:r>
      <w:r w:rsidR="00DE6104" w:rsidRPr="00B6073F">
        <w:rPr>
          <w:noProof/>
        </w:rPr>
        <w:t>(Champely, 2016)</w:t>
      </w:r>
      <w:r w:rsidR="00DE6104" w:rsidRPr="00B6073F">
        <w:fldChar w:fldCharType="end"/>
      </w:r>
      <w:r w:rsidRPr="00B6073F">
        <w:t xml:space="preserve">. </w:t>
      </w:r>
      <w:r w:rsidR="005151B9" w:rsidRPr="00B6073F">
        <w:t xml:space="preserve">Table </w:t>
      </w:r>
      <w:r w:rsidR="00D568BD" w:rsidRPr="00B6073F">
        <w:t>1</w:t>
      </w:r>
      <w:r w:rsidR="005151B9" w:rsidRPr="00B6073F">
        <w:t xml:space="preserve"> contains </w:t>
      </w:r>
      <w:r w:rsidR="000C5051" w:rsidRPr="00B6073F">
        <w:t>the</w:t>
      </w:r>
      <w:r w:rsidR="00AA6455" w:rsidRPr="00B6073F">
        <w:t xml:space="preserve"> </w:t>
      </w:r>
      <w:r w:rsidR="0011275B" w:rsidRPr="00B6073F">
        <w:t>results</w:t>
      </w:r>
      <w:r w:rsidR="00AA6455" w:rsidRPr="00B6073F">
        <w:t xml:space="preserve"> of </w:t>
      </w:r>
      <w:r w:rsidR="0011275B" w:rsidRPr="00B6073F">
        <w:t xml:space="preserve">both the </w:t>
      </w:r>
      <w:r w:rsidR="005151B9" w:rsidRPr="00B6073F">
        <w:t>power analyses reported</w:t>
      </w:r>
      <w:r w:rsidR="005151B9" w:rsidRPr="00034410">
        <w:t xml:space="preserve"> by Vahey et al. (2015) and </w:t>
      </w:r>
      <w:r w:rsidR="0011275B">
        <w:t xml:space="preserve">those of the </w:t>
      </w:r>
      <w:r w:rsidR="005151B9" w:rsidRPr="00034410">
        <w:t>verification analyses</w:t>
      </w:r>
      <w:r w:rsidR="00AA6455" w:rsidRPr="00034410">
        <w:t xml:space="preserve">. </w:t>
      </w:r>
      <w:r w:rsidR="00ED76E7" w:rsidRPr="00034410">
        <w:t xml:space="preserve">As can be seen in the table, </w:t>
      </w:r>
      <w:r w:rsidR="00ED5CE9" w:rsidRPr="00034410">
        <w:t>Vahey et al.’s (2015)</w:t>
      </w:r>
      <w:r w:rsidR="00ED76E7" w:rsidRPr="00034410">
        <w:t xml:space="preserve"> sample size recommendations </w:t>
      </w:r>
      <w:r w:rsidR="00DC3D10" w:rsidRPr="00034410">
        <w:t xml:space="preserve">were found to be </w:t>
      </w:r>
      <w:r w:rsidR="00ED76E7" w:rsidRPr="00034410">
        <w:t>computationally reproducible</w:t>
      </w:r>
      <w:r w:rsidR="00DC3D10" w:rsidRPr="00034410">
        <w:t xml:space="preserve"> when their meta-analytic effect size was used</w:t>
      </w:r>
      <w:r w:rsidR="00573174">
        <w:t xml:space="preserve">, with one exception (difference </w:t>
      </w:r>
      <w:r w:rsidR="00573174" w:rsidRPr="00573174">
        <w:rPr>
          <w:i/>
          <w:iCs/>
        </w:rPr>
        <w:t>N</w:t>
      </w:r>
      <w:r w:rsidR="009258DB">
        <w:t xml:space="preserve"> =</w:t>
      </w:r>
      <w:r w:rsidR="00573174">
        <w:t xml:space="preserve"> </w:t>
      </w:r>
      <w:r w:rsidR="00532F48">
        <w:t>36 vs. 34</w:t>
      </w:r>
      <w:r w:rsidR="00573174">
        <w:t>).</w:t>
      </w:r>
    </w:p>
    <w:p w14:paraId="4D667899" w14:textId="77777777" w:rsidR="00FF5FBB" w:rsidRDefault="00FF5FBB" w:rsidP="00F862D8"/>
    <w:p w14:paraId="6F2D6989" w14:textId="77777777" w:rsidR="00FF5FBB" w:rsidRDefault="00000000" w:rsidP="00FF5FBB">
      <w:pPr>
        <w:ind w:firstLine="0"/>
        <w:rPr>
          <w:b/>
          <w:bCs/>
        </w:rPr>
      </w:pPr>
      <w:r w:rsidRPr="005357A0">
        <w:rPr>
          <w:b/>
          <w:bCs/>
        </w:rPr>
        <w:t xml:space="preserve">Figure 1. Weighted-mean effect sizes and their 95% </w:t>
      </w:r>
      <w:r>
        <w:rPr>
          <w:b/>
          <w:bCs/>
        </w:rPr>
        <w:t>Confidence Intervals</w:t>
      </w:r>
      <w:r w:rsidRPr="005357A0">
        <w:rPr>
          <w:b/>
          <w:bCs/>
        </w:rPr>
        <w:t xml:space="preserve"> extracted from Vahey et al.’s (2015</w:t>
      </w:r>
      <w:r w:rsidR="00170C4C">
        <w:rPr>
          <w:b/>
          <w:bCs/>
        </w:rPr>
        <w:t>, Figure 1</w:t>
      </w:r>
      <w:r w:rsidRPr="005357A0">
        <w:rPr>
          <w:b/>
          <w:bCs/>
        </w:rPr>
        <w:t>) forest plot.</w:t>
      </w:r>
    </w:p>
    <w:p w14:paraId="3C36A0D6" w14:textId="77777777" w:rsidR="00FF5FBB" w:rsidRPr="005357A0" w:rsidRDefault="00000000" w:rsidP="00FF5FBB">
      <w:pPr>
        <w:ind w:firstLine="0"/>
        <w:rPr>
          <w:b/>
          <w:bCs/>
        </w:rPr>
      </w:pPr>
      <w:r>
        <w:rPr>
          <w:b/>
          <w:bCs/>
          <w:noProof/>
        </w:rPr>
        <w:drawing>
          <wp:inline distT="0" distB="0" distL="0" distR="0" wp14:anchorId="1F347EE8" wp14:editId="3BF53A50">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16C4F328" w14:textId="77777777" w:rsidR="00FF5FBB" w:rsidRPr="00F862D8" w:rsidRDefault="00FF5FBB" w:rsidP="00FF5FBB">
      <w:pPr>
        <w:ind w:firstLine="0"/>
      </w:pPr>
    </w:p>
    <w:p w14:paraId="1CB10EF7" w14:textId="77777777" w:rsidR="00E40521" w:rsidRDefault="00000000" w:rsidP="00034410">
      <w:pPr>
        <w:pStyle w:val="Heading2"/>
      </w:pPr>
      <w:r w:rsidRPr="00034410">
        <w:t>Meta-analysis</w:t>
      </w:r>
    </w:p>
    <w:p w14:paraId="4F97CD81" w14:textId="77777777" w:rsidR="0017243A" w:rsidRPr="0017243A" w:rsidRDefault="00000000" w:rsidP="0017243A">
      <w:pPr>
        <w:pStyle w:val="Heading3"/>
      </w:pPr>
      <w:r>
        <w:t>Issues with the meta-analysis</w:t>
      </w:r>
      <w:r w:rsidR="00AA71D9">
        <w:t xml:space="preserve"> </w:t>
      </w:r>
      <w:r w:rsidR="000521C2">
        <w:t>results</w:t>
      </w:r>
    </w:p>
    <w:p w14:paraId="0DB3B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 xml:space="preserve">and CR) and </w:t>
      </w:r>
      <w:r w:rsidR="00637EF6" w:rsidRPr="00034410">
        <w:t>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0A6B0371" w14:textId="64AC3863"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1836E6B3" w14:textId="77777777" w:rsidR="00F862D8" w:rsidRDefault="00F862D8" w:rsidP="00F862D8"/>
    <w:p w14:paraId="0D3D230C" w14:textId="77777777" w:rsidR="00F862D8" w:rsidRPr="00F862D8" w:rsidRDefault="00000000" w:rsidP="00F862D8">
      <w:pPr>
        <w:ind w:firstLine="0"/>
        <w:rPr>
          <w:b/>
          <w:bCs/>
        </w:rPr>
      </w:pPr>
      <w:r w:rsidRPr="00F862D8">
        <w:rPr>
          <w:b/>
          <w:bCs/>
        </w:rPr>
        <w:t xml:space="preserve">Figure </w:t>
      </w:r>
      <w:r w:rsidR="00157B0C">
        <w:rPr>
          <w:b/>
          <w:bCs/>
        </w:rPr>
        <w:t>2</w:t>
      </w:r>
      <w:r w:rsidRPr="00F862D8">
        <w:rPr>
          <w:b/>
          <w:bCs/>
        </w:rPr>
        <w:t xml:space="preserve">. </w:t>
      </w:r>
      <w:r w:rsidR="00B21A2E">
        <w:rPr>
          <w:b/>
          <w:bCs/>
        </w:rPr>
        <w:t xml:space="preserve">Discrepancies between the data in </w:t>
      </w:r>
      <w:r w:rsidR="00C55C2C">
        <w:rPr>
          <w:b/>
          <w:bCs/>
        </w:rPr>
        <w:t>Vahey et al.’s (2015)</w:t>
      </w:r>
      <w:r w:rsidR="00B21A2E">
        <w:rPr>
          <w:b/>
          <w:bCs/>
        </w:rPr>
        <w:t xml:space="preserve"> forest plot</w:t>
      </w:r>
      <w:r w:rsidR="00C55C2C">
        <w:rPr>
          <w:b/>
          <w:bCs/>
        </w:rPr>
        <w:t xml:space="preserve"> (their Figure 1) vs. funnel plot (their Figure 2)</w:t>
      </w:r>
      <w:r w:rsidR="00B21A2E">
        <w:rPr>
          <w:b/>
          <w:bCs/>
        </w:rPr>
        <w:t xml:space="preserve">. </w:t>
      </w:r>
    </w:p>
    <w:p w14:paraId="7D762872" w14:textId="77777777" w:rsidR="00F862D8" w:rsidRDefault="00000000" w:rsidP="00F862D8">
      <w:pPr>
        <w:ind w:firstLine="0"/>
      </w:pPr>
      <w:r>
        <w:rPr>
          <w:noProof/>
        </w:rPr>
        <w:drawing>
          <wp:inline distT="0" distB="0" distL="0" distR="0" wp14:anchorId="49CAD319" wp14:editId="05113D3A">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38FA9A3F" w14:textId="77777777" w:rsidR="00B21A2E" w:rsidRPr="00C55C2C" w:rsidRDefault="00000000" w:rsidP="00F862D8">
      <w:pPr>
        <w:ind w:firstLine="0"/>
        <w:rPr>
          <w:i/>
          <w:iCs/>
        </w:rPr>
      </w:pPr>
      <w:r w:rsidRPr="00C55C2C">
        <w:rPr>
          <w:i/>
          <w:iCs/>
        </w:rPr>
        <w:t xml:space="preserve">Note: </w:t>
      </w:r>
      <w:r w:rsidR="008B57B9" w:rsidRPr="00C55C2C">
        <w:rPr>
          <w:i/>
          <w:iCs/>
        </w:rPr>
        <w:t xml:space="preserve">This plot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00FC2DE5" w14:textId="77777777" w:rsidR="00367018" w:rsidRDefault="00367018" w:rsidP="00F862D8">
      <w:pPr>
        <w:pStyle w:val="Heading3"/>
      </w:pPr>
    </w:p>
    <w:p w14:paraId="1295E25E" w14:textId="77777777" w:rsidR="00C34F86" w:rsidRPr="0017243A" w:rsidRDefault="00C34F86" w:rsidP="00C34F86">
      <w:pPr>
        <w:pStyle w:val="Heading3"/>
      </w:pPr>
      <w:r>
        <w:t>Issues with the original effect sizes’ Confidence Intervals</w:t>
      </w:r>
    </w:p>
    <w:p w14:paraId="1B19FB9B" w14:textId="77777777" w:rsidR="00C34F86" w:rsidRDefault="00C34F86" w:rsidP="00C34F86">
      <w:r>
        <w:t xml:space="preserve">Separately, it is also worth inspecting the weighted average effect sizes for each of the component studies reported in Vahey et al.’s (2015) Figure 1. These numerical values were extracted and are reproduced in Figure 1 of this </w:t>
      </w:r>
      <w:proofErr w:type="gramStart"/>
      <w:r>
        <w:t>manuscript, and</w:t>
      </w:r>
      <w:proofErr w:type="gramEnd"/>
      <w:r>
        <w:t xml:space="preserve"> serve as the data for the verification attempts below. The individual effect </w:t>
      </w:r>
      <w:r>
        <w:lastRenderedPageBreak/>
        <w:t xml:space="preserve">sizes are </w:t>
      </w:r>
      <w:proofErr w:type="spellStart"/>
      <w:r>
        <w:t>labeled</w:t>
      </w:r>
      <w:proofErr w:type="spellEnd"/>
      <w:r>
        <w:t xml:space="preserve"> as representing weighted </w:t>
      </w:r>
      <w:r w:rsidRPr="00DC4226">
        <w:rPr>
          <w:i/>
          <w:iCs/>
        </w:rPr>
        <w:t>r</w:t>
      </w:r>
      <w:r>
        <w:t xml:space="preserve"> values and its Confidence Intervals. As such, the confidence intervals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Fisher's r-to-z). As I discuss </w:t>
      </w:r>
      <w:proofErr w:type="gramStart"/>
      <w:r>
        <w:t>later on</w:t>
      </w:r>
      <w:proofErr w:type="gramEnd"/>
      <w:r>
        <w:t xml:space="preserve">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657956D9" w14:textId="77777777" w:rsidR="00F862D8" w:rsidRPr="00F862D8" w:rsidRDefault="00000000" w:rsidP="00F862D8">
      <w:pPr>
        <w:pStyle w:val="Heading3"/>
      </w:pPr>
      <w:r>
        <w:t>Data in the f</w:t>
      </w:r>
      <w:r w:rsidRPr="00F862D8">
        <w:t>unnel plot</w:t>
      </w:r>
      <w:r>
        <w:t xml:space="preserve"> does not match the forest plot</w:t>
      </w:r>
    </w:p>
    <w:p w14:paraId="7B05A68F" w14:textId="77777777" w:rsidR="00F862D8" w:rsidRDefault="00000000" w:rsidP="00F862D8">
      <w:r>
        <w:t xml:space="preserve">Vahey et al. (2015) also reported their weighted average effect size estimates in a funnel plot (see their Figure 2). However, when I created a funnel plot from the results reported in their forest plot, one of the data points did not match their funnel plot. See Figure </w:t>
      </w:r>
      <w:r w:rsidR="00B45F73">
        <w:t>2</w:t>
      </w:r>
      <w:r>
        <w:t xml:space="preserve"> which illustrates this discrepancy. This suggests that the funnel plot and the forest plot were created from slightly different data sets. It is unclear which one represents the ‘correct’ data set (especially in light of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22D3BE8D" w14:textId="77777777" w:rsidR="00F862D8" w:rsidRPr="00F862D8" w:rsidRDefault="00000000" w:rsidP="00F862D8">
      <w:pPr>
        <w:pStyle w:val="Heading3"/>
      </w:pPr>
      <w:r w:rsidRPr="00F862D8">
        <w:t>Implementation of the meta-analysis</w:t>
      </w:r>
    </w:p>
    <w:p w14:paraId="3041F1C7" w14:textId="77777777" w:rsidR="00F862D8" w:rsidRDefault="00000000" w:rsidP="00F862D8">
      <w:r w:rsidRPr="00034410">
        <w:t xml:space="preserve">Vahey et al. (2015) stated that they employed a Hunter &amp; Schmidt style meta-analysis and cited Field &amp; Gillett (2010). </w:t>
      </w:r>
      <w:r>
        <w:t xml:space="preserve">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 and (b) within Vahey et al. (2015) itself, as I will now discuss. </w:t>
      </w:r>
    </w:p>
    <w:p w14:paraId="6CE52EDD" w14:textId="77777777" w:rsidR="00F862D8" w:rsidRDefault="00000000" w:rsidP="00F862D8">
      <w:r>
        <w:t xml:space="preserve">Field &amp; Gillett (2010) describe and provide code for two different ways of conducting meta-analyses: a Hedges style “basic” meta-analysis and a Hunter and Schmidt style psychometric meta-analysis. Despite Vahey et al. (2015) stating that they applied the Hunter and Schmidt approach, multiple features of this approach are missing from their results (e.g., no correction for the reliability of the measures used to generate the correlation), and other features that are unique to the Hedges style meta-analysis were reported (e.g., calculation of Confidence Intervals, e.g., p. 63; apparent use of Fisher’s </w:t>
      </w:r>
      <w:r w:rsidRPr="00217015">
        <w:rPr>
          <w:i/>
          <w:iCs/>
        </w:rPr>
        <w:t>r</w:t>
      </w:r>
      <w:r>
        <w:t>-to-</w:t>
      </w:r>
      <w:r w:rsidRPr="00217015">
        <w:rPr>
          <w:i/>
          <w:iCs/>
        </w:rPr>
        <w:t>z</w:t>
      </w:r>
      <w:r>
        <w:t xml:space="preserve"> transformation, e.g., Figure 2).  </w:t>
      </w:r>
    </w:p>
    <w:p w14:paraId="2F43D0BE" w14:textId="77777777" w:rsidR="00F862D8" w:rsidRDefault="00000000" w:rsidP="00F862D8">
      <w:r>
        <w:t xml:space="preserve">In order to attempt to verify the original results, I downloaded the </w:t>
      </w:r>
      <w:r w:rsidRPr="00034410">
        <w:t xml:space="preserve">accompanying materials for Field &amp; Gillett (2010) </w:t>
      </w:r>
      <w:r>
        <w:t xml:space="preserve">from </w:t>
      </w:r>
      <w:r w:rsidRPr="00034410">
        <w:t xml:space="preserve">Field’s website. This contained two </w:t>
      </w:r>
      <w:r w:rsidRPr="00034410">
        <w:t>different SPSS scripts, “Meta_Basic_r.sps” and “h_s syntax.sps”.</w:t>
      </w:r>
      <w:r w:rsidRPr="009C5108">
        <w:t xml:space="preserve"> </w:t>
      </w:r>
      <w:r>
        <w:t>Confusingly, both scripts contain code to produce Hunter and Schmidt style meta-analyses, with the former also producing a Hedges style ‘basic’ meta-analysis.</w:t>
      </w:r>
    </w:p>
    <w:p w14:paraId="57ABD79F" w14:textId="77777777" w:rsidR="00F862D8" w:rsidRPr="00A035CD" w:rsidRDefault="00000000" w:rsidP="00A035CD">
      <w:r w:rsidRPr="00034410">
        <w:t>The code in these scripts was examined in order to determine whether they (individually or jointly) were capable of calculating the various values that were reported in Vahey et al. (2015). That is, agnostic to the numerical results actually produced by running the scripts</w:t>
      </w:r>
      <w:r w:rsidR="005E19E7">
        <w:t xml:space="preserve"> on the original weighted mean effect sizes</w:t>
      </w:r>
      <w:r w:rsidRPr="00034410">
        <w:t xml:space="preserve">, I first assessed whether these scripts were capable of producing (a) all of the variables that Vahey et al. (2015) reported and (b) producing them in an unambiguous way (i.e., only calculating a given variable via one method). Inspection of these two scripts showed that neither script was </w:t>
      </w:r>
      <w:r w:rsidR="005E19E7">
        <w:t xml:space="preserve">individually </w:t>
      </w:r>
      <w:r w:rsidRPr="00034410">
        <w:t xml:space="preserve">capable of computationally reproducing all four: of the forest plot, the meta-analytic point estimate, the </w:t>
      </w:r>
      <w:r>
        <w:t>Confidence Interval</w:t>
      </w:r>
      <w:r w:rsidRPr="00034410">
        <w:t xml:space="preserve">s, and the </w:t>
      </w:r>
      <w:r>
        <w:t>Credibility Interval</w:t>
      </w:r>
      <w:r w:rsidRPr="00034410">
        <w:t xml:space="preserve">s. </w:t>
      </w:r>
      <w:r w:rsidR="005E19E7">
        <w:t xml:space="preserve">This implies that the results </w:t>
      </w:r>
      <w:r w:rsidR="005E19E7" w:rsidRPr="00A035CD">
        <w:t xml:space="preserve">reported in Vahey et al. (2015) were, at minimum, some combination of the results of the two different scripts. </w:t>
      </w:r>
      <w:r w:rsidR="00A035CD" w:rsidRPr="00A035CD">
        <w:t>O</w:t>
      </w:r>
      <w:r w:rsidRPr="00A035CD">
        <w:t xml:space="preserve">n the one hand, the “Meta_Basic_R.sps” script does not calculate Confidence Intervals for Hunter &amp; Schmidt style meta-analyses. On the other hand, the “h_s syntax.sps” script </w:t>
      </w:r>
      <w:r w:rsidR="005E19E7" w:rsidRPr="00A035CD">
        <w:t xml:space="preserve">does calculate Confidence Intervals </w:t>
      </w:r>
      <w:r w:rsidR="00A035CD" w:rsidRPr="00A035CD">
        <w:t xml:space="preserve">on the meta-analytic effect size, </w:t>
      </w:r>
      <w:r w:rsidR="005E19E7" w:rsidRPr="00A035CD">
        <w:t xml:space="preserve">but it </w:t>
      </w:r>
      <w:r w:rsidR="00A035CD" w:rsidRPr="00A035CD">
        <w:t xml:space="preserve">also </w:t>
      </w:r>
      <w:r w:rsidRPr="00A035CD">
        <w:t xml:space="preserve">requires </w:t>
      </w:r>
      <w:r w:rsidR="00A035CD" w:rsidRPr="00A035CD">
        <w:t xml:space="preserve">the user to provide </w:t>
      </w:r>
      <w:r w:rsidRPr="00A035CD">
        <w:t xml:space="preserve">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A035CD">
        <w:t xml:space="preserve">) in order to correct the </w:t>
      </w:r>
      <w:r w:rsidR="005E19E7" w:rsidRPr="00A035CD">
        <w:t xml:space="preserve">effect sizes </w:t>
      </w:r>
      <w:r w:rsidRPr="00A035CD">
        <w:t xml:space="preserve">for attenuation. Vahey et al. (2015) did not report extracting or using reliability estimates in this way in their article or supplementary materials. </w:t>
      </w:r>
      <w:r w:rsidR="00A035CD" w:rsidRPr="00A035CD">
        <w:t>Finally, the</w:t>
      </w:r>
      <w:r w:rsidRPr="00A035CD">
        <w:t xml:space="preserve"> script does </w:t>
      </w:r>
      <w:r w:rsidR="00A035CD" w:rsidRPr="00A035CD">
        <w:t xml:space="preserve">not </w:t>
      </w:r>
      <w:r w:rsidRPr="00A035CD">
        <w:t xml:space="preserve">compute Confidence Intervals for the individual effect sizes, therefore the forest plot could not be reproduced from this script. </w:t>
      </w:r>
    </w:p>
    <w:p w14:paraId="767BDD5A" w14:textId="77777777" w:rsidR="00F862D8" w:rsidRPr="00034410" w:rsidRDefault="00000000" w:rsidP="00F862D8">
      <w:r w:rsidRPr="00A035CD">
        <w:t>As such, in the absence of additional information, the two scripts provided by Field &amp; Gillett (2010) were therefore not capable of</w:t>
      </w:r>
      <w:r w:rsidRPr="00034410">
        <w:t xml:space="preserve"> fully and unambiguously reproducing the same variables as those reported in Vahey et al. (2015) without further alternation. In light of this, I therefore altered the implementations in multiple ways in order to attempt to reproduce Vahey et al.’s (2015) results. </w:t>
      </w:r>
    </w:p>
    <w:p w14:paraId="7BD41EA4" w14:textId="0644D210" w:rsidR="00F862D8" w:rsidRDefault="00000000" w:rsidP="00F862D8">
      <w:r>
        <w:t xml:space="preserve"> </w:t>
      </w:r>
    </w:p>
    <w:p w14:paraId="247F013E" w14:textId="77777777" w:rsidR="00056983" w:rsidRDefault="00056983" w:rsidP="00EA0AA1">
      <w:pPr>
        <w:ind w:firstLine="0"/>
        <w:rPr>
          <w:iCs/>
        </w:rPr>
        <w:sectPr w:rsidR="00056983" w:rsidSect="008153E3">
          <w:type w:val="continuous"/>
          <w:pgSz w:w="11900" w:h="16840"/>
          <w:pgMar w:top="1440" w:right="1440" w:bottom="1440" w:left="1440" w:header="709" w:footer="709" w:gutter="0"/>
          <w:cols w:num="2" w:space="340"/>
          <w:titlePg/>
          <w:docGrid w:linePitch="360"/>
          <w15:footnoteColumns w:val="1"/>
        </w:sectPr>
      </w:pPr>
    </w:p>
    <w:p w14:paraId="375F5B4D" w14:textId="77777777" w:rsidR="00601B7B" w:rsidRPr="00601B7B" w:rsidRDefault="00000000" w:rsidP="00601B7B">
      <w:pPr>
        <w:ind w:firstLine="0"/>
        <w:jc w:val="left"/>
        <w:rPr>
          <w:rFonts w:eastAsia="MS Mincho"/>
          <w:b/>
          <w:bCs/>
          <w:color w:val="auto"/>
          <w:kern w:val="2"/>
          <w:sz w:val="16"/>
          <w:szCs w:val="16"/>
          <w:lang w:val=""/>
          <w14:ligatures w14:val="standardContextual"/>
        </w:rPr>
      </w:pPr>
      <w:r w:rsidRPr="00601B7B">
        <w:rPr>
          <w:rFonts w:eastAsia="MS Mincho"/>
          <w:b/>
          <w:bCs/>
          <w:color w:val="auto"/>
          <w:kern w:val="2"/>
          <w:sz w:val="16"/>
          <w:szCs w:val="16"/>
          <w:lang w:val=""/>
          <w14:ligatures w14:val="standardContextual"/>
        </w:rPr>
        <w:lastRenderedPageBreak/>
        <w:t>Table 2. Verification attempts for the meta-analysis</w:t>
      </w:r>
    </w:p>
    <w:p w14:paraId="603E6027" w14:textId="77777777" w:rsidR="00601B7B" w:rsidRPr="00601B7B" w:rsidRDefault="00601B7B" w:rsidP="00601B7B">
      <w:pPr>
        <w:ind w:firstLine="0"/>
        <w:jc w:val="left"/>
        <w:rPr>
          <w:rFonts w:eastAsia="MS Mincho"/>
          <w:color w:val="auto"/>
          <w:kern w:val="2"/>
          <w:sz w:val="16"/>
          <w:szCs w:val="16"/>
          <w:lang w:val=""/>
          <w14:ligatures w14:val="standardContextual"/>
        </w:rPr>
      </w:pPr>
    </w:p>
    <w:tbl>
      <w:tblPr>
        <w:tblStyle w:val="TableGrid1"/>
        <w:tblW w:w="0" w:type="auto"/>
        <w:tblLook w:val="04A0" w:firstRow="1" w:lastRow="0" w:firstColumn="1" w:lastColumn="0" w:noHBand="0" w:noVBand="1"/>
      </w:tblPr>
      <w:tblGrid>
        <w:gridCol w:w="1546"/>
        <w:gridCol w:w="3332"/>
        <w:gridCol w:w="3684"/>
        <w:gridCol w:w="501"/>
        <w:gridCol w:w="698"/>
        <w:gridCol w:w="652"/>
        <w:gridCol w:w="720"/>
        <w:gridCol w:w="723"/>
        <w:gridCol w:w="1051"/>
        <w:gridCol w:w="1051"/>
      </w:tblGrid>
      <w:tr w:rsidR="00A01A43" w14:paraId="14C5CCF3" w14:textId="77777777" w:rsidTr="002D69CC">
        <w:trPr>
          <w:trHeight w:val="287"/>
        </w:trPr>
        <w:tc>
          <w:tcPr>
            <w:tcW w:w="1546" w:type="dxa"/>
            <w:tcBorders>
              <w:top w:val="single" w:sz="4" w:space="0" w:color="auto"/>
              <w:left w:val="nil"/>
              <w:bottom w:val="nil"/>
              <w:right w:val="nil"/>
            </w:tcBorders>
            <w:vAlign w:val="center"/>
            <w:hideMark/>
          </w:tcPr>
          <w:p w14:paraId="53FBA770" w14:textId="77777777" w:rsidR="00601B7B" w:rsidRPr="00601B7B" w:rsidRDefault="00601B7B" w:rsidP="00601B7B">
            <w:pPr>
              <w:ind w:firstLine="0"/>
              <w:jc w:val="center"/>
              <w:rPr>
                <w:rFonts w:eastAsia="MS Mincho"/>
                <w:color w:val="auto"/>
                <w:sz w:val="16"/>
                <w:szCs w:val="16"/>
              </w:rPr>
            </w:pPr>
          </w:p>
        </w:tc>
        <w:tc>
          <w:tcPr>
            <w:tcW w:w="3332" w:type="dxa"/>
            <w:tcBorders>
              <w:top w:val="single" w:sz="4" w:space="0" w:color="auto"/>
              <w:left w:val="nil"/>
              <w:bottom w:val="nil"/>
              <w:right w:val="nil"/>
            </w:tcBorders>
            <w:vAlign w:val="center"/>
            <w:hideMark/>
          </w:tcPr>
          <w:p w14:paraId="78534368" w14:textId="77777777" w:rsidR="00601B7B" w:rsidRPr="00601B7B" w:rsidRDefault="00601B7B" w:rsidP="00601B7B">
            <w:pPr>
              <w:ind w:firstLine="0"/>
              <w:jc w:val="center"/>
              <w:rPr>
                <w:rFonts w:eastAsia="MS Mincho"/>
                <w:color w:val="auto"/>
                <w:sz w:val="16"/>
                <w:szCs w:val="16"/>
              </w:rPr>
            </w:pPr>
          </w:p>
        </w:tc>
        <w:tc>
          <w:tcPr>
            <w:tcW w:w="3684" w:type="dxa"/>
            <w:tcBorders>
              <w:top w:val="single" w:sz="4" w:space="0" w:color="auto"/>
              <w:left w:val="nil"/>
              <w:bottom w:val="nil"/>
              <w:right w:val="nil"/>
            </w:tcBorders>
            <w:vAlign w:val="center"/>
            <w:hideMark/>
          </w:tcPr>
          <w:p w14:paraId="2D4DF72D" w14:textId="77777777" w:rsidR="00601B7B" w:rsidRPr="00601B7B" w:rsidRDefault="00601B7B" w:rsidP="00601B7B">
            <w:pPr>
              <w:ind w:firstLine="0"/>
              <w:jc w:val="center"/>
              <w:rPr>
                <w:rFonts w:eastAsia="MS Mincho"/>
                <w:color w:val="auto"/>
                <w:sz w:val="16"/>
                <w:szCs w:val="16"/>
              </w:rPr>
            </w:pPr>
          </w:p>
        </w:tc>
        <w:tc>
          <w:tcPr>
            <w:tcW w:w="501" w:type="dxa"/>
            <w:tcBorders>
              <w:top w:val="single" w:sz="4" w:space="0" w:color="auto"/>
              <w:left w:val="nil"/>
              <w:bottom w:val="nil"/>
              <w:right w:val="nil"/>
            </w:tcBorders>
            <w:noWrap/>
            <w:vAlign w:val="center"/>
            <w:hideMark/>
          </w:tcPr>
          <w:p w14:paraId="23103FB5" w14:textId="77777777" w:rsidR="00601B7B" w:rsidRPr="00601B7B" w:rsidRDefault="00601B7B" w:rsidP="00601B7B">
            <w:pPr>
              <w:ind w:firstLine="0"/>
              <w:jc w:val="center"/>
              <w:rPr>
                <w:rFonts w:eastAsia="MS Mincho"/>
                <w:color w:val="auto"/>
                <w:sz w:val="16"/>
                <w:szCs w:val="16"/>
              </w:rPr>
            </w:pPr>
          </w:p>
        </w:tc>
        <w:tc>
          <w:tcPr>
            <w:tcW w:w="1350" w:type="dxa"/>
            <w:gridSpan w:val="2"/>
            <w:tcBorders>
              <w:top w:val="single" w:sz="4" w:space="0" w:color="auto"/>
              <w:left w:val="nil"/>
              <w:bottom w:val="single" w:sz="4" w:space="0" w:color="auto"/>
              <w:right w:val="nil"/>
            </w:tcBorders>
            <w:noWrap/>
            <w:vAlign w:val="center"/>
            <w:hideMark/>
          </w:tcPr>
          <w:p w14:paraId="4168CBBC"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95% CI</w:t>
            </w:r>
          </w:p>
        </w:tc>
        <w:tc>
          <w:tcPr>
            <w:tcW w:w="1443" w:type="dxa"/>
            <w:gridSpan w:val="2"/>
            <w:tcBorders>
              <w:top w:val="single" w:sz="4" w:space="0" w:color="auto"/>
              <w:left w:val="nil"/>
              <w:bottom w:val="single" w:sz="4" w:space="0" w:color="auto"/>
              <w:right w:val="nil"/>
            </w:tcBorders>
            <w:noWrap/>
            <w:vAlign w:val="center"/>
            <w:hideMark/>
          </w:tcPr>
          <w:p w14:paraId="6C5CC1F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95% CR</w:t>
            </w:r>
          </w:p>
        </w:tc>
        <w:tc>
          <w:tcPr>
            <w:tcW w:w="2102" w:type="dxa"/>
            <w:gridSpan w:val="2"/>
            <w:tcBorders>
              <w:top w:val="single" w:sz="4" w:space="0" w:color="auto"/>
              <w:left w:val="nil"/>
              <w:bottom w:val="single" w:sz="4" w:space="0" w:color="auto"/>
              <w:right w:val="nil"/>
            </w:tcBorders>
            <w:vAlign w:val="center"/>
          </w:tcPr>
          <w:p w14:paraId="3D8AE6D2"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95% PI</w:t>
            </w:r>
          </w:p>
        </w:tc>
      </w:tr>
      <w:tr w:rsidR="00A01A43" w14:paraId="74E48929" w14:textId="77777777" w:rsidTr="002D69CC">
        <w:trPr>
          <w:trHeight w:val="269"/>
        </w:trPr>
        <w:tc>
          <w:tcPr>
            <w:tcW w:w="1546" w:type="dxa"/>
            <w:tcBorders>
              <w:top w:val="nil"/>
              <w:left w:val="nil"/>
              <w:bottom w:val="single" w:sz="4" w:space="0" w:color="auto"/>
              <w:right w:val="nil"/>
            </w:tcBorders>
            <w:vAlign w:val="center"/>
            <w:hideMark/>
          </w:tcPr>
          <w:p w14:paraId="035444C6"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Label</w:t>
            </w:r>
          </w:p>
        </w:tc>
        <w:tc>
          <w:tcPr>
            <w:tcW w:w="3332" w:type="dxa"/>
            <w:tcBorders>
              <w:top w:val="nil"/>
              <w:left w:val="nil"/>
              <w:bottom w:val="single" w:sz="4" w:space="0" w:color="auto"/>
              <w:right w:val="nil"/>
            </w:tcBorders>
            <w:vAlign w:val="center"/>
            <w:hideMark/>
          </w:tcPr>
          <w:p w14:paraId="52DEFFC6"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Implementation</w:t>
            </w:r>
          </w:p>
        </w:tc>
        <w:tc>
          <w:tcPr>
            <w:tcW w:w="3684" w:type="dxa"/>
            <w:tcBorders>
              <w:top w:val="nil"/>
              <w:left w:val="nil"/>
              <w:bottom w:val="single" w:sz="4" w:space="0" w:color="auto"/>
              <w:right w:val="nil"/>
            </w:tcBorders>
            <w:vAlign w:val="center"/>
            <w:hideMark/>
          </w:tcPr>
          <w:p w14:paraId="50073057"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Modifications from the original code</w:t>
            </w:r>
          </w:p>
        </w:tc>
        <w:tc>
          <w:tcPr>
            <w:tcW w:w="501" w:type="dxa"/>
            <w:tcBorders>
              <w:top w:val="nil"/>
              <w:left w:val="nil"/>
              <w:bottom w:val="single" w:sz="4" w:space="0" w:color="auto"/>
              <w:right w:val="nil"/>
            </w:tcBorders>
            <w:noWrap/>
            <w:vAlign w:val="center"/>
            <w:hideMark/>
          </w:tcPr>
          <w:p w14:paraId="3ED6492E" w14:textId="77777777" w:rsidR="00601B7B" w:rsidRPr="00601B7B" w:rsidRDefault="00000000" w:rsidP="00601B7B">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698" w:type="dxa"/>
            <w:tcBorders>
              <w:top w:val="single" w:sz="4" w:space="0" w:color="auto"/>
              <w:left w:val="nil"/>
              <w:bottom w:val="single" w:sz="4" w:space="0" w:color="auto"/>
              <w:right w:val="nil"/>
            </w:tcBorders>
            <w:noWrap/>
            <w:vAlign w:val="center"/>
            <w:hideMark/>
          </w:tcPr>
          <w:p w14:paraId="3DC23FCE"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Lower</w:t>
            </w:r>
          </w:p>
        </w:tc>
        <w:tc>
          <w:tcPr>
            <w:tcW w:w="652" w:type="dxa"/>
            <w:tcBorders>
              <w:top w:val="single" w:sz="4" w:space="0" w:color="auto"/>
              <w:left w:val="nil"/>
              <w:bottom w:val="single" w:sz="4" w:space="0" w:color="auto"/>
              <w:right w:val="nil"/>
            </w:tcBorders>
            <w:noWrap/>
            <w:vAlign w:val="center"/>
            <w:hideMark/>
          </w:tcPr>
          <w:p w14:paraId="6016905C"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Upper</w:t>
            </w:r>
          </w:p>
        </w:tc>
        <w:tc>
          <w:tcPr>
            <w:tcW w:w="720" w:type="dxa"/>
            <w:tcBorders>
              <w:top w:val="single" w:sz="4" w:space="0" w:color="auto"/>
              <w:left w:val="nil"/>
              <w:bottom w:val="single" w:sz="4" w:space="0" w:color="auto"/>
              <w:right w:val="nil"/>
            </w:tcBorders>
            <w:noWrap/>
            <w:vAlign w:val="center"/>
            <w:hideMark/>
          </w:tcPr>
          <w:p w14:paraId="5CAD010C"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Lower</w:t>
            </w:r>
          </w:p>
        </w:tc>
        <w:tc>
          <w:tcPr>
            <w:tcW w:w="723" w:type="dxa"/>
            <w:tcBorders>
              <w:top w:val="single" w:sz="4" w:space="0" w:color="auto"/>
              <w:left w:val="nil"/>
              <w:bottom w:val="single" w:sz="4" w:space="0" w:color="auto"/>
              <w:right w:val="nil"/>
            </w:tcBorders>
            <w:noWrap/>
            <w:vAlign w:val="center"/>
            <w:hideMark/>
          </w:tcPr>
          <w:p w14:paraId="740E0B36"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Upper</w:t>
            </w:r>
          </w:p>
        </w:tc>
        <w:tc>
          <w:tcPr>
            <w:tcW w:w="1051" w:type="dxa"/>
            <w:tcBorders>
              <w:top w:val="single" w:sz="4" w:space="0" w:color="auto"/>
              <w:left w:val="nil"/>
              <w:bottom w:val="single" w:sz="4" w:space="0" w:color="auto"/>
              <w:right w:val="nil"/>
            </w:tcBorders>
            <w:vAlign w:val="center"/>
          </w:tcPr>
          <w:p w14:paraId="59D11F5C"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Lower</w:t>
            </w:r>
          </w:p>
        </w:tc>
        <w:tc>
          <w:tcPr>
            <w:tcW w:w="1051" w:type="dxa"/>
            <w:tcBorders>
              <w:top w:val="single" w:sz="4" w:space="0" w:color="auto"/>
              <w:left w:val="nil"/>
              <w:bottom w:val="single" w:sz="4" w:space="0" w:color="auto"/>
              <w:right w:val="nil"/>
            </w:tcBorders>
            <w:vAlign w:val="center"/>
          </w:tcPr>
          <w:p w14:paraId="46ACF94B"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Upper</w:t>
            </w:r>
          </w:p>
        </w:tc>
      </w:tr>
      <w:tr w:rsidR="00A01A43" w14:paraId="0D40FA3F" w14:textId="77777777" w:rsidTr="00601B7B">
        <w:trPr>
          <w:trHeight w:val="521"/>
        </w:trPr>
        <w:tc>
          <w:tcPr>
            <w:tcW w:w="1546" w:type="dxa"/>
            <w:tcBorders>
              <w:top w:val="single" w:sz="4" w:space="0" w:color="auto"/>
              <w:left w:val="nil"/>
              <w:bottom w:val="nil"/>
              <w:right w:val="nil"/>
            </w:tcBorders>
            <w:vAlign w:val="center"/>
            <w:hideMark/>
          </w:tcPr>
          <w:p w14:paraId="7E6EDEB4"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Vahey et al. (2015)</w:t>
            </w:r>
          </w:p>
        </w:tc>
        <w:tc>
          <w:tcPr>
            <w:tcW w:w="3332" w:type="dxa"/>
            <w:tcBorders>
              <w:top w:val="single" w:sz="4" w:space="0" w:color="auto"/>
              <w:left w:val="nil"/>
              <w:bottom w:val="nil"/>
              <w:right w:val="nil"/>
            </w:tcBorders>
            <w:vAlign w:val="center"/>
            <w:hideMark/>
          </w:tcPr>
          <w:p w14:paraId="7E62A67C"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Vahey stated in personal correspondence that they employed Field &amp; Gillett's code.</w:t>
            </w:r>
          </w:p>
        </w:tc>
        <w:tc>
          <w:tcPr>
            <w:tcW w:w="3684" w:type="dxa"/>
            <w:tcBorders>
              <w:top w:val="single" w:sz="4" w:space="0" w:color="auto"/>
              <w:left w:val="nil"/>
              <w:bottom w:val="nil"/>
              <w:right w:val="nil"/>
            </w:tcBorders>
            <w:vAlign w:val="center"/>
            <w:hideMark/>
          </w:tcPr>
          <w:p w14:paraId="2999D012"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Unknown.</w:t>
            </w:r>
          </w:p>
        </w:tc>
        <w:tc>
          <w:tcPr>
            <w:tcW w:w="501" w:type="dxa"/>
            <w:tcBorders>
              <w:top w:val="single" w:sz="4" w:space="0" w:color="auto"/>
              <w:left w:val="nil"/>
              <w:bottom w:val="nil"/>
              <w:right w:val="nil"/>
            </w:tcBorders>
            <w:shd w:val="clear" w:color="auto" w:fill="D9D9D9"/>
            <w:noWrap/>
            <w:vAlign w:val="center"/>
            <w:hideMark/>
          </w:tcPr>
          <w:p w14:paraId="0CD0011C"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.45</w:t>
            </w:r>
          </w:p>
        </w:tc>
        <w:tc>
          <w:tcPr>
            <w:tcW w:w="698" w:type="dxa"/>
            <w:tcBorders>
              <w:top w:val="single" w:sz="4" w:space="0" w:color="auto"/>
              <w:left w:val="nil"/>
              <w:bottom w:val="nil"/>
              <w:right w:val="nil"/>
            </w:tcBorders>
            <w:shd w:val="clear" w:color="auto" w:fill="D9D9D9"/>
            <w:noWrap/>
            <w:vAlign w:val="center"/>
            <w:hideMark/>
          </w:tcPr>
          <w:p w14:paraId="22C735F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single" w:sz="4" w:space="0" w:color="auto"/>
              <w:left w:val="nil"/>
              <w:bottom w:val="nil"/>
              <w:right w:val="nil"/>
            </w:tcBorders>
            <w:shd w:val="clear" w:color="auto" w:fill="D9D9D9"/>
            <w:noWrap/>
            <w:vAlign w:val="center"/>
            <w:hideMark/>
          </w:tcPr>
          <w:p w14:paraId="4F6EE1D5"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single" w:sz="4" w:space="0" w:color="auto"/>
              <w:left w:val="nil"/>
              <w:bottom w:val="nil"/>
              <w:right w:val="nil"/>
            </w:tcBorders>
            <w:shd w:val="clear" w:color="auto" w:fill="D9D9D9"/>
            <w:noWrap/>
            <w:vAlign w:val="center"/>
            <w:hideMark/>
          </w:tcPr>
          <w:p w14:paraId="6BDA87A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.23</w:t>
            </w:r>
          </w:p>
        </w:tc>
        <w:tc>
          <w:tcPr>
            <w:tcW w:w="723" w:type="dxa"/>
            <w:tcBorders>
              <w:top w:val="single" w:sz="4" w:space="0" w:color="auto"/>
              <w:left w:val="nil"/>
              <w:bottom w:val="nil"/>
              <w:right w:val="nil"/>
            </w:tcBorders>
            <w:shd w:val="clear" w:color="auto" w:fill="D9D9D9"/>
            <w:noWrap/>
            <w:vAlign w:val="center"/>
            <w:hideMark/>
          </w:tcPr>
          <w:p w14:paraId="39944693"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.67</w:t>
            </w:r>
          </w:p>
        </w:tc>
        <w:tc>
          <w:tcPr>
            <w:tcW w:w="1051" w:type="dxa"/>
            <w:tcBorders>
              <w:top w:val="single" w:sz="4" w:space="0" w:color="auto"/>
              <w:left w:val="nil"/>
              <w:bottom w:val="nil"/>
              <w:right w:val="nil"/>
            </w:tcBorders>
            <w:shd w:val="clear" w:color="auto" w:fill="D9D9D9"/>
            <w:vAlign w:val="center"/>
          </w:tcPr>
          <w:p w14:paraId="086454F1"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single" w:sz="4" w:space="0" w:color="auto"/>
              <w:left w:val="nil"/>
              <w:bottom w:val="nil"/>
              <w:right w:val="nil"/>
            </w:tcBorders>
            <w:shd w:val="clear" w:color="auto" w:fill="D9D9D9"/>
            <w:vAlign w:val="center"/>
          </w:tcPr>
          <w:p w14:paraId="0C1B455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r>
      <w:tr w:rsidR="00A01A43" w14:paraId="04E7D85E" w14:textId="77777777" w:rsidTr="002D69CC">
        <w:trPr>
          <w:trHeight w:val="540"/>
        </w:trPr>
        <w:tc>
          <w:tcPr>
            <w:tcW w:w="1546" w:type="dxa"/>
            <w:tcBorders>
              <w:top w:val="nil"/>
              <w:left w:val="nil"/>
              <w:bottom w:val="nil"/>
              <w:right w:val="nil"/>
            </w:tcBorders>
            <w:vAlign w:val="center"/>
            <w:hideMark/>
          </w:tcPr>
          <w:p w14:paraId="10CD0739"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Verification attempt 1</w:t>
            </w:r>
          </w:p>
        </w:tc>
        <w:tc>
          <w:tcPr>
            <w:tcW w:w="3332" w:type="dxa"/>
            <w:tcBorders>
              <w:top w:val="nil"/>
              <w:left w:val="nil"/>
              <w:bottom w:val="nil"/>
              <w:right w:val="nil"/>
            </w:tcBorders>
            <w:vAlign w:val="center"/>
            <w:hideMark/>
          </w:tcPr>
          <w:p w14:paraId="249AE25C"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"h_s_syntax.sps"</w:t>
            </w:r>
          </w:p>
        </w:tc>
        <w:tc>
          <w:tcPr>
            <w:tcW w:w="3684" w:type="dxa"/>
            <w:tcBorders>
              <w:top w:val="nil"/>
              <w:left w:val="nil"/>
              <w:bottom w:val="nil"/>
              <w:right w:val="nil"/>
            </w:tcBorders>
            <w:vAlign w:val="center"/>
            <w:hideMark/>
          </w:tcPr>
          <w:p w14:paraId="64EAB64A"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All reliabilities were set to 0.</w:t>
            </w:r>
          </w:p>
        </w:tc>
        <w:tc>
          <w:tcPr>
            <w:tcW w:w="501" w:type="dxa"/>
            <w:tcBorders>
              <w:top w:val="nil"/>
              <w:left w:val="nil"/>
              <w:bottom w:val="nil"/>
              <w:right w:val="nil"/>
            </w:tcBorders>
            <w:noWrap/>
            <w:vAlign w:val="center"/>
            <w:hideMark/>
          </w:tcPr>
          <w:p w14:paraId="1B60310B"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noWrap/>
            <w:vAlign w:val="center"/>
            <w:hideMark/>
          </w:tcPr>
          <w:p w14:paraId="544625A6"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.20</w:t>
            </w:r>
          </w:p>
        </w:tc>
        <w:tc>
          <w:tcPr>
            <w:tcW w:w="652" w:type="dxa"/>
            <w:tcBorders>
              <w:top w:val="nil"/>
              <w:left w:val="nil"/>
              <w:bottom w:val="nil"/>
              <w:right w:val="nil"/>
            </w:tcBorders>
            <w:noWrap/>
            <w:vAlign w:val="center"/>
            <w:hideMark/>
          </w:tcPr>
          <w:p w14:paraId="221F230E"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.74</w:t>
            </w:r>
          </w:p>
        </w:tc>
        <w:tc>
          <w:tcPr>
            <w:tcW w:w="720" w:type="dxa"/>
            <w:tcBorders>
              <w:top w:val="nil"/>
              <w:left w:val="nil"/>
              <w:bottom w:val="nil"/>
              <w:right w:val="nil"/>
            </w:tcBorders>
            <w:noWrap/>
            <w:vAlign w:val="center"/>
            <w:hideMark/>
          </w:tcPr>
          <w:p w14:paraId="1F908A15"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070E11B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41CB256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29678F0E"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r>
      <w:tr w:rsidR="00A01A43" w14:paraId="10D3172F" w14:textId="77777777" w:rsidTr="00601B7B">
        <w:trPr>
          <w:trHeight w:val="549"/>
        </w:trPr>
        <w:tc>
          <w:tcPr>
            <w:tcW w:w="1546" w:type="dxa"/>
            <w:tcBorders>
              <w:top w:val="nil"/>
              <w:left w:val="nil"/>
              <w:bottom w:val="nil"/>
              <w:right w:val="nil"/>
            </w:tcBorders>
            <w:vAlign w:val="center"/>
            <w:hideMark/>
          </w:tcPr>
          <w:p w14:paraId="4D643E2D"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Verification attempt 2</w:t>
            </w:r>
          </w:p>
        </w:tc>
        <w:tc>
          <w:tcPr>
            <w:tcW w:w="3332" w:type="dxa"/>
            <w:tcBorders>
              <w:top w:val="nil"/>
              <w:left w:val="nil"/>
              <w:bottom w:val="nil"/>
              <w:right w:val="nil"/>
            </w:tcBorders>
            <w:vAlign w:val="center"/>
            <w:hideMark/>
          </w:tcPr>
          <w:p w14:paraId="19B22EC0"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Hunter &amp; Schmidt method using Field &amp; Gillett’s (2010) “Meta_Basic_r.sps”</w:t>
            </w:r>
          </w:p>
        </w:tc>
        <w:tc>
          <w:tcPr>
            <w:tcW w:w="3684" w:type="dxa"/>
            <w:tcBorders>
              <w:top w:val="nil"/>
              <w:left w:val="nil"/>
              <w:bottom w:val="nil"/>
              <w:right w:val="nil"/>
            </w:tcBorders>
            <w:vAlign w:val="center"/>
            <w:hideMark/>
          </w:tcPr>
          <w:p w14:paraId="63B82C87"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Set variance in population correlations to zero if it is negative, as in "h_s_syntax.sps"</w:t>
            </w:r>
          </w:p>
        </w:tc>
        <w:tc>
          <w:tcPr>
            <w:tcW w:w="501" w:type="dxa"/>
            <w:tcBorders>
              <w:top w:val="nil"/>
              <w:left w:val="nil"/>
              <w:bottom w:val="nil"/>
              <w:right w:val="nil"/>
            </w:tcBorders>
            <w:shd w:val="clear" w:color="auto" w:fill="D9D9D9"/>
            <w:noWrap/>
            <w:vAlign w:val="center"/>
            <w:hideMark/>
          </w:tcPr>
          <w:p w14:paraId="2B911A66"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.46</w:t>
            </w:r>
          </w:p>
        </w:tc>
        <w:tc>
          <w:tcPr>
            <w:tcW w:w="698" w:type="dxa"/>
            <w:tcBorders>
              <w:top w:val="nil"/>
              <w:left w:val="nil"/>
              <w:bottom w:val="nil"/>
              <w:right w:val="nil"/>
            </w:tcBorders>
            <w:noWrap/>
            <w:vAlign w:val="center"/>
            <w:hideMark/>
          </w:tcPr>
          <w:p w14:paraId="78AE8F59"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c>
          <w:tcPr>
            <w:tcW w:w="652" w:type="dxa"/>
            <w:tcBorders>
              <w:top w:val="nil"/>
              <w:left w:val="nil"/>
              <w:bottom w:val="nil"/>
              <w:right w:val="nil"/>
            </w:tcBorders>
            <w:noWrap/>
            <w:vAlign w:val="center"/>
            <w:hideMark/>
          </w:tcPr>
          <w:p w14:paraId="5BBE306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c>
          <w:tcPr>
            <w:tcW w:w="720" w:type="dxa"/>
            <w:tcBorders>
              <w:top w:val="nil"/>
              <w:left w:val="nil"/>
              <w:bottom w:val="nil"/>
              <w:right w:val="nil"/>
            </w:tcBorders>
            <w:noWrap/>
            <w:vAlign w:val="center"/>
            <w:hideMark/>
          </w:tcPr>
          <w:p w14:paraId="2A54E9C4"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.46</w:t>
            </w:r>
          </w:p>
        </w:tc>
        <w:tc>
          <w:tcPr>
            <w:tcW w:w="723" w:type="dxa"/>
            <w:tcBorders>
              <w:top w:val="nil"/>
              <w:left w:val="nil"/>
              <w:bottom w:val="nil"/>
              <w:right w:val="nil"/>
            </w:tcBorders>
            <w:noWrap/>
            <w:vAlign w:val="center"/>
            <w:hideMark/>
          </w:tcPr>
          <w:p w14:paraId="1698DD12"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.46</w:t>
            </w:r>
          </w:p>
        </w:tc>
        <w:tc>
          <w:tcPr>
            <w:tcW w:w="1051" w:type="dxa"/>
            <w:tcBorders>
              <w:top w:val="nil"/>
              <w:left w:val="nil"/>
              <w:bottom w:val="nil"/>
              <w:right w:val="nil"/>
            </w:tcBorders>
            <w:vAlign w:val="center"/>
          </w:tcPr>
          <w:p w14:paraId="0165BF5A"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c>
          <w:tcPr>
            <w:tcW w:w="1051" w:type="dxa"/>
            <w:tcBorders>
              <w:top w:val="nil"/>
              <w:left w:val="nil"/>
              <w:bottom w:val="nil"/>
              <w:right w:val="nil"/>
            </w:tcBorders>
            <w:vAlign w:val="center"/>
          </w:tcPr>
          <w:p w14:paraId="376AA1E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w:t>
            </w:r>
          </w:p>
        </w:tc>
      </w:tr>
      <w:tr w:rsidR="00A01A43" w14:paraId="5BF8D959" w14:textId="77777777" w:rsidTr="00601B7B">
        <w:trPr>
          <w:trHeight w:val="801"/>
        </w:trPr>
        <w:tc>
          <w:tcPr>
            <w:tcW w:w="1546" w:type="dxa"/>
            <w:tcBorders>
              <w:top w:val="nil"/>
              <w:left w:val="nil"/>
              <w:bottom w:val="nil"/>
              <w:right w:val="nil"/>
            </w:tcBorders>
            <w:vAlign w:val="center"/>
            <w:hideMark/>
          </w:tcPr>
          <w:p w14:paraId="0D2D1E59"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Verification attempt 3</w:t>
            </w:r>
          </w:p>
        </w:tc>
        <w:tc>
          <w:tcPr>
            <w:tcW w:w="3332" w:type="dxa"/>
            <w:tcBorders>
              <w:top w:val="nil"/>
              <w:left w:val="nil"/>
              <w:bottom w:val="nil"/>
              <w:right w:val="nil"/>
            </w:tcBorders>
            <w:vAlign w:val="center"/>
            <w:hideMark/>
          </w:tcPr>
          <w:p w14:paraId="16F1FF9F"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Hunter &amp; Schmidt method using Viechtbauer’s (2022) implementation in R and metafor.</w:t>
            </w:r>
          </w:p>
        </w:tc>
        <w:tc>
          <w:tcPr>
            <w:tcW w:w="3684" w:type="dxa"/>
            <w:tcBorders>
              <w:top w:val="nil"/>
              <w:left w:val="nil"/>
              <w:bottom w:val="nil"/>
              <w:right w:val="nil"/>
            </w:tcBorders>
            <w:vAlign w:val="center"/>
            <w:hideMark/>
          </w:tcPr>
          <w:p w14:paraId="5CE82E95"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Credibility intervals were implemented using Field &amp; Gillett's (2010) equations 2 to 5.</w:t>
            </w:r>
          </w:p>
        </w:tc>
        <w:tc>
          <w:tcPr>
            <w:tcW w:w="501" w:type="dxa"/>
            <w:tcBorders>
              <w:top w:val="nil"/>
              <w:left w:val="nil"/>
              <w:bottom w:val="nil"/>
              <w:right w:val="nil"/>
            </w:tcBorders>
            <w:noWrap/>
            <w:vAlign w:val="center"/>
            <w:hideMark/>
          </w:tcPr>
          <w:p w14:paraId="524FF055"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nil"/>
              <w:right w:val="nil"/>
            </w:tcBorders>
            <w:shd w:val="clear" w:color="auto" w:fill="D9D9D9"/>
            <w:noWrap/>
            <w:vAlign w:val="center"/>
            <w:hideMark/>
          </w:tcPr>
          <w:p w14:paraId="5FC3BD6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nil"/>
              <w:right w:val="nil"/>
            </w:tcBorders>
            <w:shd w:val="clear" w:color="auto" w:fill="D9D9D9"/>
            <w:noWrap/>
            <w:vAlign w:val="center"/>
            <w:hideMark/>
          </w:tcPr>
          <w:p w14:paraId="7346E28D"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nil"/>
              <w:right w:val="nil"/>
            </w:tcBorders>
            <w:noWrap/>
            <w:vAlign w:val="center"/>
            <w:hideMark/>
          </w:tcPr>
          <w:p w14:paraId="016E20E8"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nil"/>
              <w:right w:val="nil"/>
            </w:tcBorders>
            <w:noWrap/>
            <w:vAlign w:val="center"/>
            <w:hideMark/>
          </w:tcPr>
          <w:p w14:paraId="78F1041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nil"/>
              <w:right w:val="nil"/>
            </w:tcBorders>
            <w:vAlign w:val="center"/>
          </w:tcPr>
          <w:p w14:paraId="51382108"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nil"/>
              <w:right w:val="nil"/>
            </w:tcBorders>
            <w:vAlign w:val="center"/>
          </w:tcPr>
          <w:p w14:paraId="71581A60"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.54</w:t>
            </w:r>
          </w:p>
        </w:tc>
      </w:tr>
      <w:tr w:rsidR="00A01A43" w14:paraId="022E3654" w14:textId="77777777" w:rsidTr="00601B7B">
        <w:trPr>
          <w:trHeight w:val="729"/>
        </w:trPr>
        <w:tc>
          <w:tcPr>
            <w:tcW w:w="1546" w:type="dxa"/>
            <w:tcBorders>
              <w:top w:val="nil"/>
              <w:left w:val="nil"/>
              <w:bottom w:val="single" w:sz="4" w:space="0" w:color="auto"/>
              <w:right w:val="nil"/>
            </w:tcBorders>
            <w:vAlign w:val="center"/>
            <w:hideMark/>
          </w:tcPr>
          <w:p w14:paraId="74B70A90"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Verification attempt 4</w:t>
            </w:r>
          </w:p>
        </w:tc>
        <w:tc>
          <w:tcPr>
            <w:tcW w:w="3332" w:type="dxa"/>
            <w:tcBorders>
              <w:top w:val="nil"/>
              <w:left w:val="nil"/>
              <w:bottom w:val="single" w:sz="4" w:space="0" w:color="auto"/>
              <w:right w:val="nil"/>
            </w:tcBorders>
            <w:vAlign w:val="center"/>
            <w:hideMark/>
          </w:tcPr>
          <w:p w14:paraId="2D1D3159"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A mix of Hunter &amp; Schmidt and Hedges methods using Viechtbauer's (2022) implementation in R and metafor.</w:t>
            </w:r>
          </w:p>
        </w:tc>
        <w:tc>
          <w:tcPr>
            <w:tcW w:w="3684" w:type="dxa"/>
            <w:tcBorders>
              <w:top w:val="nil"/>
              <w:left w:val="nil"/>
              <w:bottom w:val="single" w:sz="4" w:space="0" w:color="auto"/>
              <w:right w:val="nil"/>
            </w:tcBorders>
            <w:vAlign w:val="center"/>
            <w:hideMark/>
          </w:tcPr>
          <w:p w14:paraId="53FAE08C" w14:textId="77777777" w:rsidR="00601B7B" w:rsidRPr="00601B7B" w:rsidRDefault="00000000" w:rsidP="00601B7B">
            <w:pPr>
              <w:ind w:firstLine="0"/>
              <w:jc w:val="left"/>
              <w:rPr>
                <w:rFonts w:eastAsia="MS Mincho"/>
                <w:color w:val="auto"/>
                <w:sz w:val="16"/>
                <w:szCs w:val="16"/>
              </w:rPr>
            </w:pPr>
            <w:r w:rsidRPr="00601B7B">
              <w:rPr>
                <w:rFonts w:eastAsia="MS Mincho"/>
                <w:color w:val="auto"/>
                <w:sz w:val="16"/>
                <w:szCs w:val="16"/>
              </w:rPr>
              <w:t xml:space="preserve">Credibility intervals were implemented using Field &amp; Gillett's (2010) equations 2 to 5. Fisher's </w:t>
            </w:r>
            <w:r w:rsidRPr="00601B7B">
              <w:rPr>
                <w:rFonts w:eastAsia="MS Mincho"/>
                <w:i/>
                <w:iCs/>
                <w:color w:val="auto"/>
                <w:sz w:val="16"/>
                <w:szCs w:val="16"/>
              </w:rPr>
              <w:t>r</w:t>
            </w:r>
            <w:r w:rsidRPr="00601B7B">
              <w:rPr>
                <w:rFonts w:eastAsia="MS Mincho"/>
                <w:color w:val="auto"/>
                <w:sz w:val="16"/>
                <w:szCs w:val="16"/>
              </w:rPr>
              <w:t>-to-</w:t>
            </w:r>
            <w:r w:rsidRPr="00601B7B">
              <w:rPr>
                <w:rFonts w:eastAsia="MS Mincho"/>
                <w:i/>
                <w:iCs/>
                <w:color w:val="auto"/>
                <w:sz w:val="16"/>
                <w:szCs w:val="16"/>
              </w:rPr>
              <w:t>z</w:t>
            </w:r>
            <w:r w:rsidRPr="00601B7B">
              <w:rPr>
                <w:rFonts w:eastAsia="MS Mincho"/>
                <w:color w:val="auto"/>
                <w:sz w:val="16"/>
                <w:szCs w:val="16"/>
              </w:rPr>
              <w:t xml:space="preserve"> transformations and </w:t>
            </w:r>
            <w:r w:rsidRPr="00601B7B">
              <w:rPr>
                <w:rFonts w:eastAsia="MS Mincho"/>
                <w:i/>
                <w:iCs/>
                <w:color w:val="auto"/>
                <w:sz w:val="16"/>
                <w:szCs w:val="16"/>
              </w:rPr>
              <w:t>z</w:t>
            </w:r>
            <w:r w:rsidRPr="00601B7B">
              <w:rPr>
                <w:rFonts w:eastAsia="MS Mincho"/>
                <w:color w:val="auto"/>
                <w:sz w:val="16"/>
                <w:szCs w:val="16"/>
              </w:rPr>
              <w:t>-to-</w:t>
            </w:r>
            <w:r w:rsidRPr="00601B7B">
              <w:rPr>
                <w:rFonts w:eastAsia="MS Mincho"/>
                <w:i/>
                <w:iCs/>
                <w:color w:val="auto"/>
                <w:sz w:val="16"/>
                <w:szCs w:val="16"/>
              </w:rPr>
              <w:t>r</w:t>
            </w:r>
            <w:r w:rsidRPr="00601B7B">
              <w:rPr>
                <w:rFonts w:eastAsia="MS Mincho"/>
                <w:color w:val="auto"/>
                <w:sz w:val="16"/>
                <w:szCs w:val="16"/>
              </w:rPr>
              <w:t xml:space="preserve"> back transformations.</w:t>
            </w:r>
          </w:p>
        </w:tc>
        <w:tc>
          <w:tcPr>
            <w:tcW w:w="501" w:type="dxa"/>
            <w:tcBorders>
              <w:top w:val="nil"/>
              <w:left w:val="nil"/>
              <w:bottom w:val="single" w:sz="4" w:space="0" w:color="auto"/>
              <w:right w:val="nil"/>
            </w:tcBorders>
            <w:noWrap/>
            <w:vAlign w:val="center"/>
            <w:hideMark/>
          </w:tcPr>
          <w:p w14:paraId="5A85440F"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698" w:type="dxa"/>
            <w:tcBorders>
              <w:top w:val="nil"/>
              <w:left w:val="nil"/>
              <w:bottom w:val="single" w:sz="4" w:space="0" w:color="auto"/>
              <w:right w:val="nil"/>
            </w:tcBorders>
            <w:shd w:val="clear" w:color="auto" w:fill="D9D9D9"/>
            <w:noWrap/>
            <w:vAlign w:val="center"/>
            <w:hideMark/>
          </w:tcPr>
          <w:p w14:paraId="4590CE30"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.40</w:t>
            </w:r>
          </w:p>
        </w:tc>
        <w:tc>
          <w:tcPr>
            <w:tcW w:w="652" w:type="dxa"/>
            <w:tcBorders>
              <w:top w:val="nil"/>
              <w:left w:val="nil"/>
              <w:bottom w:val="single" w:sz="4" w:space="0" w:color="auto"/>
              <w:right w:val="nil"/>
            </w:tcBorders>
            <w:shd w:val="clear" w:color="auto" w:fill="D9D9D9"/>
            <w:noWrap/>
            <w:vAlign w:val="center"/>
            <w:hideMark/>
          </w:tcPr>
          <w:p w14:paraId="5F42E000"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.54</w:t>
            </w:r>
          </w:p>
        </w:tc>
        <w:tc>
          <w:tcPr>
            <w:tcW w:w="720" w:type="dxa"/>
            <w:tcBorders>
              <w:top w:val="nil"/>
              <w:left w:val="nil"/>
              <w:bottom w:val="single" w:sz="4" w:space="0" w:color="auto"/>
              <w:right w:val="nil"/>
            </w:tcBorders>
            <w:noWrap/>
            <w:vAlign w:val="center"/>
            <w:hideMark/>
          </w:tcPr>
          <w:p w14:paraId="239854AA"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723" w:type="dxa"/>
            <w:tcBorders>
              <w:top w:val="nil"/>
              <w:left w:val="nil"/>
              <w:bottom w:val="single" w:sz="4" w:space="0" w:color="auto"/>
              <w:right w:val="nil"/>
            </w:tcBorders>
            <w:noWrap/>
            <w:vAlign w:val="center"/>
            <w:hideMark/>
          </w:tcPr>
          <w:p w14:paraId="25F4D07B"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.47</w:t>
            </w:r>
          </w:p>
        </w:tc>
        <w:tc>
          <w:tcPr>
            <w:tcW w:w="1051" w:type="dxa"/>
            <w:tcBorders>
              <w:top w:val="nil"/>
              <w:left w:val="nil"/>
              <w:bottom w:val="single" w:sz="4" w:space="0" w:color="auto"/>
              <w:right w:val="nil"/>
            </w:tcBorders>
            <w:vAlign w:val="center"/>
          </w:tcPr>
          <w:p w14:paraId="3BEEC68A"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.40</w:t>
            </w:r>
          </w:p>
        </w:tc>
        <w:tc>
          <w:tcPr>
            <w:tcW w:w="1051" w:type="dxa"/>
            <w:tcBorders>
              <w:top w:val="nil"/>
              <w:left w:val="nil"/>
              <w:bottom w:val="single" w:sz="4" w:space="0" w:color="auto"/>
              <w:right w:val="nil"/>
            </w:tcBorders>
            <w:vAlign w:val="center"/>
          </w:tcPr>
          <w:p w14:paraId="52437D64" w14:textId="77777777" w:rsidR="00601B7B" w:rsidRPr="00601B7B" w:rsidRDefault="00000000" w:rsidP="00601B7B">
            <w:pPr>
              <w:ind w:firstLine="0"/>
              <w:jc w:val="center"/>
              <w:rPr>
                <w:rFonts w:eastAsia="MS Mincho"/>
                <w:color w:val="auto"/>
                <w:sz w:val="16"/>
                <w:szCs w:val="16"/>
              </w:rPr>
            </w:pPr>
            <w:r w:rsidRPr="00601B7B">
              <w:rPr>
                <w:rFonts w:eastAsia="MS Mincho"/>
                <w:color w:val="auto"/>
                <w:sz w:val="16"/>
                <w:szCs w:val="16"/>
              </w:rPr>
              <w:t>.54</w:t>
            </w:r>
          </w:p>
        </w:tc>
      </w:tr>
      <w:tr w:rsidR="00A01A43" w14:paraId="5467158A" w14:textId="77777777" w:rsidTr="002D69CC">
        <w:trPr>
          <w:trHeight w:val="701"/>
        </w:trPr>
        <w:tc>
          <w:tcPr>
            <w:tcW w:w="13958" w:type="dxa"/>
            <w:gridSpan w:val="10"/>
            <w:tcBorders>
              <w:top w:val="single" w:sz="4" w:space="0" w:color="auto"/>
              <w:left w:val="nil"/>
              <w:bottom w:val="nil"/>
              <w:right w:val="nil"/>
            </w:tcBorders>
            <w:vAlign w:val="center"/>
          </w:tcPr>
          <w:p w14:paraId="41E6F58E" w14:textId="77777777" w:rsidR="00601B7B" w:rsidRPr="00601B7B" w:rsidRDefault="00000000" w:rsidP="00601B7B">
            <w:pPr>
              <w:ind w:firstLine="0"/>
              <w:jc w:val="left"/>
              <w:rPr>
                <w:rFonts w:eastAsia="MS Mincho"/>
                <w:i/>
                <w:iCs/>
                <w:color w:val="auto"/>
                <w:sz w:val="16"/>
                <w:szCs w:val="16"/>
              </w:rPr>
            </w:pPr>
            <w:r w:rsidRPr="00601B7B">
              <w:rPr>
                <w:rFonts w:eastAsia="MS Mincho"/>
                <w:i/>
                <w:iCs/>
                <w:color w:val="auto"/>
                <w:sz w:val="16"/>
                <w:szCs w:val="16"/>
              </w:rPr>
              <w:t>Notes:</w:t>
            </w:r>
            <w:r w:rsidRPr="00601B7B">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±.01. </w:t>
            </w:r>
          </w:p>
        </w:tc>
      </w:tr>
    </w:tbl>
    <w:p w14:paraId="11B22E85" w14:textId="77777777" w:rsidR="00601B7B" w:rsidRPr="00601B7B" w:rsidRDefault="00601B7B" w:rsidP="00601B7B">
      <w:pPr>
        <w:ind w:firstLine="0"/>
        <w:jc w:val="left"/>
        <w:rPr>
          <w:rFonts w:eastAsia="MS Mincho"/>
          <w:color w:val="auto"/>
          <w:kern w:val="2"/>
          <w:sz w:val="16"/>
          <w:szCs w:val="16"/>
          <w:lang w:val=""/>
          <w14:ligatures w14:val="standardContextual"/>
        </w:rPr>
      </w:pPr>
    </w:p>
    <w:p w14:paraId="7BAF608E" w14:textId="77777777" w:rsidR="00056983" w:rsidRDefault="00056983" w:rsidP="00056983">
      <w:pPr>
        <w:ind w:firstLine="0"/>
        <w:rPr>
          <w:iCs/>
        </w:rPr>
        <w:sectPr w:rsidR="00056983" w:rsidSect="00601B7B">
          <w:pgSz w:w="16840" w:h="11900" w:orient="landscape"/>
          <w:pgMar w:top="1440" w:right="1440" w:bottom="1440" w:left="1440" w:header="709" w:footer="709" w:gutter="0"/>
          <w:cols w:space="340"/>
          <w:titlePg/>
          <w:docGrid w:linePitch="360"/>
          <w15:footnoteColumns w:val="1"/>
        </w:sectPr>
      </w:pPr>
    </w:p>
    <w:p w14:paraId="1218294A" w14:textId="77777777" w:rsidR="00601B7B" w:rsidRDefault="00601B7B" w:rsidP="00006A5B">
      <w:pPr>
        <w:sectPr w:rsidR="00601B7B" w:rsidSect="00056983">
          <w:pgSz w:w="11900" w:h="16840"/>
          <w:pgMar w:top="1440" w:right="1440" w:bottom="1440" w:left="1440" w:header="709" w:footer="709" w:gutter="0"/>
          <w:cols w:num="2" w:space="340"/>
          <w:titlePg/>
          <w:docGrid w:linePitch="360"/>
          <w15:footnoteColumns w:val="1"/>
        </w:sectPr>
      </w:pPr>
    </w:p>
    <w:p w14:paraId="193B562E" w14:textId="2D40B2F2" w:rsidR="00C43FB1" w:rsidRPr="00034410" w:rsidRDefault="00C43FB1" w:rsidP="00C43FB1">
      <w:pPr>
        <w:pStyle w:val="Heading3"/>
      </w:pPr>
      <w:r w:rsidRPr="00034410">
        <w:t>Definition</w:t>
      </w:r>
      <w:r>
        <w:t>s</w:t>
      </w:r>
      <w:r w:rsidRPr="00034410">
        <w:t xml:space="preserve"> of </w:t>
      </w:r>
      <w:r>
        <w:t>different</w:t>
      </w:r>
      <w:r w:rsidR="00973260">
        <w:t xml:space="preserve"> types of</w:t>
      </w:r>
      <w:r w:rsidRPr="00034410">
        <w:t xml:space="preserve"> intervals</w:t>
      </w:r>
    </w:p>
    <w:p w14:paraId="1465D631" w14:textId="77777777" w:rsidR="00C43FB1" w:rsidRDefault="00C43FB1" w:rsidP="00C43FB1">
      <w:r w:rsidRPr="00034410">
        <w:t xml:space="preserve">Vahey et al. (2015) report </w:t>
      </w:r>
      <w:r>
        <w:t xml:space="preserve">both Confidence Intervals (CI) and Credibility Intervals (CR which </w:t>
      </w:r>
      <w:r w:rsidRPr="00034410">
        <w:t xml:space="preserve">attempt to estimate the generalizability of the meta-effect size </w:t>
      </w:r>
      <w:r>
        <w:fldChar w:fldCharType="begin"/>
      </w:r>
      <w:r>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t xml:space="preserve">. </w:t>
      </w:r>
    </w:p>
    <w:p w14:paraId="1979D0F6" w14:textId="21D6C11D" w:rsidR="00486207" w:rsidRDefault="00C43FB1" w:rsidP="00C43FB1">
      <w:r w:rsidRPr="00034410">
        <w:t>Vahey et al. (2015) state that such “</w:t>
      </w:r>
      <w:r>
        <w:t>Credibility Interval</w:t>
      </w:r>
      <w:r w:rsidRPr="00034410">
        <w:t xml:space="preserve">s are generally wider and thus more conservative than corresponding </w:t>
      </w:r>
      <w:r>
        <w:t>Confidence Interval</w:t>
      </w:r>
      <w:r w:rsidRPr="00034410">
        <w:t>s” (p.61)</w:t>
      </w:r>
      <w:r>
        <w:t xml:space="preserve">, however, this is not the case: Confidence Intervals and Credibility Intervals have different </w:t>
      </w:r>
      <w:proofErr w:type="spellStart"/>
      <w:r>
        <w:t>estimands</w:t>
      </w:r>
      <w:proofErr w:type="spellEnd"/>
      <w:r>
        <w:t xml:space="preserve">, and therefore the two have no correlation. Confidence Intervals quantify the precision of the estimate given sampling error (i.e., </w:t>
      </w:r>
      <w:r w:rsidRPr="00C41F31">
        <w:t xml:space="preserve">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41F31">
        <w:t xml:space="preserve">), whereas </w:t>
      </w:r>
      <w:r>
        <w:t>Credibility Intervals</w:t>
      </w:r>
      <w:r w:rsidRPr="00C41F31">
        <w:t xml:space="preserve">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41F31">
        <w:t>: see Field &amp; Gillett, 2010, equations 2, 3, 4, and 5). A third type of interval, Prediction Intervals (PI), take both into account and</w:t>
      </w:r>
      <w:r>
        <w:t xml:space="preserve"> are often reported for meta-analyses</w:t>
      </w:r>
      <w:r w:rsidRPr="00034410">
        <w:t xml:space="preserve"> </w:t>
      </w:r>
      <w:r>
        <w:t xml:space="preserve">(e.g., within the </w:t>
      </w:r>
      <w:proofErr w:type="spellStart"/>
      <w:r>
        <w:t>metafor</w:t>
      </w:r>
      <w:proofErr w:type="spellEnd"/>
      <w:r>
        <w:t xml:space="preserve">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w:t>
      </w:r>
      <w:proofErr w:type="gramStart"/>
      <w:r>
        <w:t>actually calculated</w:t>
      </w:r>
      <w:proofErr w:type="gramEnd"/>
      <w:r>
        <w:t xml:space="preserve"> PIs but mislabelled them as Credibility Intervals. </w:t>
      </w:r>
      <w:proofErr w:type="gramStart"/>
      <w:r w:rsidR="00486207">
        <w:t>In order to</w:t>
      </w:r>
      <w:proofErr w:type="gramEnd"/>
      <w:r w:rsidR="00486207">
        <w:t xml:space="preserve"> attempt to resolve this for the purpose of verification, it is useful to define all three to highlight the differences between them: </w:t>
      </w:r>
    </w:p>
    <w:p w14:paraId="71523213" w14:textId="77777777" w:rsidR="00486207" w:rsidRPr="00073AA3" w:rsidRDefault="00486207" w:rsidP="00486207"/>
    <w:p w14:paraId="7957F264" w14:textId="77777777" w:rsidR="00486207" w:rsidRPr="00073AA3" w:rsidRDefault="00000000" w:rsidP="00486207">
      <m:oMathPara>
        <m:oMath>
          <m:eqArr>
            <m:eqArrPr>
              <m:maxDist m:val="1"/>
              <m:ctrlPr>
                <w:rPr>
                  <w:rFonts w:ascii="Cambria Math" w:hAnsi="Cambria Math"/>
                  <w:i/>
                  <w:sz w:val="20"/>
                  <w:szCs w:val="20"/>
                </w:rPr>
              </m:ctrlPr>
            </m:eqArrPr>
            <m:e>
              <m:r>
                <m:rPr>
                  <m:sty m:val="p"/>
                </m:rPr>
                <w:rPr>
                  <w:rFonts w:ascii="Cambria Math" w:hAnsi="Cambria Math"/>
                </w:rPr>
                <m:t>95% CI=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2</m:t>
                  </m:r>
                </m:e>
              </m:d>
              <m:ctrlPr>
                <w:rPr>
                  <w:rFonts w:ascii="Cambria Math" w:hAnsi="Cambria Math"/>
                  <w:i/>
                </w:rPr>
              </m:ctrlPr>
            </m:e>
          </m:eqArr>
        </m:oMath>
      </m:oMathPara>
    </w:p>
    <w:p w14:paraId="3DFAF152" w14:textId="77777777" w:rsidR="00486207" w:rsidRPr="00073AA3" w:rsidRDefault="00486207" w:rsidP="00486207">
      <w:pPr>
        <w:ind w:firstLine="0"/>
      </w:pPr>
    </w:p>
    <w:p w14:paraId="5F08AE87" w14:textId="77777777" w:rsidR="00486207" w:rsidRPr="00073AA3" w:rsidRDefault="00000000" w:rsidP="00486207">
      <m:oMathPara>
        <m:oMath>
          <m:eqArr>
            <m:eqArrPr>
              <m:maxDist m:val="1"/>
              <m:ctrlPr>
                <w:rPr>
                  <w:rFonts w:ascii="Cambria Math" w:hAnsi="Cambria Math"/>
                  <w:i/>
                  <w:sz w:val="20"/>
                  <w:szCs w:val="20"/>
                </w:rPr>
              </m:ctrlPr>
            </m:eqArrPr>
            <m:e>
              <m:r>
                <m:rPr>
                  <m:sty m:val="p"/>
                </m:rPr>
                <w:rPr>
                  <w:rFonts w:ascii="Cambria Math" w:hAnsi="Cambria Math"/>
                </w:rPr>
                <m:t>95% CR=</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3</m:t>
                  </m:r>
                </m:e>
              </m:d>
              <m:ctrlPr>
                <w:rPr>
                  <w:rFonts w:ascii="Cambria Math" w:hAnsi="Cambria Math"/>
                  <w:i/>
                </w:rPr>
              </m:ctrlPr>
            </m:e>
          </m:eqArr>
        </m:oMath>
      </m:oMathPara>
    </w:p>
    <w:p w14:paraId="6B1C65C7" w14:textId="77777777" w:rsidR="00486207" w:rsidRPr="00073AA3" w:rsidRDefault="00486207" w:rsidP="00486207">
      <w:pPr>
        <w:ind w:firstLine="0"/>
      </w:pPr>
    </w:p>
    <w:p w14:paraId="3B798359" w14:textId="77777777" w:rsidR="00486207" w:rsidRPr="00073AA3" w:rsidRDefault="00000000" w:rsidP="00486207">
      <m:oMathPara>
        <m:oMath>
          <m:eqArr>
            <m:eqArrPr>
              <m:maxDist m:val="1"/>
              <m:ctrlPr>
                <w:rPr>
                  <w:rFonts w:ascii="Cambria Math" w:hAnsi="Cambria Math"/>
                  <w:i/>
                  <w:sz w:val="20"/>
                  <w:szCs w:val="20"/>
                </w:rPr>
              </m:ctrlPr>
            </m:eqArrPr>
            <m:e>
              <m:r>
                <m:rPr>
                  <m:sty m:val="p"/>
                </m:rPr>
                <w:rPr>
                  <w:rFonts w:ascii="Cambria Math" w:hAnsi="Cambria Math"/>
                </w:rPr>
                <m:t>95% PI=</m:t>
              </m:r>
              <m:acc>
                <m:accPr>
                  <m:chr m:val="̅"/>
                  <m:ctrlPr>
                    <w:rPr>
                      <w:rFonts w:ascii="Cambria Math" w:hAnsi="Cambria Math"/>
                      <w:sz w:val="20"/>
                      <w:szCs w:val="20"/>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sz w:val="20"/>
                      <w:szCs w:val="20"/>
                    </w:rPr>
                  </m:ctrlPr>
                </m:radPr>
                <m:deg/>
                <m:e>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sz w:val="20"/>
                          <w:szCs w:val="20"/>
                        </w:rPr>
                      </m:ctrlPr>
                    </m:sSupPr>
                    <m:e>
                      <m:acc>
                        <m:accPr>
                          <m:ctrlPr>
                            <w:rPr>
                              <w:rFonts w:ascii="Cambria Math" w:hAnsi="Cambria Math"/>
                              <w:sz w:val="20"/>
                              <w:szCs w:val="20"/>
                            </w:rPr>
                          </m:ctrlPr>
                        </m:accPr>
                        <m:e>
                          <m:r>
                            <w:rPr>
                              <w:rFonts w:ascii="Cambria Math" w:hAnsi="Cambria Math"/>
                            </w:rPr>
                            <m:t>σ</m:t>
                          </m:r>
                        </m:e>
                      </m:acc>
                    </m:e>
                    <m:sup>
                      <m:r>
                        <m:rPr>
                          <m:sty m:val="p"/>
                        </m:rPr>
                        <w:rPr>
                          <w:rFonts w:ascii="Cambria Math" w:hAnsi="Cambria Math"/>
                        </w:rPr>
                        <m:t>2</m:t>
                      </m:r>
                    </m:sup>
                  </m:sSup>
                </m:e>
              </m:rad>
              <m:r>
                <w:rPr>
                  <w:rFonts w:ascii="Cambria Math" w:hAnsi="Cambria Math"/>
                  <w:sz w:val="20"/>
                  <w:szCs w:val="20"/>
                </w:rPr>
                <m:t xml:space="preserve"> </m:t>
              </m:r>
              <m:r>
                <w:rPr>
                  <w:rFonts w:ascii="Cambria Math" w:hAnsi="Cambria Math"/>
                </w:rPr>
                <m:t>#</m:t>
              </m:r>
              <m:d>
                <m:dPr>
                  <m:ctrlPr>
                    <w:rPr>
                      <w:rFonts w:ascii="Cambria Math" w:hAnsi="Cambria Math"/>
                      <w:i/>
                      <w:sz w:val="20"/>
                      <w:szCs w:val="20"/>
                    </w:rPr>
                  </m:ctrlPr>
                </m:dPr>
                <m:e>
                  <m:r>
                    <w:rPr>
                      <w:rFonts w:ascii="Cambria Math" w:hAnsi="Cambria Math"/>
                      <w:sz w:val="20"/>
                      <w:szCs w:val="20"/>
                    </w:rPr>
                    <m:t>4</m:t>
                  </m:r>
                </m:e>
              </m:d>
              <m:ctrlPr>
                <w:rPr>
                  <w:rFonts w:ascii="Cambria Math" w:hAnsi="Cambria Math"/>
                  <w:i/>
                </w:rPr>
              </m:ctrlPr>
            </m:e>
          </m:eqArr>
        </m:oMath>
      </m:oMathPara>
    </w:p>
    <w:p w14:paraId="3FB0B124" w14:textId="77777777" w:rsidR="00486207" w:rsidRDefault="00486207" w:rsidP="00486207">
      <w:pPr>
        <w:ind w:firstLine="0"/>
      </w:pPr>
    </w:p>
    <w:p w14:paraId="78889AAD" w14:textId="77777777" w:rsidR="00486207" w:rsidRPr="00073AA3" w:rsidRDefault="00486207" w:rsidP="00486207">
      <w:pPr>
        <w:ind w:firstLine="0"/>
      </w:pPr>
    </w:p>
    <w:p w14:paraId="2BA2CE91" w14:textId="77777777" w:rsidR="00486207" w:rsidRPr="005A385D" w:rsidRDefault="00486207" w:rsidP="00486207">
      <w:r w:rsidRPr="00073AA3">
        <w:t xml:space="preserve">Where </w:t>
      </w:r>
      <m:oMath>
        <m:acc>
          <m:accPr>
            <m:chr m:val="̅"/>
            <m:ctrlPr>
              <w:rPr>
                <w:rFonts w:ascii="Cambria Math" w:hAnsi="Cambria Math"/>
                <w:i/>
              </w:rPr>
            </m:ctrlPr>
          </m:accPr>
          <m:e>
            <m:r>
              <w:rPr>
                <w:rFonts w:ascii="Cambria Math" w:hAnsi="Cambria Math"/>
              </w:rPr>
              <m:t>r</m:t>
            </m:r>
          </m:e>
        </m:acc>
      </m:oMath>
      <w:r w:rsidRPr="00073AA3">
        <w:t xml:space="preserve"> is the weighted</w:t>
      </w:r>
      <w:r w:rsidRPr="005A385D">
        <w:t xml:space="preserve">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5A385D">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5A385D">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5A385D">
        <w:t xml:space="preserve"> is the estimated between-study variance (heterogeneity). </w:t>
      </w:r>
    </w:p>
    <w:p w14:paraId="43F4BF8B" w14:textId="77777777" w:rsidR="00B12325" w:rsidRPr="001B6144" w:rsidRDefault="00000000" w:rsidP="004374E1">
      <w:r w:rsidRPr="005A385D">
        <w:t xml:space="preserve">An important point to appreciate regarding </w:t>
      </w:r>
      <w:r>
        <w:t>Credibility Intervals</w:t>
      </w:r>
      <w:r w:rsidRPr="005A385D">
        <w:t xml:space="preserve">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5A385D">
        <w:t xml:space="preserve"> = 0), the CR interval width will also be zero</w:t>
      </w:r>
      <w:r>
        <w:t xml:space="preserve">, as is the case in the results of the verification attempts reported </w:t>
      </w:r>
      <w:r w:rsidR="000C322F">
        <w:t>later</w:t>
      </w:r>
      <w:r>
        <w:t xml:space="preserve">. </w:t>
      </w:r>
    </w:p>
    <w:p w14:paraId="1F651229" w14:textId="77777777" w:rsidR="00006A5B" w:rsidRDefault="00000000" w:rsidP="00702CFF">
      <w:r w:rsidRPr="005A385D">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5A385D">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will be negative, and </w:t>
      </w:r>
      <w:r>
        <w:t>Credibility Interval</w:t>
      </w:r>
      <w:r w:rsidRPr="005A385D">
        <w:t xml:space="preserve">s cannot be </w:t>
      </w:r>
      <w:r w:rsidRPr="005A385D">
        <w:t xml:space="preserve">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5A385D">
        <w:t xml:space="preserve"> to zero (see “h_s syntax.sps” script). In such cases, both the lower and upper bound of the </w:t>
      </w:r>
      <w:r>
        <w:t>Credibility Interval</w:t>
      </w:r>
      <w:r w:rsidRPr="005A385D">
        <w:t xml:space="preserve">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5A385D">
        <w:t xml:space="preserve">). This would represent an important case in which </w:t>
      </w:r>
      <w:r>
        <w:t>Confidence Interval</w:t>
      </w:r>
      <w:r w:rsidRPr="005A385D">
        <w:t xml:space="preserve">s are </w:t>
      </w:r>
      <w:r>
        <w:t xml:space="preserve">both </w:t>
      </w:r>
      <w:r w:rsidRPr="005A385D">
        <w:t xml:space="preserve">wider than </w:t>
      </w:r>
      <w:r>
        <w:t>Credibility Interval</w:t>
      </w:r>
      <w:r w:rsidRPr="005A385D">
        <w:t>s,</w:t>
      </w:r>
      <w:r>
        <w:t xml:space="preserve"> contrary to Vahey et al.'s (2015) claim</w:t>
      </w:r>
      <w:r w:rsidRPr="005A385D">
        <w:t xml:space="preserve"> and indeed </w:t>
      </w:r>
      <w:r>
        <w:t>where the Credibility Interval</w:t>
      </w:r>
      <w:r w:rsidRPr="005A385D">
        <w:t xml:space="preserve">s are implausibly </w:t>
      </w:r>
      <w:r>
        <w:t>narrow (i.e., 0)</w:t>
      </w:r>
      <w:r w:rsidRPr="005A385D">
        <w:t>.</w:t>
      </w:r>
    </w:p>
    <w:p w14:paraId="0376807F" w14:textId="77777777" w:rsidR="00057A7F" w:rsidRPr="00034410" w:rsidRDefault="00000000" w:rsidP="00057A7F">
      <w:pPr>
        <w:pStyle w:val="Heading3"/>
      </w:pPr>
      <w:r w:rsidRPr="00034410">
        <w:t>Verification attempt 1</w:t>
      </w:r>
    </w:p>
    <w:p w14:paraId="742C3431" w14:textId="77777777" w:rsidR="00057A7F" w:rsidRDefault="00000000" w:rsidP="00057A7F">
      <w:r w:rsidRPr="00034410">
        <w:t>The first verification attempt employed Field’s “h_s syntax.sps” script</w:t>
      </w:r>
      <w:r>
        <w:t xml:space="preserve"> which implements the Hunter &amp; Schmidt style meta-analysis that Vahey et al. (2015) cite and which Vahey stated in personal correspondence that they used. </w:t>
      </w:r>
      <w:r w:rsidRPr="00034410">
        <w:t xml:space="preserve">Copies of all original and altered scripts are available in the supplementary materials. The </w:t>
      </w:r>
      <w:r>
        <w:t xml:space="preserve">default </w:t>
      </w:r>
      <w:r w:rsidRPr="00034410">
        <w:t xml:space="preserve">80% </w:t>
      </w:r>
      <w:r>
        <w:t>Credibility Interval</w:t>
      </w:r>
      <w:r w:rsidRPr="00034410">
        <w:t xml:space="preserve"> widths were changed to 95%, as Vahey et al. (2015) reported using the latter</w:t>
      </w:r>
      <w:r>
        <w:t xml:space="preserve"> width</w:t>
      </w:r>
      <w:r w:rsidRPr="00034410">
        <w:t xml:space="preserve">. </w:t>
      </w:r>
    </w:p>
    <w:p w14:paraId="5EDB3482" w14:textId="77777777" w:rsidR="00057A7F" w:rsidRDefault="00000000" w:rsidP="00057A7F">
      <w:r w:rsidRPr="00034410">
        <w:t xml:space="preserve">One other key assumption was made in order to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fldChar w:fldCharType="begin"/>
      </w:r>
      <w:r>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fldChar w:fldCharType="separate"/>
      </w:r>
      <w:r>
        <w:rPr>
          <w:noProof/>
        </w:rPr>
        <w:t>(Field &amp; Gillett, 2010; Hunter &amp; Schmidt, 2004)</w:t>
      </w:r>
      <w:r>
        <w:fldChar w:fldCharType="end"/>
      </w:r>
      <w:r w:rsidRPr="00034410">
        <w:t xml:space="preserve">. Although Hunter &amp; Schmidt </w:t>
      </w:r>
      <w:r>
        <w:t xml:space="preserve">(2004) </w:t>
      </w:r>
      <w:r w:rsidRPr="00034410">
        <w:t xml:space="preserve">did describe what they referred to as a “bare-bones” meta-analysis that did not perform this deattentuation based on reliability, </w:t>
      </w:r>
      <w:r>
        <w:t xml:space="preserve">for </w:t>
      </w:r>
      <w:r w:rsidRPr="00034410">
        <w:t xml:space="preserve">Field’s “h_s syntax.sps” script </w:t>
      </w:r>
      <w:r>
        <w:t xml:space="preserve">to run it </w:t>
      </w:r>
      <w:r w:rsidRPr="00034410">
        <w:t xml:space="preserve">requires the researcher to provide reliability values for </w:t>
      </w:r>
      <w:r>
        <w:t xml:space="preserve">both of the measures that produced </w:t>
      </w:r>
      <w:r w:rsidRPr="00034410">
        <w:t>each effect size. Vahey et al. (2015) do not report any extracting or estimating reliabilities or deattenuating the effect</w:t>
      </w:r>
      <w:r>
        <w:t xml:space="preserve"> sizes</w:t>
      </w:r>
      <w:r w:rsidRPr="00034410">
        <w:t xml:space="preserve"> based on them, and no reliability data is available in their manuscript or supplementary materials. In the absence of other information, I set the reliability for all variables to 1 in order to allow the script </w:t>
      </w:r>
      <w:r w:rsidRPr="00F31252">
        <w:t>to run. Table 2 presents the meta-analysis effect size estimates reported by Vahey et al. (2015) as well</w:t>
      </w:r>
      <w:r w:rsidRPr="00034410">
        <w:t xml:space="preserve"> as the results of all verification analyses conducted here. </w:t>
      </w:r>
    </w:p>
    <w:p w14:paraId="4B8CE1D1" w14:textId="04EE1F71" w:rsidR="00057A7F" w:rsidRDefault="00000000" w:rsidP="00AA62C3">
      <w:pPr>
        <w:rPr>
          <w:iCs/>
        </w:rPr>
      </w:pPr>
      <w:r>
        <w:t>T</w:t>
      </w:r>
      <w:r w:rsidRPr="00034410">
        <w:t xml:space="preserve">his verification attempt did not reproduce the original results for any estimate (point estimate, </w:t>
      </w:r>
      <w:r>
        <w:t>Confidence Interval</w:t>
      </w:r>
      <w:r w:rsidRPr="00034410">
        <w:t xml:space="preserve">, or </w:t>
      </w:r>
      <w:r>
        <w:t>Credibility Interval</w:t>
      </w:r>
      <w:r w:rsidRPr="00034410">
        <w:t>).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0.02), but more than could be accounted for by rounding</w:t>
      </w:r>
      <w:r>
        <w:t xml:space="preserve"> or other erroneous methods such as truncation</w:t>
      </w:r>
      <w:r w:rsidRPr="00034410">
        <w:t xml:space="preserve">. </w:t>
      </w:r>
      <w:r>
        <w:t>Confidence Interval</w:t>
      </w:r>
      <w:r w:rsidRPr="00034410">
        <w:t xml:space="preserve">s were nearly four times wider in the verification analysis than the original results. </w:t>
      </w:r>
      <w:r>
        <w:t>Credibility Interval</w:t>
      </w:r>
      <w:r w:rsidRPr="00034410">
        <w:t xml:space="preserve">s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w:t>
      </w:r>
      <w:r>
        <w:rPr>
          <w:iCs/>
        </w:rPr>
        <w:t xml:space="preserve">, </w:t>
      </w:r>
      <w:r w:rsidRPr="00034410">
        <w:rPr>
          <w:iCs/>
        </w:rPr>
        <w:t xml:space="preserve">interval width was therefore set to zero), whereas they were wider than the </w:t>
      </w:r>
      <w:r>
        <w:rPr>
          <w:iCs/>
        </w:rPr>
        <w:t>Confidence Interval</w:t>
      </w:r>
      <w:r w:rsidRPr="00034410">
        <w:rPr>
          <w:iCs/>
        </w:rPr>
        <w:t xml:space="preserve">s in the original analysis. </w:t>
      </w:r>
      <w:r>
        <w:rPr>
          <w:iCs/>
        </w:rPr>
        <w:t xml:space="preserve">Note that </w:t>
      </w:r>
      <w:r>
        <w:t>setting the reliabilities to other values (e.g., the common reliability thresholds such as .70 or otherwise), would serve to inflate both the meta-</w:t>
      </w:r>
    </w:p>
    <w:p w14:paraId="1BE59C56"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52AB4231" w14:textId="77777777" w:rsidR="00D0718D" w:rsidRPr="00D0718D" w:rsidRDefault="00000000" w:rsidP="00056983">
      <w:pPr>
        <w:ind w:firstLine="0"/>
        <w:rPr>
          <w:b/>
          <w:bCs/>
          <w:iCs/>
        </w:rPr>
      </w:pPr>
      <w:r w:rsidRPr="00D0718D">
        <w:rPr>
          <w:b/>
          <w:bCs/>
          <w:iCs/>
        </w:rPr>
        <w:lastRenderedPageBreak/>
        <w:t xml:space="preserve">Figure </w:t>
      </w:r>
      <w:r w:rsidR="00B21A2E">
        <w:rPr>
          <w:b/>
          <w:bCs/>
          <w:iCs/>
        </w:rPr>
        <w:t>3</w:t>
      </w:r>
      <w:r w:rsidRPr="00D0718D">
        <w:rPr>
          <w:b/>
          <w:bCs/>
          <w:iCs/>
        </w:rPr>
        <w:t xml:space="preserve">. Forest plot for </w:t>
      </w:r>
      <w:r w:rsidR="001A4627">
        <w:rPr>
          <w:b/>
          <w:bCs/>
          <w:iCs/>
        </w:rPr>
        <w:t xml:space="preserve">meta-analysis </w:t>
      </w:r>
      <w:r w:rsidRPr="00D0718D">
        <w:rPr>
          <w:b/>
          <w:bCs/>
          <w:iCs/>
        </w:rPr>
        <w:t>verification attempt 3.</w:t>
      </w:r>
    </w:p>
    <w:p w14:paraId="0F173F6D" w14:textId="77777777" w:rsidR="00D0718D" w:rsidRDefault="00000000" w:rsidP="00FF1884">
      <w:pPr>
        <w:ind w:firstLine="0"/>
        <w:jc w:val="center"/>
        <w:rPr>
          <w:iCs/>
        </w:rPr>
      </w:pPr>
      <w:r>
        <w:rPr>
          <w:iCs/>
          <w:noProof/>
        </w:rPr>
        <w:drawing>
          <wp:inline distT="0" distB="0" distL="0" distR="0" wp14:anchorId="01669711" wp14:editId="57BE151B">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4"/>
                    <a:stretch>
                      <a:fillRect/>
                    </a:stretch>
                  </pic:blipFill>
                  <pic:spPr>
                    <a:xfrm>
                      <a:off x="0" y="0"/>
                      <a:ext cx="4621825" cy="2773095"/>
                    </a:xfrm>
                    <a:prstGeom prst="rect">
                      <a:avLst/>
                    </a:prstGeom>
                  </pic:spPr>
                </pic:pic>
              </a:graphicData>
            </a:graphic>
          </wp:inline>
        </w:drawing>
      </w:r>
    </w:p>
    <w:p w14:paraId="09E8E21D" w14:textId="77777777" w:rsidR="00D736B9" w:rsidRDefault="00D736B9" w:rsidP="00056983">
      <w:pPr>
        <w:ind w:firstLine="0"/>
        <w:rPr>
          <w:iCs/>
        </w:rPr>
      </w:pPr>
    </w:p>
    <w:p w14:paraId="463717C6" w14:textId="77777777" w:rsidR="00D736B9" w:rsidRDefault="00000000" w:rsidP="00D736B9">
      <w:pPr>
        <w:ind w:firstLine="0"/>
        <w:rPr>
          <w:b/>
          <w:bCs/>
          <w:iCs/>
        </w:rPr>
      </w:pPr>
      <w:r w:rsidRPr="00D0718D">
        <w:rPr>
          <w:b/>
          <w:bCs/>
          <w:iCs/>
        </w:rPr>
        <w:t xml:space="preserve">Figure </w:t>
      </w:r>
      <w:r w:rsidR="00B21A2E">
        <w:rPr>
          <w:b/>
          <w:bCs/>
          <w:iCs/>
        </w:rPr>
        <w:t>4</w:t>
      </w:r>
      <w:r w:rsidRPr="00D0718D">
        <w:rPr>
          <w:b/>
          <w:bCs/>
          <w:iCs/>
        </w:rPr>
        <w:t xml:space="preserve">. Forest plot for </w:t>
      </w:r>
      <w:r>
        <w:rPr>
          <w:b/>
          <w:bCs/>
          <w:iCs/>
        </w:rPr>
        <w:t xml:space="preserve">meta-analysis </w:t>
      </w:r>
      <w:r w:rsidRPr="00D0718D">
        <w:rPr>
          <w:b/>
          <w:bCs/>
          <w:iCs/>
        </w:rPr>
        <w:t xml:space="preserve">verification attempt </w:t>
      </w:r>
      <w:r>
        <w:rPr>
          <w:b/>
          <w:bCs/>
          <w:iCs/>
        </w:rPr>
        <w:t>4</w:t>
      </w:r>
      <w:r w:rsidRPr="00D0718D">
        <w:rPr>
          <w:b/>
          <w:bCs/>
          <w:iCs/>
        </w:rPr>
        <w:t>.</w:t>
      </w:r>
    </w:p>
    <w:p w14:paraId="4A97EB55" w14:textId="77777777" w:rsidR="00D736B9" w:rsidRPr="00EA0AA1" w:rsidRDefault="00000000" w:rsidP="00EA0AA1">
      <w:pPr>
        <w:ind w:firstLine="0"/>
        <w:jc w:val="center"/>
        <w:rPr>
          <w:b/>
          <w:bCs/>
          <w:iCs/>
        </w:rPr>
      </w:pPr>
      <w:r>
        <w:rPr>
          <w:b/>
          <w:bCs/>
          <w:iCs/>
          <w:noProof/>
        </w:rPr>
        <w:drawing>
          <wp:inline distT="0" distB="0" distL="0" distR="0" wp14:anchorId="323C93EA" wp14:editId="5903348C">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5"/>
                    <a:stretch>
                      <a:fillRect/>
                    </a:stretch>
                  </pic:blipFill>
                  <pic:spPr>
                    <a:xfrm>
                      <a:off x="0" y="0"/>
                      <a:ext cx="4623325" cy="2773995"/>
                    </a:xfrm>
                    <a:prstGeom prst="rect">
                      <a:avLst/>
                    </a:prstGeom>
                  </pic:spPr>
                </pic:pic>
              </a:graphicData>
            </a:graphic>
          </wp:inline>
        </w:drawing>
      </w:r>
    </w:p>
    <w:p w14:paraId="412C050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50C8CB22"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4225B40A" w14:textId="77777777" w:rsidR="00093F1F" w:rsidRDefault="00093F1F" w:rsidP="00EA0AA1">
      <w:pPr>
        <w:ind w:firstLine="0"/>
      </w:pPr>
    </w:p>
    <w:p w14:paraId="3B78B18F"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3E38D57E" w14:textId="77777777" w:rsidR="00AA62C3" w:rsidRDefault="00AA62C3" w:rsidP="00AA62C3">
      <w:pPr>
        <w:ind w:firstLine="0"/>
      </w:pPr>
      <w:r>
        <w:t>analysis effect size and intervals. As such, additional verifications using alternative reliability values were not useful to explore.</w:t>
      </w:r>
    </w:p>
    <w:p w14:paraId="25631964" w14:textId="77777777" w:rsidR="00AA62C3" w:rsidRPr="00034410" w:rsidRDefault="00AA62C3" w:rsidP="00AA62C3">
      <w:pPr>
        <w:pStyle w:val="Heading3"/>
      </w:pPr>
      <w:r w:rsidRPr="00034410">
        <w:t xml:space="preserve">Verification </w:t>
      </w:r>
      <w:proofErr w:type="gramStart"/>
      <w:r w:rsidRPr="00034410">
        <w:t>attempt</w:t>
      </w:r>
      <w:proofErr w:type="gramEnd"/>
      <w:r w:rsidRPr="00034410">
        <w:t xml:space="preserve"> 2</w:t>
      </w:r>
    </w:p>
    <w:p w14:paraId="65D1EA44" w14:textId="77777777" w:rsidR="00AA62C3" w:rsidRDefault="00AA62C3" w:rsidP="00AA62C3">
      <w:pPr>
        <w:rPr>
          <w:iCs/>
        </w:rPr>
      </w:pPr>
      <w:r w:rsidRPr="00034410">
        <w:t>The second verification attempt employed Field’s “</w:t>
      </w:r>
      <w:proofErr w:type="spellStart"/>
      <w:r w:rsidRPr="00034410">
        <w:t>Meta_Basic_r.sps</w:t>
      </w:r>
      <w:proofErr w:type="spellEnd"/>
      <w:r w:rsidRPr="00034410">
        <w:t>” script</w:t>
      </w:r>
      <w:r>
        <w:t>, which implements a Hedges’ style “basic” meta-</w:t>
      </w:r>
      <w:proofErr w:type="spellStart"/>
      <w:r>
        <w:t>anlysis</w:t>
      </w:r>
      <w:proofErr w:type="spellEnd"/>
      <w:r>
        <w:t>.</w:t>
      </w:r>
      <w:r w:rsidRPr="00034410">
        <w:t xml:space="preserve"> </w:t>
      </w:r>
      <w:r w:rsidRPr="00034410">
        <w:rPr>
          <w:iCs/>
        </w:rPr>
        <w:t xml:space="preserve">Note that, unlike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this script does not contain code to calculate </w:t>
      </w:r>
      <w:r>
        <w:rPr>
          <w:iCs/>
        </w:rPr>
        <w:t>Confidence Interval</w:t>
      </w:r>
      <w:r w:rsidRPr="00034410">
        <w:rPr>
          <w:iCs/>
        </w:rPr>
        <w:t xml:space="preserve">s. </w:t>
      </w: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w:t>
      </w:r>
      <w:r w:rsidRPr="00034410">
        <w:rPr>
          <w:iCs/>
        </w:rPr>
        <w:t xml:space="preserve">as in the </w:t>
      </w:r>
      <w:r w:rsidRPr="00034410">
        <w:t>“</w:t>
      </w:r>
      <w:proofErr w:type="spellStart"/>
      <w:r w:rsidRPr="00034410">
        <w:t>h_s</w:t>
      </w:r>
      <w:proofErr w:type="spellEnd"/>
      <w:r w:rsidRPr="00034410">
        <w:t xml:space="preserve"> </w:t>
      </w:r>
      <w:proofErr w:type="spellStart"/>
      <w:r w:rsidRPr="00034410">
        <w:t>syntax.sps</w:t>
      </w:r>
      <w:proofErr w:type="spellEnd"/>
      <w:r w:rsidRPr="00034410">
        <w:t>” script</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411523D8" w14:textId="77777777" w:rsidR="00AA62C3" w:rsidRDefault="00AA62C3" w:rsidP="00AA62C3">
      <w:pPr>
        <w:rPr>
          <w:iCs/>
        </w:rPr>
      </w:pPr>
      <w:r>
        <w:t>T</w:t>
      </w:r>
      <w:r w:rsidRPr="00034410">
        <w:t xml:space="preserve">his verification </w:t>
      </w:r>
      <w:proofErr w:type="gramStart"/>
      <w:r w:rsidRPr="00034410">
        <w:t>attempt</w:t>
      </w:r>
      <w:proofErr w:type="gramEnd"/>
      <w:r w:rsidRPr="00034410">
        <w:t xml:space="preserve"> also did not reproduce the original results. The point estimate was off by 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This is </w:t>
      </w:r>
      <w:r w:rsidRPr="00034410">
        <w:t xml:space="preserve">more than could be </w:t>
      </w:r>
      <w:r w:rsidRPr="00034410">
        <w:t xml:space="preserve">accounted for by </w:t>
      </w:r>
      <w:r>
        <w:t xml:space="preserve">common methods of </w:t>
      </w:r>
      <w:r w:rsidRPr="00034410">
        <w:t>rounding</w:t>
      </w:r>
      <w:r>
        <w:t xml:space="preserve"> but could be obtained via (erroneous) truncation</w:t>
      </w:r>
      <w:r w:rsidRPr="00034410">
        <w:t xml:space="preserve">. </w:t>
      </w:r>
      <w:r>
        <w:t>Nonetheless, this value was the closest I could achieve across attempts and, in the grand scheme of things, is close to the reported value. 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158757FF" w14:textId="77777777" w:rsidR="00486207" w:rsidRPr="00034410" w:rsidRDefault="00486207" w:rsidP="00486207">
      <w:pPr>
        <w:pStyle w:val="Heading3"/>
      </w:pPr>
      <w:r w:rsidRPr="00034410">
        <w:t xml:space="preserve">Verification </w:t>
      </w:r>
      <w:proofErr w:type="gramStart"/>
      <w:r w:rsidRPr="00034410">
        <w:t>attempt</w:t>
      </w:r>
      <w:proofErr w:type="gramEnd"/>
      <w:r w:rsidRPr="00034410">
        <w:t xml:space="preserve"> </w:t>
      </w:r>
      <w:r>
        <w:t>3</w:t>
      </w:r>
    </w:p>
    <w:p w14:paraId="20409132" w14:textId="3CDD233B" w:rsidR="00B53073" w:rsidRPr="00034410" w:rsidRDefault="00486207" w:rsidP="00B53073">
      <w:pPr>
        <w:ind w:firstLine="0"/>
      </w:pPr>
      <w:r w:rsidRPr="00034410">
        <w:t xml:space="preserve">In a </w:t>
      </w:r>
      <w:r>
        <w:t>third</w:t>
      </w:r>
      <w:r w:rsidRPr="00034410">
        <w:t xml:space="preserve"> verification attempt, I switched from using Field</w:t>
      </w:r>
      <w:r>
        <w:t xml:space="preserve"> and Gillett’s</w:t>
      </w:r>
      <w:r w:rsidRPr="00034410">
        <w:t xml:space="preserve"> SPSS </w:t>
      </w:r>
      <w:r>
        <w:t xml:space="preserve">code </w:t>
      </w:r>
      <w:r w:rsidRPr="00034410">
        <w:t xml:space="preserve">to </w:t>
      </w:r>
      <w:proofErr w:type="spellStart"/>
      <w:r w:rsidRPr="00034410">
        <w:t>Vichtbauer’s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that was written </w:t>
      </w:r>
      <w:r w:rsidRPr="00034410">
        <w:t xml:space="preserve">in R </w:t>
      </w:r>
      <w:r>
        <w:t>and</w:t>
      </w:r>
      <w:r w:rsidRPr="00034410">
        <w:t xml:space="preserve"> the </w:t>
      </w:r>
      <w:proofErr w:type="spellStart"/>
      <w:r w:rsidRPr="00034410">
        <w:t>metafor</w:t>
      </w:r>
      <w:proofErr w:type="spellEnd"/>
      <w:r w:rsidRPr="00034410">
        <w:t xml:space="preserve">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w:t>
      </w:r>
      <w:r w:rsidRPr="00034410">
        <w:lastRenderedPageBreak/>
        <w:t>programming language I was more familiar with</w:t>
      </w:r>
      <w:r>
        <w:t xml:space="preserve">, allowing me to try a variety of variations on a given attempt more efficiently. However, this also </w:t>
      </w:r>
      <w:proofErr w:type="gramStart"/>
      <w:r>
        <w:t>opened up</w:t>
      </w:r>
      <w:proofErr w:type="gramEnd"/>
      <w:r>
        <w:t xml:space="preserve"> the possibility that non-reproduction was due to implementational differences between languages.</w:t>
      </w:r>
      <w:r w:rsidRPr="00034410">
        <w:t xml:space="preserve"> Field &amp;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by Vahey et al. (2015) were reproduced. However, the point estimate and </w:t>
      </w:r>
      <w:r>
        <w:t>Credibility Interval</w:t>
      </w:r>
      <w:r w:rsidRPr="00034410">
        <w:t>s again did not reproduce the</w:t>
      </w:r>
      <w:r>
        <w:t xml:space="preserve"> </w:t>
      </w:r>
      <w:r w:rsidRPr="00034410">
        <w:t>original results, and matched the results found in verification analyses 1 and 3.</w:t>
      </w:r>
    </w:p>
    <w:p w14:paraId="680EE143" w14:textId="77777777" w:rsidR="00A50992" w:rsidRPr="00034410" w:rsidRDefault="00000000" w:rsidP="00B53073">
      <w:r w:rsidRPr="00034410">
        <w:t>This verification attempt also attempted to reproduce the original forest plot (Vahey et al., 2015, Figure 1), which was more feasible in R.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1DE4A6BA" w14:textId="77777777" w:rsidR="00CE42B4" w:rsidRPr="00034410" w:rsidRDefault="00000000" w:rsidP="00034410">
      <w:pPr>
        <w:pStyle w:val="Heading3"/>
      </w:pPr>
      <w:r w:rsidRPr="00034410">
        <w:t xml:space="preserve">Verification attempt </w:t>
      </w:r>
      <w:r w:rsidR="00867AC0">
        <w:t>4</w:t>
      </w:r>
    </w:p>
    <w:p w14:paraId="67DCE9D0" w14:textId="77777777" w:rsidR="005E75C5" w:rsidRDefault="00000000" w:rsidP="00034410">
      <w:r w:rsidRPr="00034410">
        <w:t xml:space="preserve">In </w:t>
      </w:r>
      <w:r w:rsidR="00300E5D" w:rsidRPr="00034410">
        <w:t xml:space="preserve">the </w:t>
      </w:r>
      <w:r w:rsidR="0054637F">
        <w:t>fourth</w:t>
      </w:r>
      <w:r w:rsidR="00300E5D" w:rsidRPr="00034410">
        <w:t xml:space="preserve"> </w:t>
      </w:r>
      <w:r w:rsidR="00DA70FA" w:rsidRPr="00034410">
        <w:t xml:space="preserve">meta-analysis </w:t>
      </w:r>
      <w:r w:rsidRPr="00034410">
        <w:t>verification attempt,</w:t>
      </w:r>
      <w:r w:rsidR="00E64CC9" w:rsidRPr="00034410">
        <w:t xml:space="preserve"> I appl</w:t>
      </w:r>
      <w:r w:rsidR="001E6578">
        <w:t>ied</w:t>
      </w:r>
      <w:r w:rsidR="00E64CC9" w:rsidRPr="00034410">
        <w:t xml:space="preserve"> Fisher’s </w:t>
      </w:r>
      <w:r w:rsidR="00E64CC9" w:rsidRPr="00034410">
        <w:rPr>
          <w:i/>
          <w:iCs/>
        </w:rPr>
        <w:t>r</w:t>
      </w:r>
      <w:r w:rsidR="00E64CC9" w:rsidRPr="00034410">
        <w:t>-to-</w:t>
      </w:r>
      <w:r w:rsidR="00E64CC9" w:rsidRPr="00034410">
        <w:rPr>
          <w:i/>
          <w:iCs/>
        </w:rPr>
        <w:t>z</w:t>
      </w:r>
      <w:r w:rsidR="00E64CC9" w:rsidRPr="00034410">
        <w:t xml:space="preserve"> transformations to the individual effect sizes prior to meta-analysis and back transformations prior to reporting and plotting. </w:t>
      </w:r>
      <w:r w:rsidR="000B270B" w:rsidRPr="00034410">
        <w:t xml:space="preserve">The analysis was otherwise identical to the previous attempt. </w:t>
      </w:r>
      <w:r w:rsidR="00A9575F" w:rsidRPr="00034410">
        <w:t>All estimated values were identical to attempt</w:t>
      </w:r>
      <w:r w:rsidR="00BF0A69">
        <w:t xml:space="preserve"> 3</w:t>
      </w:r>
      <w:r w:rsidR="00A9575F" w:rsidRPr="00034410">
        <w:t xml:space="preserve">, therefore the original </w:t>
      </w:r>
      <w:r w:rsidR="003E7C6F">
        <w:t xml:space="preserve">meta-analysis </w:t>
      </w:r>
      <w:r w:rsidR="00A9575F" w:rsidRPr="00034410">
        <w:t xml:space="preserve">results were not reproduced. </w:t>
      </w:r>
    </w:p>
    <w:p w14:paraId="2102ABE7" w14:textId="77777777" w:rsidR="00550D8B" w:rsidRDefault="00000000" w:rsidP="00034410">
      <w:r>
        <w:t>However, t</w:t>
      </w:r>
      <w:r w:rsidR="00A9575F" w:rsidRPr="00034410">
        <w:t xml:space="preserve">he forest plot associated with this attempt </w:t>
      </w:r>
      <w:r w:rsidR="00095EF1">
        <w:t xml:space="preserve">did </w:t>
      </w:r>
      <w:r w:rsidR="00A9575F" w:rsidRPr="00034410">
        <w:t xml:space="preserve">reproduce the </w:t>
      </w:r>
      <w:r w:rsidR="00BE42D5">
        <w:t>Confidence Interval</w:t>
      </w:r>
      <w:r w:rsidR="00C03C33" w:rsidRPr="00034410">
        <w:t xml:space="preserve">s around the individual effect sizes </w:t>
      </w:r>
      <w:r w:rsidR="003A2CB1">
        <w:t xml:space="preserve">from </w:t>
      </w:r>
      <w:r w:rsidR="00095EF1">
        <w:t xml:space="preserve">Vahey et al.’s (2015) </w:t>
      </w:r>
      <w:r w:rsidR="00C03C33" w:rsidRPr="00034410">
        <w:t xml:space="preserve">original </w:t>
      </w:r>
      <w:r w:rsidR="00095EF1">
        <w:t xml:space="preserve">forest </w:t>
      </w:r>
      <w:r w:rsidR="00095EF1" w:rsidRPr="00095EF1">
        <w:t xml:space="preserve">plot </w:t>
      </w:r>
      <w:r w:rsidR="00A737AB" w:rsidRPr="00095EF1">
        <w:t>(see</w:t>
      </w:r>
      <w:r w:rsidR="00095EF1" w:rsidRPr="00095EF1">
        <w:t xml:space="preserve"> their Figure 1 and this manuscript’s</w:t>
      </w:r>
      <w:r w:rsidR="00A737AB" w:rsidRPr="00095EF1">
        <w:t xml:space="preserve"> Figure</w:t>
      </w:r>
      <w:r w:rsidR="00B24332">
        <w:t>s</w:t>
      </w:r>
      <w:r w:rsidR="00A737AB" w:rsidRPr="00095EF1">
        <w:t xml:space="preserve"> </w:t>
      </w:r>
      <w:r w:rsidR="00B24332">
        <w:t xml:space="preserve">1 and </w:t>
      </w:r>
      <w:r w:rsidR="007745DA">
        <w:t>3</w:t>
      </w:r>
      <w:r w:rsidR="00A737AB" w:rsidRPr="00095EF1">
        <w:t>)</w:t>
      </w:r>
      <w:r w:rsidR="001949BE" w:rsidRPr="00095EF1">
        <w:t>,</w:t>
      </w:r>
      <w:r w:rsidR="001949BE" w:rsidRPr="00034410">
        <w:t xml:space="preserve"> suggesting that Vahey et al. (2015) employed these transformations but did not report them. </w:t>
      </w:r>
      <w:r w:rsidR="0098076F">
        <w:t>This under-reported data transformation also implies a second form of underreporting: Vahey et al. (2015) reported employing a Hunter &amp; Schmidt style meta-analysis, but this implies that they diverged from this strategy by also applying Hedges style data transformations</w:t>
      </w:r>
      <w:r w:rsidR="00F06731">
        <w:t xml:space="preserve"> (in addition to not applying Hunter &amp; Schmidt style corrections for reliability). </w:t>
      </w:r>
      <w:r w:rsidR="004730DE">
        <w:t xml:space="preserve">While this reproduction of the original individual effect sizes and their Confidence Intervals gets us one step closer to understanding the original analytic strategy, it nonetheless does not reproduce the meta-analysis results. </w:t>
      </w:r>
    </w:p>
    <w:p w14:paraId="7E898080" w14:textId="77777777" w:rsidR="000C5BDB" w:rsidRDefault="00000000" w:rsidP="00034410">
      <w:pPr>
        <w:pStyle w:val="Heading3"/>
      </w:pPr>
      <w:r w:rsidRPr="00034410">
        <w:t>Summar</w:t>
      </w:r>
      <w:r w:rsidR="00987DC7" w:rsidRPr="00034410">
        <w:t xml:space="preserve">y </w:t>
      </w:r>
      <w:r w:rsidR="009B1C88">
        <w:t>of attempts</w:t>
      </w:r>
    </w:p>
    <w:p w14:paraId="7C13A88E" w14:textId="77777777" w:rsidR="009B1C88" w:rsidRPr="009B1C88" w:rsidRDefault="00000000" w:rsidP="009B1C88">
      <w:r>
        <w:t xml:space="preserve">A large number of small variations on the attempts that are reported here were also tried. For example, alternative values for reliability estimates in attempt 2, and not back-transforming the </w:t>
      </w:r>
      <w:r w:rsidRPr="002D10F0">
        <w:rPr>
          <w:i/>
          <w:iCs/>
        </w:rPr>
        <w:t>z</w:t>
      </w:r>
      <w:r>
        <w:t xml:space="preserve"> values in attempt 4. I </w:t>
      </w:r>
      <w:r>
        <w:t>also tried a number of purposeful mistakes, such as miscalculating Credibility Intervals based on plausible mathematical and coding errors. No attempt successfully reproduced the originally reported results.</w:t>
      </w:r>
    </w:p>
    <w:p w14:paraId="19364BBF"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2E8B">
        <w:t>4</w:t>
      </w:r>
      <w:r w:rsidR="002353CA" w:rsidRPr="00034410">
        <w:t xml:space="preserve">) and not when they weren't (verification attempts </w:t>
      </w:r>
      <w:r w:rsidR="00C82E8B">
        <w:t>1-3</w:t>
      </w:r>
      <w:r w:rsidR="002353CA" w:rsidRPr="00034410">
        <w:t xml:space="preserve">). However, (a) Vahey et al. (2015) did not report applying this transformation in their meta-analysis or plot, and (b) Field &amp; Gillett (2010) </w:t>
      </w:r>
      <w:r w:rsidR="000415FA" w:rsidRPr="00034410">
        <w:t>state</w:t>
      </w:r>
      <w:r w:rsidR="000B270B" w:rsidRPr="00034410">
        <w:t>d</w:t>
      </w:r>
      <w:r w:rsidR="000415FA" w:rsidRPr="00034410">
        <w:t xml:space="preserve"> that this transformation is not part of the Hunter &amp; Schmidt method of meta</w:t>
      </w:r>
      <w:r w:rsidR="004B6D0F" w:rsidRPr="00034410">
        <w:t>-</w:t>
      </w:r>
      <w:r w:rsidR="000415FA" w:rsidRPr="00034410">
        <w:t xml:space="preserve">analysis. </w:t>
      </w:r>
      <w:r w:rsidR="00E35176" w:rsidRPr="00034410">
        <w:t>This would therefore be an ad-hoc mix of the</w:t>
      </w:r>
      <w:r w:rsidR="000B270B" w:rsidRPr="00034410">
        <w:t xml:space="preserve"> Hunter and Schmidt method and the Hedges and colleagues' method, as Field &amp; Gillett (2010) describe them. </w:t>
      </w:r>
    </w:p>
    <w:p w14:paraId="5304911D" w14:textId="77777777" w:rsidR="000521C2" w:rsidRDefault="00000000" w:rsidP="000521C2">
      <w:r>
        <w:t xml:space="preserve">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would imply that a correct point estimate of .47 (i.e., at the halfway point between the intervals). A point estimate of .47 combined with Confidence Intervals of [.40, .54] was reproduced in verification attempts 3 and 4.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 </w:t>
      </w:r>
    </w:p>
    <w:p w14:paraId="713FDE3F" w14:textId="77777777" w:rsidR="00697E83" w:rsidRPr="00034410" w:rsidRDefault="00000000" w:rsidP="00034410">
      <w:pPr>
        <w:pStyle w:val="Heading2"/>
      </w:pPr>
      <w:r>
        <w:t>Weighted a</w:t>
      </w:r>
      <w:r w:rsidR="00B95E95" w:rsidRPr="00034410">
        <w:t>verage effect sizes</w:t>
      </w:r>
      <w:r w:rsidR="007E5FD2" w:rsidRPr="00034410">
        <w:t xml:space="preserve"> </w:t>
      </w:r>
    </w:p>
    <w:p w14:paraId="3A3E197D" w14:textId="77777777" w:rsidR="00F73DA2" w:rsidRDefault="00000000" w:rsidP="0046629A">
      <w:r>
        <w:t xml:space="preserve">In order to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w:t>
      </w:r>
      <w:r w:rsidR="00103A1D">
        <w:lastRenderedPageBreak/>
        <w:t>Vahey et al. (2015)</w:t>
      </w:r>
      <w:r w:rsidR="00466231">
        <w:t>, suggesting that they were not unfamiliar with the original studies.</w:t>
      </w:r>
    </w:p>
    <w:p w14:paraId="7B649AF6" w14:textId="77777777" w:rsidR="00B879CC" w:rsidRDefault="00000000" w:rsidP="00034410">
      <w:pPr>
        <w:pStyle w:val="Heading2"/>
      </w:pPr>
      <w:r w:rsidRPr="00034410">
        <w:t>I</w:t>
      </w:r>
      <w:r w:rsidR="00B95E95" w:rsidRPr="00034410">
        <w:t xml:space="preserve">ndividual effect sizes </w:t>
      </w:r>
    </w:p>
    <w:p w14:paraId="5D99C54E"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6F33176D" w14:textId="77777777" w:rsidR="00A64263" w:rsidRPr="00034410" w:rsidRDefault="00000000" w:rsidP="00034410">
      <w:pPr>
        <w:pStyle w:val="Heading3"/>
      </w:pPr>
      <w:r w:rsidRPr="00034410">
        <w:t>Assessment of incorrect inclusion</w:t>
      </w:r>
      <w:r w:rsidR="007E6922" w:rsidRPr="00034410">
        <w:t>s</w:t>
      </w:r>
    </w:p>
    <w:p w14:paraId="1616A57D"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7DD76DAB" w14:textId="77777777" w:rsidR="00C65769" w:rsidRPr="00034410" w:rsidRDefault="00000000" w:rsidP="00A42C2C">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r w:rsidR="004666D2" w:rsidRPr="00034410">
        <w:t>)</w:t>
      </w:r>
      <w:r w:rsidR="00C41C74" w:rsidRPr="00034410">
        <w:t xml:space="preserve">, and were therefore not suitable to be included in a meta-analysis of the IRAP’s criterion validity. </w:t>
      </w:r>
      <w:r w:rsidR="003E7022">
        <w:t>A large degree of incorrect inclusion error was therefore detected in Vahey et al.’s (2015) effect sizes.</w:t>
      </w:r>
    </w:p>
    <w:p w14:paraId="4C974157" w14:textId="77777777" w:rsidR="00B923AB" w:rsidRPr="00034410" w:rsidRDefault="00000000" w:rsidP="00034410">
      <w:pPr>
        <w:pStyle w:val="Heading3"/>
      </w:pPr>
      <w:r w:rsidRPr="00034410">
        <w:t>Assessment of incorrect exclusions</w:t>
      </w:r>
    </w:p>
    <w:p w14:paraId="61B288FC"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the same 15 articles as Vahey et al. (2015)</w:t>
      </w:r>
      <w:r w:rsidR="001B6334">
        <w:t xml:space="preserve"> </w:t>
      </w:r>
      <w:r w:rsidR="001B6334">
        <w:t>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93E1858"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7E38B7EA"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60F484F1" w14:textId="77777777" w:rsidR="00B923AB" w:rsidRDefault="00000000" w:rsidP="00C96BF9">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1F9CF1D6" w14:textId="77777777" w:rsidR="004112F6" w:rsidRPr="00034410" w:rsidRDefault="00000000" w:rsidP="004112F6">
      <w:pPr>
        <w:pStyle w:val="Heading3"/>
      </w:pPr>
      <w:r w:rsidRPr="00034410">
        <w:t>Assessment of erroneous calculation</w:t>
      </w:r>
    </w:p>
    <w:p w14:paraId="62F661E0"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115C4FD" w14:textId="77777777" w:rsidR="004112F6" w:rsidRDefault="00000000" w:rsidP="004112F6">
      <w:r w:rsidRPr="00034410">
        <w:t xml:space="preserve">A comprehensive assessment of the reproducibility of the conversions of the individual effect sizes to </w:t>
      </w:r>
      <w:r w:rsidRPr="00034410">
        <w:lastRenderedPageBreak/>
        <w:t xml:space="preserve">Pearson's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5B32E5FD" w14:textId="77777777" w:rsidR="009F3291" w:rsidRPr="00CC11E4" w:rsidRDefault="00000000" w:rsidP="009F3291">
      <w:pPr>
        <w:pStyle w:val="Heading2"/>
      </w:pPr>
      <w:r w:rsidRPr="00CC11E4">
        <w:t>Issues in the publication bias analyses</w:t>
      </w:r>
    </w:p>
    <w:p w14:paraId="4AAE1112"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12D1CA8A" w14:textId="77777777"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first, but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1553D24C"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evidence</w:t>
      </w:r>
      <w:r w:rsidR="005B2B9F">
        <w:t xml:space="preserve">, and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4BB76FFF" w14:textId="77777777" w:rsidR="004112F6" w:rsidRPr="00034410" w:rsidRDefault="00000000" w:rsidP="004112F6">
      <w:pPr>
        <w:pStyle w:val="Heading2"/>
      </w:pPr>
      <w:r w:rsidRPr="00034410">
        <w:t>Corrected meta-analysis and power analyses</w:t>
      </w:r>
    </w:p>
    <w:p w14:paraId="1DE1D617" w14:textId="758528AD" w:rsidR="00032ADB" w:rsidRDefault="00000000" w:rsidP="00692B30">
      <w:r w:rsidRPr="00034410">
        <w:t xml:space="preserve">In order to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p>
    <w:p w14:paraId="7BDF00C0"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Forest plot for </w:t>
      </w:r>
      <w:r>
        <w:rPr>
          <w:b/>
          <w:bCs/>
          <w:iCs/>
        </w:rPr>
        <w:t>the new meta-analysis</w:t>
      </w:r>
      <w:r w:rsidRPr="00D0718D">
        <w:rPr>
          <w:b/>
          <w:bCs/>
          <w:iCs/>
        </w:rPr>
        <w:t>.</w:t>
      </w:r>
    </w:p>
    <w:p w14:paraId="352CC222" w14:textId="77777777" w:rsidR="00032ADB" w:rsidRDefault="00000000" w:rsidP="00032ADB">
      <w:pPr>
        <w:ind w:firstLine="0"/>
        <w:jc w:val="center"/>
        <w:rPr>
          <w:b/>
          <w:bCs/>
          <w:iCs/>
        </w:rPr>
      </w:pPr>
      <w:r>
        <w:rPr>
          <w:b/>
          <w:bCs/>
          <w:iCs/>
          <w:noProof/>
        </w:rPr>
        <w:drawing>
          <wp:inline distT="0" distB="0" distL="0" distR="0" wp14:anchorId="6B03D611" wp14:editId="0D384A02">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6"/>
                    <a:stretch>
                      <a:fillRect/>
                    </a:stretch>
                  </pic:blipFill>
                  <pic:spPr>
                    <a:xfrm>
                      <a:off x="0" y="0"/>
                      <a:ext cx="1754671" cy="8552792"/>
                    </a:xfrm>
                    <a:prstGeom prst="rect">
                      <a:avLst/>
                    </a:prstGeom>
                  </pic:spPr>
                </pic:pic>
              </a:graphicData>
            </a:graphic>
          </wp:inline>
        </w:drawing>
      </w:r>
    </w:p>
    <w:p w14:paraId="112059E9" w14:textId="77777777" w:rsidR="00D5488E" w:rsidRDefault="00D5488E" w:rsidP="00D5488E"/>
    <w:p w14:paraId="10767042" w14:textId="77777777" w:rsidR="00692B30" w:rsidRPr="00871704" w:rsidRDefault="00692B30" w:rsidP="00692B30">
      <w:pPr>
        <w:ind w:firstLine="0"/>
      </w:pPr>
      <w:r w:rsidRPr="00871704">
        <w:lastRenderedPageBreak/>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w:t>
      </w:r>
      <w:proofErr w:type="spellStart"/>
      <w:r w:rsidRPr="00871704">
        <w:t>Noortgate</w:t>
      </w:r>
      <w:proofErr w:type="spellEnd"/>
      <w:r w:rsidRPr="00871704">
        <w:t xml:space="preserve"> et al. 2013). </w:t>
      </w:r>
    </w:p>
    <w:p w14:paraId="2ABD4DBF" w14:textId="77777777" w:rsidR="00692B30" w:rsidRPr="00871704" w:rsidRDefault="00692B30" w:rsidP="00692B30">
      <w:r w:rsidRPr="00871704">
        <w:t xml:space="preserve">A multi-level random effect meta-analysis with random intercepts for study was therefore employed. I employed the </w:t>
      </w:r>
      <w:proofErr w:type="spellStart"/>
      <w:r w:rsidRPr="00871704">
        <w:t>metafor</w:t>
      </w:r>
      <w:proofErr w:type="spellEnd"/>
      <w:r w:rsidRPr="00871704">
        <w:t xml:space="preserve">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3B5C73F3" w14:textId="77777777" w:rsidR="00692B30" w:rsidRPr="00871704" w:rsidRDefault="00692B30" w:rsidP="00692B30">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64D909C4" w14:textId="77777777" w:rsidR="00692B30" w:rsidRPr="00871704" w:rsidRDefault="00692B30" w:rsidP="00692B30">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17A2F792" w14:textId="77777777" w:rsidR="00486207" w:rsidRPr="00871704" w:rsidRDefault="00486207" w:rsidP="00486207">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21260508" w14:textId="1B61F28E" w:rsidR="00B95E95" w:rsidRPr="00871704" w:rsidRDefault="00000000" w:rsidP="00034410">
      <w:pPr>
        <w:pStyle w:val="Heading1"/>
      </w:pPr>
      <w:r w:rsidRPr="00871704">
        <w:t>Discussion</w:t>
      </w:r>
    </w:p>
    <w:p w14:paraId="4A9BBF06" w14:textId="77777777" w:rsidR="00F31469" w:rsidRPr="00871704" w:rsidRDefault="00000000" w:rsidP="00034410">
      <w:r w:rsidRPr="00871704">
        <w:t xml:space="preserve">The results </w:t>
      </w:r>
      <w:r w:rsidR="00ED4354" w:rsidRPr="00871704">
        <w:t xml:space="preserve">of Vahey et al. (2015) </w:t>
      </w:r>
      <w:r w:rsidRPr="00871704">
        <w:t>could not be verified at multiple different stages in the 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any effects that met Vahey et al.’s (2015) inclusion criteria were not included</w:t>
      </w:r>
      <w:r w:rsidR="00E93CCC" w:rsidRPr="00871704">
        <w:t>;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are 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53FC2F15"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 xml:space="preserve">(Gøtzsche et al., 2007; </w:t>
      </w:r>
      <w:r w:rsidRPr="00871704">
        <w:t>Kadlec et al., 2023; Lakens et al., 2016, 2017; Maassen et al., 2020)</w:t>
      </w:r>
      <w:r w:rsidRPr="00871704">
        <w:fldChar w:fldCharType="end"/>
      </w:r>
      <w:r w:rsidRPr="00871704">
        <w:t xml:space="preserve">. </w:t>
      </w:r>
    </w:p>
    <w:p w14:paraId="0CA713AC" w14:textId="0A5D2A7C"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w:t>
      </w:r>
      <w:proofErr w:type="gramStart"/>
      <w:r w:rsidR="008926B3" w:rsidRPr="00871704">
        <w:t>in order to</w:t>
      </w:r>
      <w:proofErr w:type="gramEnd"/>
      <w:r w:rsidR="008926B3" w:rsidRPr="00871704">
        <w:t xml:space="preserve">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proofErr w:type="spellStart"/>
      <w:r w:rsidRPr="00871704">
        <w:t>favorably</w:t>
      </w:r>
      <w:proofErr w:type="spellEnd"/>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00AA5533"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w:t>
      </w:r>
      <w:proofErr w:type="gramStart"/>
      <w:r w:rsidR="00F055F7" w:rsidRPr="00871704">
        <w:t>power;</w:t>
      </w:r>
      <w:proofErr w:type="gramEnd"/>
      <w:r w:rsidR="00F055F7" w:rsidRPr="00871704">
        <w:t xml:space="preserve">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2193435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w:t>
      </w:r>
      <w:r w:rsidR="00EC2421" w:rsidRPr="00034410">
        <w:lastRenderedPageBreak/>
        <w:t>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298B5B31" w14:textId="77777777" w:rsidR="00A261A9" w:rsidRPr="00034410" w:rsidRDefault="00000000" w:rsidP="00034410">
      <w:pPr>
        <w:pStyle w:val="Heading2"/>
      </w:pPr>
      <w:r w:rsidRPr="00034410">
        <w:t>Limitations</w:t>
      </w:r>
    </w:p>
    <w:p w14:paraId="62362C12"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534598C0" w14:textId="77777777" w:rsidR="00B06117" w:rsidRDefault="00000000" w:rsidP="00B06117">
      <w:pPr>
        <w:pStyle w:val="Heading2"/>
      </w:pPr>
      <w:r>
        <w:t>Future research o</w:t>
      </w:r>
      <w:r w:rsidR="008157CB">
        <w:t>n</w:t>
      </w:r>
      <w:r>
        <w:t xml:space="preserve"> error detection in meta-analyses</w:t>
      </w:r>
    </w:p>
    <w:p w14:paraId="3001D6B1" w14:textId="77777777" w:rsidR="00B06117" w:rsidRDefault="00000000" w:rsidP="00B06117">
      <w:r>
        <w:t xml:space="preserve">The recommendations of much of the previous meta-science research on errors in meta-analyses have been recommendations to the authors of meta-analyses themselves on how to prevent errors </w:t>
      </w:r>
      <w:r>
        <w:fldChar w:fldCharType="begin"/>
      </w:r>
      <w:r>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B06117">
        <w:t>(e.g., Lakens et al., 2016; López-Nicolás et al., 2022)</w:t>
      </w:r>
      <w:r>
        <w:fldChar w:fldCharType="end"/>
      </w:r>
      <w:r>
        <w:t xml:space="preserve">. Relatively fewer recommendations, or indeed general strategies, have been made for researchers engaged in error detection. Kadlec et al. </w:t>
      </w:r>
      <w:r>
        <w:fldChar w:fldCharType="begin"/>
      </w:r>
      <w:r>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fldChar w:fldCharType="separate"/>
      </w:r>
      <w:r>
        <w:rPr>
          <w:noProof/>
        </w:rPr>
        <w:t>(2023)</w:t>
      </w:r>
      <w:r>
        <w:fldChar w:fldCharType="end"/>
      </w:r>
      <w:r>
        <w:t xml:space="preserve"> provide an excellent example of this, with both descriptions of their general error detection strategies and concrete recommendations such as regarding Standardized Mean Difference effect sizes (e.g., Cohen’s </w:t>
      </w:r>
      <w:r w:rsidRPr="00B06117">
        <w:rPr>
          <w:i/>
          <w:iCs/>
        </w:rPr>
        <w:t>d</w:t>
      </w:r>
      <w:r>
        <w:t xml:space="preserve">, Hedges’ </w:t>
      </w:r>
      <w:r w:rsidRPr="00B06117">
        <w:rPr>
          <w:i/>
          <w:iCs/>
        </w:rPr>
        <w:t>g</w:t>
      </w:r>
      <w:r>
        <w:t xml:space="preserve">) that are larger than 3 with great suspicion. </w:t>
      </w:r>
      <w:r w:rsidR="00DF1E77">
        <w:t xml:space="preserve">The current research offers some additional </w:t>
      </w:r>
      <w:r w:rsidR="00E62DC2">
        <w:t xml:space="preserve">suggestions and </w:t>
      </w:r>
      <w:r w:rsidR="00DF1E77">
        <w:t>guiding principles for error detection in meta-analyses:</w:t>
      </w:r>
    </w:p>
    <w:p w14:paraId="51960F14" w14:textId="77777777" w:rsidR="00DF1E77" w:rsidRDefault="00000000" w:rsidP="0061553F">
      <w:pPr>
        <w:pStyle w:val="ListParagraph"/>
        <w:numPr>
          <w:ilvl w:val="0"/>
          <w:numId w:val="5"/>
        </w:numPr>
        <w:ind w:left="360" w:hanging="270"/>
      </w:pPr>
      <w:r>
        <w:t>Check whether reported intervals are symmetrical around the point estimate</w:t>
      </w:r>
      <w:r w:rsidR="00D30629">
        <w:t>, including both intervals around estimates from original studies and meta-analysis results</w:t>
      </w:r>
      <w:r>
        <w:t xml:space="preserve">. </w:t>
      </w:r>
      <w:r w:rsidR="00D30629">
        <w:t>The a</w:t>
      </w:r>
      <w:r w:rsidR="006B7517">
        <w:t>symmetr</w:t>
      </w:r>
      <w:r w:rsidR="00D30629">
        <w:t>y of</w:t>
      </w:r>
      <w:r w:rsidR="006B7517">
        <w:t xml:space="preserve"> intervals</w:t>
      </w:r>
      <w:r w:rsidR="00D30629">
        <w:t xml:space="preserve"> </w:t>
      </w:r>
      <w:r w:rsidR="006B7517">
        <w:t>can provide a clue that something may be amiss</w:t>
      </w:r>
      <w:r w:rsidR="00D30629">
        <w:t xml:space="preserve">, depending on their compatibility with the reported model and transformations. </w:t>
      </w:r>
    </w:p>
    <w:p w14:paraId="04CD56C0" w14:textId="77777777" w:rsidR="00C3514C" w:rsidRDefault="00000000" w:rsidP="0061553F">
      <w:pPr>
        <w:pStyle w:val="ListParagraph"/>
        <w:numPr>
          <w:ilvl w:val="0"/>
          <w:numId w:val="5"/>
        </w:numPr>
        <w:ind w:left="360" w:hanging="270"/>
      </w:pPr>
      <w:r>
        <w:t xml:space="preserve">Some plots repeat what should be the same information. </w:t>
      </w:r>
      <w:r w:rsidR="00BF539C">
        <w:t xml:space="preserve">This provides an error-checking </w:t>
      </w:r>
      <w:r w:rsidR="00BF539C">
        <w:t xml:space="preserve">vector to validate that data which should be identical is indeed so. </w:t>
      </w:r>
      <w:r>
        <w:t xml:space="preserve">For example, forest plots often present effect sizes both graphically and numerically, and forest plots and funnel plots present both effect sizes and (repressions of) their precision (i.e., Confidence Intervals vs. </w:t>
      </w:r>
      <w:r w:rsidR="00A719E9">
        <w:t xml:space="preserve">Standard Errors, which can be calculated from one another: SE = 95% CI width / </w:t>
      </w:r>
      <w:r w:rsidR="00FB2179">
        <w:t>[</w:t>
      </w:r>
      <w:r w:rsidR="00A719E9">
        <w:t xml:space="preserve">1.96 </w:t>
      </w:r>
      <m:oMath>
        <m:r>
          <w:rPr>
            <w:rFonts w:ascii="Cambria Math" w:hAnsi="Cambria Math"/>
          </w:rPr>
          <m:t>×</m:t>
        </m:r>
      </m:oMath>
      <w:r w:rsidR="00A719E9">
        <w:t xml:space="preserve"> 2</w:t>
      </w:r>
      <w:r w:rsidR="00FB2179">
        <w:t>])</w:t>
      </w:r>
      <w:r>
        <w:t xml:space="preserve">. </w:t>
      </w:r>
    </w:p>
    <w:p w14:paraId="5485A71D" w14:textId="77777777" w:rsidR="006B7517" w:rsidRDefault="00000000" w:rsidP="0061553F">
      <w:pPr>
        <w:pStyle w:val="ListParagraph"/>
        <w:numPr>
          <w:ilvl w:val="0"/>
          <w:numId w:val="5"/>
        </w:numPr>
        <w:ind w:left="360" w:hanging="270"/>
      </w:pPr>
      <w:r>
        <w:t xml:space="preserve">Data can be extracted from plots </w:t>
      </w:r>
      <w:r w:rsidR="00C3514C">
        <w:t xml:space="preserve">for error checking </w:t>
      </w:r>
      <w:r>
        <w:t xml:space="preserve">using free and Open Source tools such as WebPlotDigitizer </w:t>
      </w:r>
      <w:r>
        <w:fldChar w:fldCharType="begin"/>
      </w:r>
      <w:r>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fldChar w:fldCharType="separate"/>
      </w:r>
      <w:r>
        <w:rPr>
          <w:noProof/>
        </w:rPr>
        <w:t>(Marin et al., 2017)</w:t>
      </w:r>
      <w:r>
        <w:fldChar w:fldCharType="end"/>
      </w:r>
      <w:r w:rsidR="00C3514C">
        <w:t>.</w:t>
      </w:r>
    </w:p>
    <w:p w14:paraId="2668F98D" w14:textId="77777777" w:rsidR="00C3514C" w:rsidRDefault="00000000" w:rsidP="0061553F">
      <w:pPr>
        <w:pStyle w:val="ListParagraph"/>
        <w:numPr>
          <w:ilvl w:val="0"/>
          <w:numId w:val="5"/>
        </w:numPr>
        <w:ind w:left="360" w:hanging="270"/>
      </w:pPr>
      <w:r>
        <w:t>S</w:t>
      </w:r>
      <w:r w:rsidR="00D333C6">
        <w:t xml:space="preserve">ystemic checking of effect size extractions and conversion </w:t>
      </w:r>
      <w:r>
        <w:t xml:space="preserve">can be </w:t>
      </w:r>
      <w:r w:rsidR="00D333C6">
        <w:t xml:space="preserve">time-consuming. However, initial </w:t>
      </w:r>
      <w:r>
        <w:t xml:space="preserve">spot checks can easily be performed on the </w:t>
      </w:r>
      <w:r w:rsidR="00D333C6">
        <w:t>most extreme effect sizes, which are most likely to have involved an extraction or conversion error (e.g., confusing S</w:t>
      </w:r>
      <w:r w:rsidR="006D4545">
        <w:t>E</w:t>
      </w:r>
      <w:r w:rsidR="00D333C6">
        <w:t xml:space="preserve"> with S</w:t>
      </w:r>
      <w:r w:rsidR="006D4545">
        <w:t>D</w:t>
      </w:r>
      <w:r w:rsidR="00D333C6">
        <w:t>: see Kadlec et al., 2023).</w:t>
      </w:r>
    </w:p>
    <w:p w14:paraId="243A4CEC" w14:textId="77777777" w:rsidR="00262FB5" w:rsidRDefault="00000000" w:rsidP="0061553F">
      <w:pPr>
        <w:pStyle w:val="ListParagraph"/>
        <w:numPr>
          <w:ilvl w:val="0"/>
          <w:numId w:val="5"/>
        </w:numPr>
        <w:ind w:left="360" w:hanging="270"/>
      </w:pPr>
      <w:r>
        <w:t>Spot checks on the accurate application of the inclusion criteria can also be performed. This can include checks for incorrect inclusions and incorrect omissions.</w:t>
      </w:r>
    </w:p>
    <w:p w14:paraId="6BA5C423" w14:textId="77777777" w:rsidR="008969FE" w:rsidRDefault="00000000" w:rsidP="0061553F">
      <w:pPr>
        <w:pStyle w:val="ListParagraph"/>
        <w:numPr>
          <w:ilvl w:val="0"/>
          <w:numId w:val="5"/>
        </w:numPr>
        <w:ind w:left="360" w:hanging="270"/>
      </w:pPr>
      <w:r>
        <w:t xml:space="preserve">The normative plausibility and mathematical possibility of correlations can be assessed by deattenuating them for the reliability of the measures that produced them. This can be done using empirical estimates for those measures or plausible values </w:t>
      </w:r>
      <w:r>
        <w:fldChar w:fldCharType="begin"/>
      </w:r>
      <w:r>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fldChar w:fldCharType="separate"/>
      </w:r>
      <w:r>
        <w:rPr>
          <w:noProof/>
        </w:rPr>
        <w:t>(which can themselves be informed by data from the literature: Hussey et al., 2023)</w:t>
      </w:r>
      <w:r>
        <w:fldChar w:fldCharType="end"/>
      </w:r>
      <w:r>
        <w:t>.</w:t>
      </w:r>
      <w:r w:rsidR="00BE23C9">
        <w:t xml:space="preserve"> Correlations larger than the reliability of the component measures are implausible. </w:t>
      </w:r>
    </w:p>
    <w:p w14:paraId="51625AB7" w14:textId="77777777" w:rsidR="00AB5EE3" w:rsidRDefault="00000000" w:rsidP="0061553F">
      <w:pPr>
        <w:pStyle w:val="ListParagraph"/>
        <w:numPr>
          <w:ilvl w:val="0"/>
          <w:numId w:val="5"/>
        </w:numPr>
        <w:ind w:left="360" w:hanging="270"/>
      </w:pPr>
      <w:r>
        <w:t xml:space="preserve">The normative plausibility of effect sizes, both original and meta-analytic, can also be compared to large-scale analyses of this in the literature </w:t>
      </w:r>
      <w:r>
        <w:fldChar w:fldCharType="begin"/>
      </w:r>
      <w:r>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Pr>
          <w:rFonts w:ascii="Cambria Math" w:hAnsi="Cambria Math" w:cs="Cambria Math"/>
        </w:rPr>
        <w:instrText>−</w:instrText>
      </w:r>
      <w:r>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(e.g., Hemphill, 2003; Plessen et al., 2023; Richard et al., 2003)</w:t>
      </w:r>
      <w:r>
        <w:fldChar w:fldCharType="end"/>
      </w:r>
      <w:r w:rsidR="00505E66">
        <w:t>.</w:t>
      </w:r>
    </w:p>
    <w:p w14:paraId="453EFCD1" w14:textId="77777777" w:rsidR="00B77233" w:rsidRPr="00B06117" w:rsidRDefault="00000000" w:rsidP="0061553F">
      <w:pPr>
        <w:pStyle w:val="ListParagraph"/>
        <w:numPr>
          <w:ilvl w:val="0"/>
          <w:numId w:val="5"/>
        </w:numPr>
        <w:ind w:left="360" w:hanging="270"/>
      </w:pPr>
      <w:r>
        <w:t xml:space="preserve">Bias assessments can also be scrutinized. </w:t>
      </w:r>
      <w:r w:rsidR="00791707">
        <w:t>This can include an assessment of o</w:t>
      </w:r>
      <w:r>
        <w:t>ver-claiming via incorrect interpretations of non-significant tests for bias. Additionally, it can be useful to assess the overlap in authorship between the meta-analysis and the original studies</w:t>
      </w:r>
      <w:r w:rsidR="00210D84">
        <w:t xml:space="preserve">.  </w:t>
      </w:r>
    </w:p>
    <w:p w14:paraId="1C75ABB4" w14:textId="77777777" w:rsidR="00C9290D" w:rsidRPr="00034410" w:rsidRDefault="00000000" w:rsidP="00034410">
      <w:pPr>
        <w:pStyle w:val="Heading2"/>
      </w:pPr>
      <w:r w:rsidRPr="00034410">
        <w:t>Conclusions</w:t>
      </w:r>
    </w:p>
    <w:p w14:paraId="6948E0B2"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3A80EE90" w14:textId="77777777" w:rsidR="001B6961" w:rsidRPr="001B6961" w:rsidRDefault="001B6961" w:rsidP="001B6961">
      <w:pPr>
        <w:pStyle w:val="Heading1"/>
      </w:pPr>
      <w:r w:rsidRPr="001B6961">
        <w:t>Conflict of Interest</w:t>
      </w:r>
    </w:p>
    <w:p w14:paraId="7F4CDF34" w14:textId="7259005C" w:rsidR="001B6961" w:rsidRDefault="001B6961"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lead by third parties of which we were both co-authors were </w:t>
      </w:r>
      <w:r w:rsidRPr="001B6961">
        <w:lastRenderedPageBreak/>
        <w:t>published up to 2018. The author declares no other conflict of interest associated with the publication of this manuscript.</w:t>
      </w:r>
    </w:p>
    <w:p w14:paraId="43405924" w14:textId="61C5197C" w:rsidR="008A13E3" w:rsidRDefault="008A13E3" w:rsidP="008A13E3">
      <w:pPr>
        <w:pStyle w:val="Heading1"/>
      </w:pPr>
      <w:r>
        <w:t>Acknowledgements</w:t>
      </w:r>
    </w:p>
    <w:p w14:paraId="305197FD" w14:textId="15FF41A0" w:rsidR="00871704" w:rsidRDefault="008A13E3" w:rsidP="009A457F">
      <w:r>
        <w:t xml:space="preserve">I first presented elements of these analyses at the Association for Contextual </w:t>
      </w:r>
      <w:proofErr w:type="spellStart"/>
      <w:r>
        <w:t>Behavioral</w:t>
      </w:r>
      <w:proofErr w:type="spellEnd"/>
      <w:r>
        <w:t xml:space="preserve">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2BE0F15F" w14:textId="249CD985" w:rsidR="00167923" w:rsidRDefault="00000000" w:rsidP="00954504">
      <w:pPr>
        <w:pStyle w:val="Heading1"/>
      </w:pPr>
      <w:r w:rsidRPr="00034410">
        <w:t>References</w:t>
      </w:r>
    </w:p>
    <w:p w14:paraId="0240B4FA" w14:textId="77777777" w:rsidR="00486207" w:rsidRPr="00486207" w:rsidRDefault="00000000" w:rsidP="00486207">
      <w:pPr>
        <w:pStyle w:val="Bibliography"/>
      </w:pPr>
      <w:r>
        <w:fldChar w:fldCharType="begin"/>
      </w:r>
      <w:r>
        <w:instrText xml:space="preserve"> ADDIN ZOTERO_BIBL {"uncited":[],"omitted":[],"custom":[]} CSL_BIBLIOGRAPHY </w:instrText>
      </w:r>
      <w:r>
        <w:fldChar w:fldCharType="separate"/>
      </w:r>
      <w:r w:rsidR="00486207" w:rsidRPr="00486207">
        <w:t xml:space="preserve">Aczel, B., Palfi, B., Szollosi, A., Kovacs, M., Szaszi, B., Szecsi, P., Zrubka, M., Gronau, Q. F., van den Bergh, D., &amp; Wagenmakers, E.-J. (2018). Quantifying Support for the Null Hypothesis in Psychology: An Empirical Investigation. </w:t>
      </w:r>
      <w:r w:rsidR="00486207" w:rsidRPr="00486207">
        <w:rPr>
          <w:i/>
          <w:iCs/>
        </w:rPr>
        <w:t>Advances in Methods and Practices in Psychological Science</w:t>
      </w:r>
      <w:r w:rsidR="00486207" w:rsidRPr="00486207">
        <w:t xml:space="preserve">, </w:t>
      </w:r>
      <w:r w:rsidR="00486207" w:rsidRPr="00486207">
        <w:rPr>
          <w:i/>
          <w:iCs/>
        </w:rPr>
        <w:t>1</w:t>
      </w:r>
      <w:r w:rsidR="00486207" w:rsidRPr="00486207">
        <w:t>(3), 357–366. https://doi.org/10.1177/2515245918773742</w:t>
      </w:r>
    </w:p>
    <w:p w14:paraId="076B89CE" w14:textId="77777777" w:rsidR="00486207" w:rsidRPr="00486207" w:rsidRDefault="00486207" w:rsidP="00486207">
      <w:pPr>
        <w:pStyle w:val="Bibliography"/>
      </w:pPr>
      <w:r w:rsidRPr="00486207">
        <w:t xml:space="preserve">Allen, M. J., &amp; Yen, W. M. (2002). </w:t>
      </w:r>
      <w:r w:rsidRPr="00486207">
        <w:rPr>
          <w:i/>
          <w:iCs/>
        </w:rPr>
        <w:t>Introduction to measurement theory</w:t>
      </w:r>
      <w:r w:rsidRPr="00486207">
        <w:t>. Waveland Press.</w:t>
      </w:r>
    </w:p>
    <w:p w14:paraId="4392530B" w14:textId="77777777" w:rsidR="00486207" w:rsidRPr="00486207" w:rsidRDefault="00486207" w:rsidP="00486207">
      <w:pPr>
        <w:pStyle w:val="Bibliography"/>
      </w:pPr>
      <w:r w:rsidRPr="00486207">
        <w:t xml:space="preserve">American Psychological Association. (2024). </w:t>
      </w:r>
      <w:r w:rsidRPr="00486207">
        <w:rPr>
          <w:i/>
          <w:iCs/>
        </w:rPr>
        <w:t>APA Dictionary of Psychology</w:t>
      </w:r>
      <w:r w:rsidRPr="00486207">
        <w:t>. https://dictionary.apa.org/criterion-validity</w:t>
      </w:r>
    </w:p>
    <w:p w14:paraId="5F88A819" w14:textId="77777777" w:rsidR="00486207" w:rsidRPr="00486207" w:rsidRDefault="00486207" w:rsidP="00486207">
      <w:pPr>
        <w:pStyle w:val="Bibliography"/>
      </w:pPr>
      <w:r w:rsidRPr="00486207">
        <w:t xml:space="preserve">Barnes-Holmes, D., Barnes-Holmes, Y., Stewart, I., &amp; Boles, S. (2010). A sketch of the Implicit Relational Assessment Procedure (IRAP) and the Relational Elaboration and Coherence (REC) model. </w:t>
      </w:r>
      <w:r w:rsidRPr="00486207">
        <w:rPr>
          <w:i/>
          <w:iCs/>
        </w:rPr>
        <w:t>The Psychological Record</w:t>
      </w:r>
      <w:r w:rsidRPr="00486207">
        <w:t xml:space="preserve">, </w:t>
      </w:r>
      <w:r w:rsidRPr="00486207">
        <w:rPr>
          <w:i/>
          <w:iCs/>
        </w:rPr>
        <w:t>60</w:t>
      </w:r>
      <w:r w:rsidRPr="00486207">
        <w:t>(3), 527–542. https://doi.org/10.1007/BF03395726</w:t>
      </w:r>
    </w:p>
    <w:p w14:paraId="18A5B335" w14:textId="77777777" w:rsidR="00486207" w:rsidRPr="00486207" w:rsidRDefault="00486207" w:rsidP="00486207">
      <w:pPr>
        <w:pStyle w:val="Bibliography"/>
      </w:pPr>
      <w:r w:rsidRPr="00486207">
        <w:t xml:space="preserve">Barnes-Holmes, D., &amp; Harte, C. (2022a). The IRAP as a Measure of Implicit Cognition: A Case of Frankenstein’s Monster. </w:t>
      </w:r>
      <w:r w:rsidRPr="00486207">
        <w:rPr>
          <w:i/>
          <w:iCs/>
        </w:rPr>
        <w:t>Perspectives on Behavior Science</w:t>
      </w:r>
      <w:r w:rsidRPr="00486207">
        <w:t>. https://doi.org/10.1007/s40614-022-00352-z</w:t>
      </w:r>
    </w:p>
    <w:p w14:paraId="27D8AFDA" w14:textId="77777777" w:rsidR="00486207" w:rsidRPr="00486207" w:rsidRDefault="00486207" w:rsidP="00486207">
      <w:pPr>
        <w:pStyle w:val="Bibliography"/>
      </w:pPr>
      <w:r w:rsidRPr="00486207">
        <w:t xml:space="preserve">Barnes-Holmes, D., &amp; Harte, C. (2022b). Relational frame theory 20 years on: The Odysseus voyage and beyond. In </w:t>
      </w:r>
      <w:r w:rsidRPr="00486207">
        <w:rPr>
          <w:i/>
          <w:iCs/>
        </w:rPr>
        <w:t>Journal of the Experimental Analysis of Behavior</w:t>
      </w:r>
      <w:r w:rsidRPr="00486207">
        <w:t xml:space="preserve"> (Vol. 117, Issue 2, pp. 240–266). WILEY. https://doi.org/10.1002/jeab.733</w:t>
      </w:r>
    </w:p>
    <w:p w14:paraId="3EDF0F7E" w14:textId="77777777" w:rsidR="00486207" w:rsidRPr="00486207" w:rsidRDefault="00486207" w:rsidP="00486207">
      <w:pPr>
        <w:pStyle w:val="Bibliography"/>
      </w:pPr>
      <w:r w:rsidRPr="00486207">
        <w:t xml:space="preserve">Bast, D. F., &amp; Barnes-Holmes, D. (2015). Developing the Implicit Relational Assessment Procedure (IRAP) as a Measure of Self-Forgiveness Related to Failing and Succeeding Behaviors. </w:t>
      </w:r>
      <w:r w:rsidRPr="00486207">
        <w:rPr>
          <w:i/>
          <w:iCs/>
        </w:rPr>
        <w:t>The Psychological Record</w:t>
      </w:r>
      <w:r w:rsidRPr="00486207">
        <w:t xml:space="preserve">, </w:t>
      </w:r>
      <w:r w:rsidRPr="00486207">
        <w:rPr>
          <w:i/>
          <w:iCs/>
        </w:rPr>
        <w:t>65</w:t>
      </w:r>
      <w:r w:rsidRPr="00486207">
        <w:t>(1), 189–201. https://doi.org/10.1007/s40732-014-0100-5</w:t>
      </w:r>
    </w:p>
    <w:p w14:paraId="0E6231B0" w14:textId="77777777" w:rsidR="00486207" w:rsidRPr="00486207" w:rsidRDefault="00486207" w:rsidP="00486207">
      <w:pPr>
        <w:pStyle w:val="Bibliography"/>
      </w:pPr>
      <w:r w:rsidRPr="00486207">
        <w:t xml:space="preserve">Champely, S. (2016). </w:t>
      </w:r>
      <w:r w:rsidRPr="00486207">
        <w:rPr>
          <w:i/>
          <w:iCs/>
        </w:rPr>
        <w:t>pwr: Basic Functions for Power Analysis</w:t>
      </w:r>
      <w:r w:rsidRPr="00486207">
        <w:t xml:space="preserve"> [Computer software]. https://CRAN.R-project.org/package=pwr</w:t>
      </w:r>
    </w:p>
    <w:p w14:paraId="6818E967" w14:textId="77777777" w:rsidR="00486207" w:rsidRPr="00486207" w:rsidRDefault="00486207" w:rsidP="00486207">
      <w:pPr>
        <w:pStyle w:val="Bibliography"/>
      </w:pPr>
      <w:r w:rsidRPr="00486207">
        <w:t xml:space="preserve">Corneille, O., &amp; Hütter, M. (2020). Implicit? What Do You Mean? A Comprehensive Review of the Delusive Implicitness Construct in Attitude Research. </w:t>
      </w:r>
      <w:r w:rsidRPr="00486207">
        <w:rPr>
          <w:i/>
          <w:iCs/>
        </w:rPr>
        <w:t>Personality and Social Psychology Review</w:t>
      </w:r>
      <w:r w:rsidRPr="00486207">
        <w:t>, 1088868320911325. https://doi.org/10.1177/1088868320911325</w:t>
      </w:r>
    </w:p>
    <w:p w14:paraId="1EBF04AA" w14:textId="77777777" w:rsidR="00486207" w:rsidRPr="00486207" w:rsidRDefault="00486207" w:rsidP="00486207">
      <w:pPr>
        <w:pStyle w:val="Bibliography"/>
      </w:pPr>
      <w:r w:rsidRPr="00486207">
        <w:t xml:space="preserve">Egger, M., Smith, G. D., Schneider, M., &amp; Minder, C. (1997). </w:t>
      </w:r>
      <w:r w:rsidRPr="00486207">
        <w:rPr>
          <w:i/>
          <w:iCs/>
        </w:rPr>
        <w:t xml:space="preserve">Bias in meta-analysis detected by a simple, </w:t>
      </w:r>
      <w:r w:rsidRPr="00486207">
        <w:rPr>
          <w:i/>
          <w:iCs/>
        </w:rPr>
        <w:t>graphical test</w:t>
      </w:r>
      <w:r w:rsidRPr="00486207">
        <w:t>. https://doi.org/10.1136/bmj.315.7109.629</w:t>
      </w:r>
    </w:p>
    <w:p w14:paraId="2122A4FB" w14:textId="77777777" w:rsidR="00486207" w:rsidRPr="00486207" w:rsidRDefault="00486207" w:rsidP="00486207">
      <w:pPr>
        <w:pStyle w:val="Bibliography"/>
      </w:pPr>
      <w:r w:rsidRPr="00486207">
        <w:t xml:space="preserve">Farrell, L., &amp; McHugh, L. (2017). Examining gender-STEM bias among STEM and non-STEM students using the Implicit Relational Assessment Procedure (IRAP). </w:t>
      </w:r>
      <w:r w:rsidRPr="00486207">
        <w:rPr>
          <w:i/>
          <w:iCs/>
        </w:rPr>
        <w:t>Journal of Contextual Behavioral Science</w:t>
      </w:r>
      <w:r w:rsidRPr="00486207">
        <w:t xml:space="preserve">, </w:t>
      </w:r>
      <w:r w:rsidRPr="00486207">
        <w:rPr>
          <w:i/>
          <w:iCs/>
        </w:rPr>
        <w:t>6</w:t>
      </w:r>
      <w:r w:rsidRPr="00486207">
        <w:t>(1), 80–90. https://doi.org/10.1016/j.jcbs.2017.02.001</w:t>
      </w:r>
    </w:p>
    <w:p w14:paraId="49200601" w14:textId="77777777" w:rsidR="00486207" w:rsidRPr="00486207" w:rsidRDefault="00486207" w:rsidP="00486207">
      <w:pPr>
        <w:pStyle w:val="Bibliography"/>
      </w:pPr>
      <w:r w:rsidRPr="00486207">
        <w:t xml:space="preserve">Field, A. P., &amp; Gillett, R. (2010). How to do a meta-analysis. </w:t>
      </w:r>
      <w:r w:rsidRPr="00486207">
        <w:rPr>
          <w:i/>
          <w:iCs/>
        </w:rPr>
        <w:t>British Journal of Mathematical and Statistical Psychology</w:t>
      </w:r>
      <w:r w:rsidRPr="00486207">
        <w:t xml:space="preserve">, </w:t>
      </w:r>
      <w:r w:rsidRPr="00486207">
        <w:rPr>
          <w:i/>
          <w:iCs/>
        </w:rPr>
        <w:t>63</w:t>
      </w:r>
      <w:r w:rsidRPr="00486207">
        <w:t>(3), 665–694. https://doi.org/10.1348/000711010X502733</w:t>
      </w:r>
    </w:p>
    <w:p w14:paraId="6C931F84" w14:textId="77777777" w:rsidR="00486207" w:rsidRPr="00486207" w:rsidRDefault="00486207" w:rsidP="00486207">
      <w:pPr>
        <w:pStyle w:val="Bibliography"/>
      </w:pPr>
      <w:r w:rsidRPr="00486207">
        <w:t xml:space="preserve">Golijani-Moghaddam, N., Hart, A., &amp; Dawson, D. L. (2013). The Implicit Relational Assessment Procedure: Emerging reliability and validity data. </w:t>
      </w:r>
      <w:r w:rsidRPr="00486207">
        <w:rPr>
          <w:i/>
          <w:iCs/>
        </w:rPr>
        <w:t>Journal of Contextual Behavioral Science</w:t>
      </w:r>
      <w:r w:rsidRPr="00486207">
        <w:t xml:space="preserve">, </w:t>
      </w:r>
      <w:r w:rsidRPr="00486207">
        <w:rPr>
          <w:i/>
          <w:iCs/>
        </w:rPr>
        <w:t>2</w:t>
      </w:r>
      <w:r w:rsidRPr="00486207">
        <w:t>(3–4), 105–119. https://doi.org/10.1016/j.jcbs.2013.05.002</w:t>
      </w:r>
    </w:p>
    <w:p w14:paraId="632CEBE9" w14:textId="77777777" w:rsidR="00486207" w:rsidRPr="00486207" w:rsidRDefault="00486207" w:rsidP="00486207">
      <w:pPr>
        <w:pStyle w:val="Bibliography"/>
      </w:pPr>
      <w:r w:rsidRPr="00486207">
        <w:t xml:space="preserve">Gøtzsche, P. C., Hróbjartsson, A., Marić, K., &amp; Tendal, B. (2007). Data Extraction Errors in Meta-analyses That Use Standardized Mean Differences. </w:t>
      </w:r>
      <w:r w:rsidRPr="00486207">
        <w:rPr>
          <w:i/>
          <w:iCs/>
        </w:rPr>
        <w:t>JAMA</w:t>
      </w:r>
      <w:r w:rsidRPr="00486207">
        <w:t xml:space="preserve">, </w:t>
      </w:r>
      <w:r w:rsidRPr="00486207">
        <w:rPr>
          <w:i/>
          <w:iCs/>
        </w:rPr>
        <w:t>298</w:t>
      </w:r>
      <w:r w:rsidRPr="00486207">
        <w:t>(4), 430–437. https://doi.org/10.1001/jama.298.4.430</w:t>
      </w:r>
    </w:p>
    <w:p w14:paraId="4D632522" w14:textId="77777777" w:rsidR="00486207" w:rsidRPr="00486207" w:rsidRDefault="00486207" w:rsidP="00486207">
      <w:pPr>
        <w:pStyle w:val="Bibliography"/>
      </w:pPr>
      <w:r w:rsidRPr="00486207">
        <w:t xml:space="preserve">Greenland, S., Senn, S. J., Rothman, K. J., Carlin, J. B., Poole, C., Goodman, S. N., &amp; Altman, D. G. (2016). Statistical tests, P values, confidence intervals, and power: A guide to misinterpretations. </w:t>
      </w:r>
      <w:r w:rsidRPr="00486207">
        <w:rPr>
          <w:i/>
          <w:iCs/>
        </w:rPr>
        <w:t>European Journal of Epidemiology</w:t>
      </w:r>
      <w:r w:rsidRPr="00486207">
        <w:t xml:space="preserve">, </w:t>
      </w:r>
      <w:r w:rsidRPr="00486207">
        <w:rPr>
          <w:i/>
          <w:iCs/>
        </w:rPr>
        <w:t>31</w:t>
      </w:r>
      <w:r w:rsidRPr="00486207">
        <w:t>(4), 337–350. https://doi.org/10.1007/s10654-016-0149-3</w:t>
      </w:r>
    </w:p>
    <w:p w14:paraId="6F945ADF" w14:textId="77777777" w:rsidR="00486207" w:rsidRPr="00486207" w:rsidRDefault="00486207" w:rsidP="00486207">
      <w:pPr>
        <w:pStyle w:val="Bibliography"/>
      </w:pPr>
      <w:r w:rsidRPr="00486207">
        <w:t xml:space="preserve">Greenwald, A. G., &amp; Lai, C. K. (2020). Implicit Social Cognition. </w:t>
      </w:r>
      <w:r w:rsidRPr="00486207">
        <w:rPr>
          <w:i/>
          <w:iCs/>
        </w:rPr>
        <w:t>Annual Review of Psychology</w:t>
      </w:r>
      <w:r w:rsidRPr="00486207">
        <w:t xml:space="preserve">, </w:t>
      </w:r>
      <w:r w:rsidRPr="00486207">
        <w:rPr>
          <w:i/>
          <w:iCs/>
        </w:rPr>
        <w:t>71</w:t>
      </w:r>
      <w:r w:rsidRPr="00486207">
        <w:t>(1), 419–445. https://doi.org/10.1146/annurev-psych-010419-050837</w:t>
      </w:r>
    </w:p>
    <w:p w14:paraId="296F0ED4" w14:textId="77777777" w:rsidR="00486207" w:rsidRPr="00486207" w:rsidRDefault="00486207" w:rsidP="00486207">
      <w:pPr>
        <w:pStyle w:val="Bibliography"/>
      </w:pPr>
      <w:r w:rsidRPr="00486207">
        <w:t xml:space="preserve">Greenwald, A. G., McGhee, D. E., &amp; Schwartz, J. L. (1998). Measuring individual differences in implicit cognition: The Implicit Association Test. </w:t>
      </w:r>
      <w:r w:rsidRPr="00486207">
        <w:rPr>
          <w:i/>
          <w:iCs/>
        </w:rPr>
        <w:t>Journal of Personality and Social Psychology</w:t>
      </w:r>
      <w:r w:rsidRPr="00486207">
        <w:t xml:space="preserve">, </w:t>
      </w:r>
      <w:r w:rsidRPr="00486207">
        <w:rPr>
          <w:i/>
          <w:iCs/>
        </w:rPr>
        <w:t>74</w:t>
      </w:r>
      <w:r w:rsidRPr="00486207">
        <w:t>(6), 1464–1480. https://doi.org/10.1037/0022-3514.74.6.1464</w:t>
      </w:r>
    </w:p>
    <w:p w14:paraId="2498B18F" w14:textId="77777777" w:rsidR="00486207" w:rsidRPr="00486207" w:rsidRDefault="00486207" w:rsidP="00486207">
      <w:pPr>
        <w:pStyle w:val="Bibliography"/>
      </w:pPr>
      <w:r w:rsidRPr="00486207">
        <w:t xml:space="preserve">Heathers, J. A., Anaya, J., Zee, T. van der, &amp; Brown, N. J. (2018). </w:t>
      </w:r>
      <w:r w:rsidRPr="00486207">
        <w:rPr>
          <w:i/>
          <w:iCs/>
        </w:rPr>
        <w:t>Recovering data from summary statistics: Sample Parameter Reconstruction via Iterative TEchniques (SPRITE)</w:t>
      </w:r>
      <w:r w:rsidRPr="00486207">
        <w:t xml:space="preserve"> (e26968v1). PeerJ Inc. https://doi.org/10.7287/peerj.preprints.26968v1</w:t>
      </w:r>
    </w:p>
    <w:p w14:paraId="10E08CED" w14:textId="77777777" w:rsidR="00486207" w:rsidRPr="00486207" w:rsidRDefault="00486207" w:rsidP="00486207">
      <w:pPr>
        <w:pStyle w:val="Bibliography"/>
      </w:pPr>
      <w:r w:rsidRPr="00486207">
        <w:t xml:space="preserve">Hemphill, J. F. (2003). Interpreting the magnitudes of correlation coefficients. </w:t>
      </w:r>
      <w:r w:rsidRPr="00486207">
        <w:rPr>
          <w:i/>
          <w:iCs/>
        </w:rPr>
        <w:t>American Psychologist</w:t>
      </w:r>
      <w:r w:rsidRPr="00486207">
        <w:t xml:space="preserve">, </w:t>
      </w:r>
      <w:r w:rsidRPr="00486207">
        <w:rPr>
          <w:i/>
          <w:iCs/>
        </w:rPr>
        <w:t>58</w:t>
      </w:r>
      <w:r w:rsidRPr="00486207">
        <w:t>(1), 78–79. https://doi.org/10.1037/0003-066X.58.1.78</w:t>
      </w:r>
    </w:p>
    <w:p w14:paraId="118B08A3" w14:textId="77777777" w:rsidR="00486207" w:rsidRPr="00486207" w:rsidRDefault="00486207" w:rsidP="00486207">
      <w:pPr>
        <w:pStyle w:val="Bibliography"/>
      </w:pPr>
      <w:r w:rsidRPr="00486207">
        <w:t xml:space="preserve">Hunter, J. E., &amp; Schmidt, F. L. (2004). </w:t>
      </w:r>
      <w:r w:rsidRPr="00486207">
        <w:rPr>
          <w:i/>
          <w:iCs/>
        </w:rPr>
        <w:t>Methods of meta-analysis: Correcting error and bias in research findings</w:t>
      </w:r>
      <w:r w:rsidRPr="00486207">
        <w:t>. Sage.</w:t>
      </w:r>
    </w:p>
    <w:p w14:paraId="1DD712F5" w14:textId="77777777" w:rsidR="00486207" w:rsidRPr="00486207" w:rsidRDefault="00486207" w:rsidP="00486207">
      <w:pPr>
        <w:pStyle w:val="Bibliography"/>
      </w:pPr>
      <w:r w:rsidRPr="00486207">
        <w:t xml:space="preserve">Hussey, I. (2022). Reply to Barnes-Holmes &amp; Harte (2022) “The IRAP as a Measure of Implicit Cognition: A Case of Frankenstein’s Monster”. </w:t>
      </w:r>
      <w:r w:rsidRPr="00486207">
        <w:rPr>
          <w:i/>
          <w:iCs/>
        </w:rPr>
        <w:t>PsyArXiv</w:t>
      </w:r>
      <w:r w:rsidRPr="00486207">
        <w:t>. https://doi.org/10.31234/osf.io/qmg6s</w:t>
      </w:r>
    </w:p>
    <w:p w14:paraId="5EFF0E41" w14:textId="77777777" w:rsidR="00486207" w:rsidRPr="00486207" w:rsidRDefault="00486207" w:rsidP="00486207">
      <w:pPr>
        <w:pStyle w:val="Bibliography"/>
      </w:pPr>
      <w:r w:rsidRPr="00486207">
        <w:t xml:space="preserve">Hussey, I. (2023). A systematic review of null hypothesis significance testing, sample sizes, and statistical power in research using the Implicit </w:t>
      </w:r>
      <w:r w:rsidRPr="00486207">
        <w:lastRenderedPageBreak/>
        <w:t xml:space="preserve">Relational Assessment Procedure. </w:t>
      </w:r>
      <w:r w:rsidRPr="00486207">
        <w:rPr>
          <w:i/>
          <w:iCs/>
        </w:rPr>
        <w:t>Journal of Contextual Behavioral Science</w:t>
      </w:r>
      <w:r w:rsidRPr="00486207">
        <w:t xml:space="preserve">, </w:t>
      </w:r>
      <w:r w:rsidRPr="00486207">
        <w:rPr>
          <w:i/>
          <w:iCs/>
        </w:rPr>
        <w:t>29</w:t>
      </w:r>
      <w:r w:rsidRPr="00486207">
        <w:t>, 86–97. https://doi.org/10.1016/j.jcbs.2023.06.008</w:t>
      </w:r>
    </w:p>
    <w:p w14:paraId="79D2B7DD" w14:textId="77777777" w:rsidR="00486207" w:rsidRPr="00486207" w:rsidRDefault="00486207" w:rsidP="00486207">
      <w:pPr>
        <w:pStyle w:val="Bibliography"/>
      </w:pPr>
      <w:r w:rsidRPr="00486207">
        <w:t xml:space="preserve">Hussey, I., Alsalti, T., Bosco, F., Elson, M., &amp; Arslan, R. C. (2023). </w:t>
      </w:r>
      <w:r w:rsidRPr="00486207">
        <w:rPr>
          <w:i/>
          <w:iCs/>
        </w:rPr>
        <w:t>An aberrant abundance of Cronbach’s alpha values at .70</w:t>
      </w:r>
      <w:r w:rsidRPr="00486207">
        <w:t>. PsyArXiv. https://doi.org/10.31234/osf.io/dm8xn</w:t>
      </w:r>
    </w:p>
    <w:p w14:paraId="23E49AD7" w14:textId="77777777" w:rsidR="00486207" w:rsidRPr="00486207" w:rsidRDefault="00486207" w:rsidP="00486207">
      <w:pPr>
        <w:pStyle w:val="Bibliography"/>
      </w:pPr>
      <w:r w:rsidRPr="00486207">
        <w:t xml:space="preserve">Hussey, I., &amp; Drake, C. E. (2020). The Implicit Relational Assessment Procedure demonstrates poor internal consistency and test-retest reliability: A meta-analysis. </w:t>
      </w:r>
      <w:r w:rsidRPr="00486207">
        <w:rPr>
          <w:i/>
          <w:iCs/>
        </w:rPr>
        <w:t>PsyArXiv</w:t>
      </w:r>
      <w:r w:rsidRPr="00486207">
        <w:t>. https://doi.org/10.31234/osf.io/ge3k7</w:t>
      </w:r>
    </w:p>
    <w:p w14:paraId="1414DFD5" w14:textId="77777777" w:rsidR="00486207" w:rsidRPr="00486207" w:rsidRDefault="00486207" w:rsidP="00486207">
      <w:pPr>
        <w:pStyle w:val="Bibliography"/>
      </w:pPr>
      <w:r w:rsidRPr="00486207">
        <w:t xml:space="preserve">Hussey, I., &amp; Drake, C. E. (2022). </w:t>
      </w:r>
      <w:r w:rsidRPr="00486207">
        <w:rPr>
          <w:i/>
          <w:iCs/>
        </w:rPr>
        <w:t>The IRAP File-Drawer: A repository of unpublished studies using the Implicit Relational Assessment Procedure</w:t>
      </w:r>
      <w:r w:rsidRPr="00486207">
        <w:t>. https://osf.io/g4qsu/</w:t>
      </w:r>
    </w:p>
    <w:p w14:paraId="7FDBAAEB" w14:textId="77777777" w:rsidR="00486207" w:rsidRPr="00486207" w:rsidRDefault="00486207" w:rsidP="00486207">
      <w:pPr>
        <w:pStyle w:val="Bibliography"/>
      </w:pPr>
      <w:r w:rsidRPr="00486207">
        <w:t xml:space="preserve">Kadlec, D., Sainani, K. L., &amp; Nimphius, S. (2023). With Great Power Comes Great Responsibility: Common Errors in Meta-Analyses and Meta-Regressions in Strength &amp; Conditioning Research. </w:t>
      </w:r>
      <w:r w:rsidRPr="00486207">
        <w:rPr>
          <w:i/>
          <w:iCs/>
        </w:rPr>
        <w:t>Sports Medicine</w:t>
      </w:r>
      <w:r w:rsidRPr="00486207">
        <w:t xml:space="preserve">, </w:t>
      </w:r>
      <w:r w:rsidRPr="00486207">
        <w:rPr>
          <w:i/>
          <w:iCs/>
        </w:rPr>
        <w:t>53</w:t>
      </w:r>
      <w:r w:rsidRPr="00486207">
        <w:t>(2), 313–325. https://doi.org/10.1007/s40279-022-01766-0</w:t>
      </w:r>
    </w:p>
    <w:p w14:paraId="2938F095" w14:textId="77777777" w:rsidR="00486207" w:rsidRPr="00486207" w:rsidRDefault="00486207" w:rsidP="00486207">
      <w:pPr>
        <w:pStyle w:val="Bibliography"/>
      </w:pPr>
      <w:r w:rsidRPr="00486207">
        <w:t xml:space="preserve">Kavanagh, D., Barnes-Holmes, Y., &amp; Barnes-Holmes, D. (2022). Attempting to Analyze Perspective-Taking with a False Belief Vignette Using the Implicit Relational Assessment Procedure. </w:t>
      </w:r>
      <w:r w:rsidRPr="00486207">
        <w:rPr>
          <w:i/>
          <w:iCs/>
        </w:rPr>
        <w:t>The Psychological Record</w:t>
      </w:r>
      <w:r w:rsidRPr="00486207">
        <w:t xml:space="preserve">, </w:t>
      </w:r>
      <w:r w:rsidRPr="00486207">
        <w:rPr>
          <w:i/>
          <w:iCs/>
        </w:rPr>
        <w:t>72</w:t>
      </w:r>
      <w:r w:rsidRPr="00486207">
        <w:t>(4), 525–549. https://doi.org/10.1007/s40732-021-00500-y</w:t>
      </w:r>
    </w:p>
    <w:p w14:paraId="08725DAC" w14:textId="77777777" w:rsidR="00486207" w:rsidRPr="00486207" w:rsidRDefault="00486207" w:rsidP="00486207">
      <w:pPr>
        <w:pStyle w:val="Bibliography"/>
      </w:pPr>
      <w:r w:rsidRPr="00486207">
        <w:t xml:space="preserve">Lakens, D., Hilgard, J., &amp; Staaks, J. (2016). On the reproducibility of meta-analyses: Six practical recommendations. </w:t>
      </w:r>
      <w:r w:rsidRPr="00486207">
        <w:rPr>
          <w:i/>
          <w:iCs/>
        </w:rPr>
        <w:t>BMC Psychology</w:t>
      </w:r>
      <w:r w:rsidRPr="00486207">
        <w:t xml:space="preserve">, </w:t>
      </w:r>
      <w:r w:rsidRPr="00486207">
        <w:rPr>
          <w:i/>
          <w:iCs/>
        </w:rPr>
        <w:t>4</w:t>
      </w:r>
      <w:r w:rsidRPr="00486207">
        <w:t>(1), 24. https://doi.org/10.1186/s40359-016-0126-3</w:t>
      </w:r>
    </w:p>
    <w:p w14:paraId="26804549" w14:textId="77777777" w:rsidR="00486207" w:rsidRPr="00486207" w:rsidRDefault="00486207" w:rsidP="00486207">
      <w:pPr>
        <w:pStyle w:val="Bibliography"/>
      </w:pPr>
      <w:r w:rsidRPr="00486207">
        <w:t xml:space="preserve">Lakens, D., Page-Gould, E., van Assen, M. A. L. M., Spellman, B., Schönbrodt, F. D., Hasselman, F., Corker, K. S., Grange, J., Sharples, A., Cavender, C., Augusteijn, H., Augusteijn, H., Gerger, H., Locher, C., Miller, I. D., Anvari, F., &amp; Scheel, A. M. (2017). </w:t>
      </w:r>
      <w:r w:rsidRPr="00486207">
        <w:rPr>
          <w:i/>
          <w:iCs/>
        </w:rPr>
        <w:t>Examining the Reproducibility of Meta-Analyses in Psychology: A Preliminary Report</w:t>
      </w:r>
      <w:r w:rsidRPr="00486207">
        <w:t xml:space="preserve"> [Preprint]. BITSS. https://doi.org/10.31222/osf.io/xfbjf</w:t>
      </w:r>
    </w:p>
    <w:p w14:paraId="21EEC508" w14:textId="77777777" w:rsidR="00486207" w:rsidRPr="00486207" w:rsidRDefault="00486207" w:rsidP="00486207">
      <w:pPr>
        <w:pStyle w:val="Bibliography"/>
      </w:pPr>
      <w:r w:rsidRPr="00486207">
        <w:t xml:space="preserve">Leech, A., Bouyrden, J., Bruijsten, N., Barnes-Holmes, D., &amp; McEnteggart, C. (2018). Training and testing for a transformation of fear and avoidance functions using the Implicit Relational Assessment Procedure: The first study. </w:t>
      </w:r>
      <w:r w:rsidRPr="00486207">
        <w:rPr>
          <w:i/>
          <w:iCs/>
        </w:rPr>
        <w:t>Behavioural Processes</w:t>
      </w:r>
      <w:r w:rsidRPr="00486207">
        <w:t xml:space="preserve">, </w:t>
      </w:r>
      <w:r w:rsidRPr="00486207">
        <w:rPr>
          <w:i/>
          <w:iCs/>
        </w:rPr>
        <w:t>157</w:t>
      </w:r>
      <w:r w:rsidRPr="00486207">
        <w:t>, 24–35. https://doi.org/10.1016/j.beproc.2018.08.012</w:t>
      </w:r>
    </w:p>
    <w:p w14:paraId="600990A2" w14:textId="77777777" w:rsidR="00486207" w:rsidRPr="00486207" w:rsidRDefault="00486207" w:rsidP="00486207">
      <w:pPr>
        <w:pStyle w:val="Bibliography"/>
      </w:pPr>
      <w:r w:rsidRPr="00486207">
        <w:t xml:space="preserve">López-Nicolás, R., López-López, J. A., Rubio-Aparicio, M., &amp; Sánchez-Meca, J. (2022). A meta-review of transparency and reproducibility-related reporting practices in published meta-analyses on clinical psychological interventions (2000–2020). </w:t>
      </w:r>
      <w:r w:rsidRPr="00486207">
        <w:rPr>
          <w:i/>
          <w:iCs/>
        </w:rPr>
        <w:t>Behavior Research Methods</w:t>
      </w:r>
      <w:r w:rsidRPr="00486207">
        <w:t xml:space="preserve">, </w:t>
      </w:r>
      <w:r w:rsidRPr="00486207">
        <w:rPr>
          <w:i/>
          <w:iCs/>
        </w:rPr>
        <w:t>54</w:t>
      </w:r>
      <w:r w:rsidRPr="00486207">
        <w:t>(1), 334–349. https://doi.org/10.3758/s13428-021-01644-z</w:t>
      </w:r>
    </w:p>
    <w:p w14:paraId="69FE70B0" w14:textId="77777777" w:rsidR="00486207" w:rsidRPr="00486207" w:rsidRDefault="00486207" w:rsidP="00486207">
      <w:pPr>
        <w:pStyle w:val="Bibliography"/>
      </w:pPr>
      <w:r w:rsidRPr="00486207">
        <w:t xml:space="preserve">Maassen, E., Assen, M. A. L. M. van, Nuijten, M. B., Olsson-Collentine, A., &amp; Wicherts, J. M. (2020). Reproducibility of individual effect sizes in meta-analyses in psychology. </w:t>
      </w:r>
      <w:r w:rsidRPr="00486207">
        <w:rPr>
          <w:i/>
          <w:iCs/>
        </w:rPr>
        <w:t>PLOS ONE</w:t>
      </w:r>
      <w:r w:rsidRPr="00486207">
        <w:t xml:space="preserve">, </w:t>
      </w:r>
      <w:r w:rsidRPr="00486207">
        <w:rPr>
          <w:i/>
          <w:iCs/>
        </w:rPr>
        <w:t>15</w:t>
      </w:r>
      <w:r w:rsidRPr="00486207">
        <w:t xml:space="preserve">(5), </w:t>
      </w:r>
      <w:r w:rsidRPr="00486207">
        <w:t>e0233107. https://doi.org/10.1371/journal.pone.0233107</w:t>
      </w:r>
    </w:p>
    <w:p w14:paraId="613607F9" w14:textId="77777777" w:rsidR="00486207" w:rsidRPr="00486207" w:rsidRDefault="00486207" w:rsidP="00486207">
      <w:pPr>
        <w:pStyle w:val="Bibliography"/>
      </w:pPr>
      <w:r w:rsidRPr="00486207">
        <w:t xml:space="preserve">Maloney, E., &amp; Barnes-Holmes, D. (2016). Exploring the Behavioral Dynamics of the Implicit Relational Assessment Procedure: The Role of Relational Contextual Cues Versus Relational Coherence Indicators as Response Options. </w:t>
      </w:r>
      <w:r w:rsidRPr="00486207">
        <w:rPr>
          <w:i/>
          <w:iCs/>
        </w:rPr>
        <w:t>The Psychological Record</w:t>
      </w:r>
      <w:r w:rsidRPr="00486207">
        <w:t xml:space="preserve">, </w:t>
      </w:r>
      <w:r w:rsidRPr="00486207">
        <w:rPr>
          <w:i/>
          <w:iCs/>
        </w:rPr>
        <w:t>66</w:t>
      </w:r>
      <w:r w:rsidRPr="00486207">
        <w:t>(3), 395–403. https://doi.org/10.1007/s40732-016-0180-5</w:t>
      </w:r>
    </w:p>
    <w:p w14:paraId="70DCB4D8" w14:textId="77777777" w:rsidR="00486207" w:rsidRPr="00486207" w:rsidRDefault="00486207" w:rsidP="00486207">
      <w:pPr>
        <w:pStyle w:val="Bibliography"/>
      </w:pPr>
      <w:r w:rsidRPr="00486207">
        <w:t xml:space="preserve">Marin, F., Rohatgi, A., &amp; Charlot, S. (2017). </w:t>
      </w:r>
      <w:r w:rsidRPr="00486207">
        <w:rPr>
          <w:i/>
          <w:iCs/>
        </w:rPr>
        <w:t>WebPlotDigitizer, a polyvalent and free software to extract spectra from old astronomical publications: Application to ultraviolet spectropolarimetry</w:t>
      </w:r>
      <w:r w:rsidRPr="00486207">
        <w:t xml:space="preserve"> (arXiv:1708.02025). arXiv. http://arxiv.org/abs/1708.02025</w:t>
      </w:r>
    </w:p>
    <w:p w14:paraId="5E12B70E" w14:textId="77777777" w:rsidR="00486207" w:rsidRPr="00486207" w:rsidRDefault="00486207" w:rsidP="00486207">
      <w:pPr>
        <w:pStyle w:val="Bibliography"/>
      </w:pPr>
      <w:r w:rsidRPr="00486207">
        <w:t xml:space="preserve">Perugini, M., Gallucci, M., &amp; Costantini, G. (2014). Safeguard Power as a Protection Against Imprecise Power Estimates. </w:t>
      </w:r>
      <w:r w:rsidRPr="00486207">
        <w:rPr>
          <w:i/>
          <w:iCs/>
        </w:rPr>
        <w:t>Perspectives on Psychological Science</w:t>
      </w:r>
      <w:r w:rsidRPr="00486207">
        <w:t xml:space="preserve">, </w:t>
      </w:r>
      <w:r w:rsidRPr="00486207">
        <w:rPr>
          <w:i/>
          <w:iCs/>
        </w:rPr>
        <w:t>9</w:t>
      </w:r>
      <w:r w:rsidRPr="00486207">
        <w:t>(3), 319–332. https://doi.org/10.1177/1745691614528519</w:t>
      </w:r>
    </w:p>
    <w:p w14:paraId="0F058634" w14:textId="77777777" w:rsidR="00486207" w:rsidRPr="00486207" w:rsidRDefault="00486207" w:rsidP="00486207">
      <w:pPr>
        <w:pStyle w:val="Bibliography"/>
      </w:pPr>
      <w:r w:rsidRPr="00486207">
        <w:t xml:space="preserve">Plessen, C. Y., Karyotaki, E., Miguel, C., Ciharova, M., &amp; Cuijpers, P. (2023). Exploring the efficacy of psychotherapies for depression: A multiverse meta-analysis. </w:t>
      </w:r>
      <w:r w:rsidRPr="00486207">
        <w:rPr>
          <w:i/>
          <w:iCs/>
        </w:rPr>
        <w:t>BMJ Ment Health</w:t>
      </w:r>
      <w:r w:rsidRPr="00486207">
        <w:t xml:space="preserve">, </w:t>
      </w:r>
      <w:r w:rsidRPr="00486207">
        <w:rPr>
          <w:i/>
          <w:iCs/>
        </w:rPr>
        <w:t>26</w:t>
      </w:r>
      <w:r w:rsidRPr="00486207">
        <w:t>(1). https://doi.org/10.1136/bmjment-2022-300626</w:t>
      </w:r>
    </w:p>
    <w:p w14:paraId="61FA44DE" w14:textId="77777777" w:rsidR="00486207" w:rsidRPr="00486207" w:rsidRDefault="00486207" w:rsidP="00486207">
      <w:pPr>
        <w:pStyle w:val="Bibliography"/>
      </w:pPr>
      <w:r w:rsidRPr="00486207">
        <w:t xml:space="preserve">Power, P. M., Harte, C., Barnes-Holmes, D., &amp; Barnes-Holmes, Y. (2017). Exploring Racial Bias in a European Country with a Recent History of Immigration of Black Africans. </w:t>
      </w:r>
      <w:r w:rsidRPr="00486207">
        <w:rPr>
          <w:i/>
          <w:iCs/>
        </w:rPr>
        <w:t>The Psychological Record</w:t>
      </w:r>
      <w:r w:rsidRPr="00486207">
        <w:t xml:space="preserve">, </w:t>
      </w:r>
      <w:r w:rsidRPr="00486207">
        <w:rPr>
          <w:i/>
          <w:iCs/>
        </w:rPr>
        <w:t>67</w:t>
      </w:r>
      <w:r w:rsidRPr="00486207">
        <w:t>(3), 365–375. https://doi.org/10.1007/s40732-017-0223-6</w:t>
      </w:r>
    </w:p>
    <w:p w14:paraId="5930D988" w14:textId="77777777" w:rsidR="00486207" w:rsidRPr="00486207" w:rsidRDefault="00486207" w:rsidP="00486207">
      <w:pPr>
        <w:pStyle w:val="Bibliography"/>
      </w:pPr>
      <w:r w:rsidRPr="00486207">
        <w:t xml:space="preserve">Revelle, W. (2009). </w:t>
      </w:r>
      <w:r w:rsidRPr="00486207">
        <w:rPr>
          <w:i/>
          <w:iCs/>
        </w:rPr>
        <w:t>An introduction to psychometric theory with applications in R</w:t>
      </w:r>
      <w:r w:rsidRPr="00486207">
        <w:t>. Springer Evanston, IL. https://www.personality-project.org/r/book/</w:t>
      </w:r>
    </w:p>
    <w:p w14:paraId="42160AED" w14:textId="77777777" w:rsidR="00486207" w:rsidRPr="00486207" w:rsidRDefault="00486207" w:rsidP="00486207">
      <w:pPr>
        <w:pStyle w:val="Bibliography"/>
      </w:pPr>
      <w:r w:rsidRPr="00486207">
        <w:t xml:space="preserve">Richard, F. D., Bond, C. F., &amp; Stokes-Zoota, J. J. (2003). One Hundred Years of Social Psychology Quantitatively Described. </w:t>
      </w:r>
      <w:r w:rsidRPr="00486207">
        <w:rPr>
          <w:i/>
          <w:iCs/>
        </w:rPr>
        <w:t>Review of General Psychology</w:t>
      </w:r>
      <w:r w:rsidRPr="00486207">
        <w:t xml:space="preserve">, </w:t>
      </w:r>
      <w:r w:rsidRPr="00486207">
        <w:rPr>
          <w:i/>
          <w:iCs/>
        </w:rPr>
        <w:t>7</w:t>
      </w:r>
      <w:r w:rsidRPr="00486207">
        <w:t>(4), 331–363. https://doi.org/10.1037/1089-2680.7.4.331</w:t>
      </w:r>
    </w:p>
    <w:p w14:paraId="62ADFBBD" w14:textId="77777777" w:rsidR="00486207" w:rsidRPr="00486207" w:rsidRDefault="00486207" w:rsidP="00486207">
      <w:pPr>
        <w:pStyle w:val="Bibliography"/>
      </w:pPr>
      <w:r w:rsidRPr="00486207">
        <w:t xml:space="preserve">Rücker, G., Carpenter, J. R., &amp; Schwarzer, G. (2011). Detecting and adjusting for small-study effects in meta-analysis. </w:t>
      </w:r>
      <w:r w:rsidRPr="00486207">
        <w:rPr>
          <w:i/>
          <w:iCs/>
        </w:rPr>
        <w:t>Biometrical Journal</w:t>
      </w:r>
      <w:r w:rsidRPr="00486207">
        <w:t xml:space="preserve">, </w:t>
      </w:r>
      <w:r w:rsidRPr="00486207">
        <w:rPr>
          <w:i/>
          <w:iCs/>
        </w:rPr>
        <w:t>53</w:t>
      </w:r>
      <w:r w:rsidRPr="00486207">
        <w:t>(2), 351–368. https://doi.org/10.1002/bimj.201000151</w:t>
      </w:r>
    </w:p>
    <w:p w14:paraId="479F731A" w14:textId="77777777" w:rsidR="00486207" w:rsidRPr="00486207" w:rsidRDefault="00486207" w:rsidP="00486207">
      <w:pPr>
        <w:pStyle w:val="Bibliography"/>
      </w:pPr>
      <w:r w:rsidRPr="00486207">
        <w:t xml:space="preserve">Sterne, J. A. C., Gavaghan, D., &amp; Egger, M. (2000). Publication and related bias in meta-analysis: Power of statistical tests and prevalence in the literature. </w:t>
      </w:r>
      <w:r w:rsidRPr="00486207">
        <w:rPr>
          <w:i/>
          <w:iCs/>
        </w:rPr>
        <w:t>Journal of Clinical Epidemiology</w:t>
      </w:r>
      <w:r w:rsidRPr="00486207">
        <w:t xml:space="preserve">, </w:t>
      </w:r>
      <w:r w:rsidRPr="00486207">
        <w:rPr>
          <w:i/>
          <w:iCs/>
        </w:rPr>
        <w:t>53</w:t>
      </w:r>
      <w:r w:rsidRPr="00486207">
        <w:t>(11), 1119–1129. https://doi.org/10.1016/S0895-4356(00)00242-0</w:t>
      </w:r>
    </w:p>
    <w:p w14:paraId="4B0F866F" w14:textId="77777777" w:rsidR="00486207" w:rsidRPr="00486207" w:rsidRDefault="00486207" w:rsidP="00486207">
      <w:pPr>
        <w:pStyle w:val="Bibliography"/>
      </w:pPr>
      <w:r w:rsidRPr="00486207">
        <w:t xml:space="preserve">Vahey, N. A., Nicholson, E., &amp; Barnes-Holmes, D. (2015). A meta-analysis of criterion effects for the Implicit Relational Assessment Procedure (IRAP) in the clinical domain. </w:t>
      </w:r>
      <w:r w:rsidRPr="00486207">
        <w:rPr>
          <w:i/>
          <w:iCs/>
        </w:rPr>
        <w:t>Journal of Behavior Therapy and Experimental Psychiatry</w:t>
      </w:r>
      <w:r w:rsidRPr="00486207">
        <w:t xml:space="preserve">, </w:t>
      </w:r>
      <w:r w:rsidRPr="00486207">
        <w:rPr>
          <w:i/>
          <w:iCs/>
        </w:rPr>
        <w:t>48</w:t>
      </w:r>
      <w:r w:rsidRPr="00486207">
        <w:t>, 59–65. https://doi.org/10.1016/j.jbtep.2015.01.004</w:t>
      </w:r>
    </w:p>
    <w:p w14:paraId="2DA52FEF" w14:textId="77777777" w:rsidR="00486207" w:rsidRPr="00486207" w:rsidRDefault="00486207" w:rsidP="00486207">
      <w:pPr>
        <w:pStyle w:val="Bibliography"/>
      </w:pPr>
      <w:r w:rsidRPr="00486207">
        <w:t xml:space="preserve">Vevea, J. L., &amp; Woods, C. M. (2005). Publication bias in research synthesis: Sensitivity analysis using a priori weight functions. </w:t>
      </w:r>
      <w:r w:rsidRPr="00486207">
        <w:rPr>
          <w:i/>
          <w:iCs/>
        </w:rPr>
        <w:t>Psychological Methods</w:t>
      </w:r>
      <w:r w:rsidRPr="00486207">
        <w:t xml:space="preserve">, </w:t>
      </w:r>
      <w:r w:rsidRPr="00486207">
        <w:rPr>
          <w:i/>
          <w:iCs/>
        </w:rPr>
        <w:lastRenderedPageBreak/>
        <w:t>10</w:t>
      </w:r>
      <w:r w:rsidRPr="00486207">
        <w:t>(4), 428–443. https://doi.org/10.1037/1082-989X.10.4.428</w:t>
      </w:r>
    </w:p>
    <w:p w14:paraId="352CB4F9" w14:textId="77777777" w:rsidR="00486207" w:rsidRPr="00486207" w:rsidRDefault="00486207" w:rsidP="00486207">
      <w:pPr>
        <w:pStyle w:val="Bibliography"/>
      </w:pPr>
      <w:r w:rsidRPr="00486207">
        <w:t xml:space="preserve">Viechtbauer, W. (2010). Conducting Meta-Analyses in R with the metafor Package. </w:t>
      </w:r>
      <w:r w:rsidRPr="00486207">
        <w:rPr>
          <w:i/>
          <w:iCs/>
        </w:rPr>
        <w:t>Journal of Statistical Software</w:t>
      </w:r>
      <w:r w:rsidRPr="00486207">
        <w:t xml:space="preserve">, </w:t>
      </w:r>
      <w:r w:rsidRPr="00486207">
        <w:rPr>
          <w:i/>
          <w:iCs/>
        </w:rPr>
        <w:t>36</w:t>
      </w:r>
      <w:r w:rsidRPr="00486207">
        <w:t>(3). https://doi.org/10.18637/jss.v036.i03</w:t>
      </w:r>
    </w:p>
    <w:p w14:paraId="0F27836F" w14:textId="77777777" w:rsidR="00486207" w:rsidRPr="00486207" w:rsidRDefault="00486207" w:rsidP="00486207">
      <w:pPr>
        <w:pStyle w:val="Bibliography"/>
      </w:pPr>
      <w:r w:rsidRPr="00486207">
        <w:t xml:space="preserve">Viechtbauer, W. (2022). </w:t>
      </w:r>
      <w:r w:rsidRPr="00486207">
        <w:rPr>
          <w:i/>
          <w:iCs/>
        </w:rPr>
        <w:t>Hunter and Schmidt Method</w:t>
      </w:r>
      <w:r w:rsidRPr="00486207">
        <w:t>. https://www.metafor-</w:t>
      </w:r>
      <w:r w:rsidRPr="00486207">
        <w:t>project.org/doku.php/tips:hunter_schmidt_method</w:t>
      </w:r>
    </w:p>
    <w:p w14:paraId="79E9FE08" w14:textId="77777777" w:rsidR="00486207" w:rsidRPr="00486207" w:rsidRDefault="00486207" w:rsidP="00486207">
      <w:pPr>
        <w:pStyle w:val="Bibliography"/>
      </w:pPr>
      <w:r w:rsidRPr="00486207">
        <w:t xml:space="preserve">Viechtbauer, W. (2024). </w:t>
      </w:r>
      <w:r w:rsidRPr="00486207">
        <w:rPr>
          <w:i/>
          <w:iCs/>
        </w:rPr>
        <w:t>metafor: Meta-Analysis Package for R</w:t>
      </w:r>
      <w:r w:rsidRPr="00486207">
        <w:t xml:space="preserve"> (4.6-0) [Computer software]. https://CRAN.R-project.org/package=metafor</w:t>
      </w:r>
    </w:p>
    <w:p w14:paraId="26FB163E" w14:textId="0388F5B0" w:rsidR="00954504" w:rsidRPr="00954504" w:rsidRDefault="00000000" w:rsidP="00954504">
      <w:pPr>
        <w:ind w:firstLine="0"/>
      </w:pPr>
      <w:r>
        <w:fldChar w:fldCharType="end"/>
      </w:r>
    </w:p>
    <w:p w14:paraId="099114A7"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1DD21320"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08F1C" w14:textId="77777777" w:rsidR="00D77048" w:rsidRDefault="00D77048">
      <w:r>
        <w:separator/>
      </w:r>
    </w:p>
  </w:endnote>
  <w:endnote w:type="continuationSeparator" w:id="0">
    <w:p w14:paraId="6CE95693" w14:textId="77777777" w:rsidR="00D77048" w:rsidRDefault="00D7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468D5EDE"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87D4F34"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4F57C262"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C90709"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AE787" w14:textId="77777777" w:rsidR="00D77048" w:rsidRDefault="00D77048" w:rsidP="00034410">
      <w:r>
        <w:separator/>
      </w:r>
    </w:p>
  </w:footnote>
  <w:footnote w:type="continuationSeparator" w:id="0">
    <w:p w14:paraId="1164FBC2" w14:textId="77777777" w:rsidR="00D77048" w:rsidRDefault="00D77048" w:rsidP="00034410">
      <w:r>
        <w:continuationSeparator/>
      </w:r>
    </w:p>
  </w:footnote>
  <w:footnote w:id="1">
    <w:p w14:paraId="20E1D452" w14:textId="77777777" w:rsidR="002B214D" w:rsidRPr="007C23EB" w:rsidRDefault="002B214D" w:rsidP="002B214D">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w:t>
      </w:r>
      <w:proofErr w:type="spellStart"/>
      <w:r>
        <w:rPr>
          <w:lang w:val="en-US"/>
        </w:rPr>
        <w:t>Golijani</w:t>
      </w:r>
      <w:proofErr w:type="spellEnd"/>
      <w:r>
        <w:rPr>
          <w:lang w:val="en-US"/>
        </w:rPr>
        <w:t xml:space="preserve">-Moghaddam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DE10C270">
      <w:start w:val="1"/>
      <w:numFmt w:val="decimal"/>
      <w:lvlText w:val="%1."/>
      <w:lvlJc w:val="left"/>
      <w:pPr>
        <w:ind w:left="720" w:hanging="360"/>
      </w:pPr>
      <w:rPr>
        <w:rFonts w:hint="default"/>
      </w:rPr>
    </w:lvl>
    <w:lvl w:ilvl="1" w:tplc="D01AFC18" w:tentative="1">
      <w:start w:val="1"/>
      <w:numFmt w:val="lowerLetter"/>
      <w:lvlText w:val="%2."/>
      <w:lvlJc w:val="left"/>
      <w:pPr>
        <w:ind w:left="1440" w:hanging="360"/>
      </w:pPr>
    </w:lvl>
    <w:lvl w:ilvl="2" w:tplc="C0A297EA" w:tentative="1">
      <w:start w:val="1"/>
      <w:numFmt w:val="lowerRoman"/>
      <w:lvlText w:val="%3."/>
      <w:lvlJc w:val="right"/>
      <w:pPr>
        <w:ind w:left="2160" w:hanging="180"/>
      </w:pPr>
    </w:lvl>
    <w:lvl w:ilvl="3" w:tplc="8D323568" w:tentative="1">
      <w:start w:val="1"/>
      <w:numFmt w:val="decimal"/>
      <w:lvlText w:val="%4."/>
      <w:lvlJc w:val="left"/>
      <w:pPr>
        <w:ind w:left="2880" w:hanging="360"/>
      </w:pPr>
    </w:lvl>
    <w:lvl w:ilvl="4" w:tplc="51B60D90" w:tentative="1">
      <w:start w:val="1"/>
      <w:numFmt w:val="lowerLetter"/>
      <w:lvlText w:val="%5."/>
      <w:lvlJc w:val="left"/>
      <w:pPr>
        <w:ind w:left="3600" w:hanging="360"/>
      </w:pPr>
    </w:lvl>
    <w:lvl w:ilvl="5" w:tplc="B5644C4A" w:tentative="1">
      <w:start w:val="1"/>
      <w:numFmt w:val="lowerRoman"/>
      <w:lvlText w:val="%6."/>
      <w:lvlJc w:val="right"/>
      <w:pPr>
        <w:ind w:left="4320" w:hanging="180"/>
      </w:pPr>
    </w:lvl>
    <w:lvl w:ilvl="6" w:tplc="394A5544" w:tentative="1">
      <w:start w:val="1"/>
      <w:numFmt w:val="decimal"/>
      <w:lvlText w:val="%7."/>
      <w:lvlJc w:val="left"/>
      <w:pPr>
        <w:ind w:left="5040" w:hanging="360"/>
      </w:pPr>
    </w:lvl>
    <w:lvl w:ilvl="7" w:tplc="767CF23A" w:tentative="1">
      <w:start w:val="1"/>
      <w:numFmt w:val="lowerLetter"/>
      <w:lvlText w:val="%8."/>
      <w:lvlJc w:val="left"/>
      <w:pPr>
        <w:ind w:left="5760" w:hanging="360"/>
      </w:pPr>
    </w:lvl>
    <w:lvl w:ilvl="8" w:tplc="32BE0F6C"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E8DE47E8">
      <w:start w:val="1"/>
      <w:numFmt w:val="bullet"/>
      <w:lvlText w:val="-"/>
      <w:lvlJc w:val="left"/>
      <w:pPr>
        <w:ind w:left="1080" w:hanging="360"/>
      </w:pPr>
      <w:rPr>
        <w:rFonts w:ascii="CMU Serif Roman" w:eastAsiaTheme="minorEastAsia" w:hAnsi="CMU Serif Roman" w:cs="CMU Serif Roman" w:hint="default"/>
      </w:rPr>
    </w:lvl>
    <w:lvl w:ilvl="1" w:tplc="106A1D38" w:tentative="1">
      <w:start w:val="1"/>
      <w:numFmt w:val="bullet"/>
      <w:lvlText w:val="o"/>
      <w:lvlJc w:val="left"/>
      <w:pPr>
        <w:ind w:left="1800" w:hanging="360"/>
      </w:pPr>
      <w:rPr>
        <w:rFonts w:ascii="Courier New" w:hAnsi="Courier New" w:cs="Courier New" w:hint="default"/>
      </w:rPr>
    </w:lvl>
    <w:lvl w:ilvl="2" w:tplc="5AB425F2" w:tentative="1">
      <w:start w:val="1"/>
      <w:numFmt w:val="bullet"/>
      <w:lvlText w:val=""/>
      <w:lvlJc w:val="left"/>
      <w:pPr>
        <w:ind w:left="2520" w:hanging="360"/>
      </w:pPr>
      <w:rPr>
        <w:rFonts w:ascii="Wingdings" w:hAnsi="Wingdings" w:hint="default"/>
      </w:rPr>
    </w:lvl>
    <w:lvl w:ilvl="3" w:tplc="19AAEC8E" w:tentative="1">
      <w:start w:val="1"/>
      <w:numFmt w:val="bullet"/>
      <w:lvlText w:val=""/>
      <w:lvlJc w:val="left"/>
      <w:pPr>
        <w:ind w:left="3240" w:hanging="360"/>
      </w:pPr>
      <w:rPr>
        <w:rFonts w:ascii="Symbol" w:hAnsi="Symbol" w:hint="default"/>
      </w:rPr>
    </w:lvl>
    <w:lvl w:ilvl="4" w:tplc="8A60FF48" w:tentative="1">
      <w:start w:val="1"/>
      <w:numFmt w:val="bullet"/>
      <w:lvlText w:val="o"/>
      <w:lvlJc w:val="left"/>
      <w:pPr>
        <w:ind w:left="3960" w:hanging="360"/>
      </w:pPr>
      <w:rPr>
        <w:rFonts w:ascii="Courier New" w:hAnsi="Courier New" w:cs="Courier New" w:hint="default"/>
      </w:rPr>
    </w:lvl>
    <w:lvl w:ilvl="5" w:tplc="3C747A74" w:tentative="1">
      <w:start w:val="1"/>
      <w:numFmt w:val="bullet"/>
      <w:lvlText w:val=""/>
      <w:lvlJc w:val="left"/>
      <w:pPr>
        <w:ind w:left="4680" w:hanging="360"/>
      </w:pPr>
      <w:rPr>
        <w:rFonts w:ascii="Wingdings" w:hAnsi="Wingdings" w:hint="default"/>
      </w:rPr>
    </w:lvl>
    <w:lvl w:ilvl="6" w:tplc="45FE944C" w:tentative="1">
      <w:start w:val="1"/>
      <w:numFmt w:val="bullet"/>
      <w:lvlText w:val=""/>
      <w:lvlJc w:val="left"/>
      <w:pPr>
        <w:ind w:left="5400" w:hanging="360"/>
      </w:pPr>
      <w:rPr>
        <w:rFonts w:ascii="Symbol" w:hAnsi="Symbol" w:hint="default"/>
      </w:rPr>
    </w:lvl>
    <w:lvl w:ilvl="7" w:tplc="AC98EE72" w:tentative="1">
      <w:start w:val="1"/>
      <w:numFmt w:val="bullet"/>
      <w:lvlText w:val="o"/>
      <w:lvlJc w:val="left"/>
      <w:pPr>
        <w:ind w:left="6120" w:hanging="360"/>
      </w:pPr>
      <w:rPr>
        <w:rFonts w:ascii="Courier New" w:hAnsi="Courier New" w:cs="Courier New" w:hint="default"/>
      </w:rPr>
    </w:lvl>
    <w:lvl w:ilvl="8" w:tplc="1FBE4826" w:tentative="1">
      <w:start w:val="1"/>
      <w:numFmt w:val="bullet"/>
      <w:lvlText w:val=""/>
      <w:lvlJc w:val="left"/>
      <w:pPr>
        <w:ind w:left="6840" w:hanging="360"/>
      </w:pPr>
      <w:rPr>
        <w:rFonts w:ascii="Wingdings" w:hAnsi="Wingdings" w:hint="default"/>
      </w:rPr>
    </w:lvl>
  </w:abstractNum>
  <w:abstractNum w:abstractNumId="2" w15:restartNumberingAfterBreak="0">
    <w:nsid w:val="46DA6860"/>
    <w:multiLevelType w:val="hybridMultilevel"/>
    <w:tmpl w:val="C45C7218"/>
    <w:lvl w:ilvl="0" w:tplc="FDBCDCD6">
      <w:start w:val="5"/>
      <w:numFmt w:val="bullet"/>
      <w:lvlText w:val=""/>
      <w:lvlJc w:val="left"/>
      <w:pPr>
        <w:ind w:left="720" w:hanging="360"/>
      </w:pPr>
      <w:rPr>
        <w:rFonts w:ascii="Symbol" w:eastAsia="Times New Roman" w:hAnsi="Symbol" w:cstheme="majorHAnsi" w:hint="default"/>
      </w:rPr>
    </w:lvl>
    <w:lvl w:ilvl="1" w:tplc="85523C66" w:tentative="1">
      <w:start w:val="1"/>
      <w:numFmt w:val="bullet"/>
      <w:lvlText w:val="o"/>
      <w:lvlJc w:val="left"/>
      <w:pPr>
        <w:ind w:left="1440" w:hanging="360"/>
      </w:pPr>
      <w:rPr>
        <w:rFonts w:ascii="Courier New" w:hAnsi="Courier New" w:hint="default"/>
      </w:rPr>
    </w:lvl>
    <w:lvl w:ilvl="2" w:tplc="9AE6F7AC" w:tentative="1">
      <w:start w:val="1"/>
      <w:numFmt w:val="bullet"/>
      <w:lvlText w:val=""/>
      <w:lvlJc w:val="left"/>
      <w:pPr>
        <w:ind w:left="2160" w:hanging="360"/>
      </w:pPr>
      <w:rPr>
        <w:rFonts w:ascii="Wingdings" w:hAnsi="Wingdings" w:hint="default"/>
      </w:rPr>
    </w:lvl>
    <w:lvl w:ilvl="3" w:tplc="3FA64542" w:tentative="1">
      <w:start w:val="1"/>
      <w:numFmt w:val="bullet"/>
      <w:lvlText w:val=""/>
      <w:lvlJc w:val="left"/>
      <w:pPr>
        <w:ind w:left="2880" w:hanging="360"/>
      </w:pPr>
      <w:rPr>
        <w:rFonts w:ascii="Symbol" w:hAnsi="Symbol" w:hint="default"/>
      </w:rPr>
    </w:lvl>
    <w:lvl w:ilvl="4" w:tplc="7F3CB92E" w:tentative="1">
      <w:start w:val="1"/>
      <w:numFmt w:val="bullet"/>
      <w:lvlText w:val="o"/>
      <w:lvlJc w:val="left"/>
      <w:pPr>
        <w:ind w:left="3600" w:hanging="360"/>
      </w:pPr>
      <w:rPr>
        <w:rFonts w:ascii="Courier New" w:hAnsi="Courier New" w:hint="default"/>
      </w:rPr>
    </w:lvl>
    <w:lvl w:ilvl="5" w:tplc="916EB4A4" w:tentative="1">
      <w:start w:val="1"/>
      <w:numFmt w:val="bullet"/>
      <w:lvlText w:val=""/>
      <w:lvlJc w:val="left"/>
      <w:pPr>
        <w:ind w:left="4320" w:hanging="360"/>
      </w:pPr>
      <w:rPr>
        <w:rFonts w:ascii="Wingdings" w:hAnsi="Wingdings" w:hint="default"/>
      </w:rPr>
    </w:lvl>
    <w:lvl w:ilvl="6" w:tplc="AE684806" w:tentative="1">
      <w:start w:val="1"/>
      <w:numFmt w:val="bullet"/>
      <w:lvlText w:val=""/>
      <w:lvlJc w:val="left"/>
      <w:pPr>
        <w:ind w:left="5040" w:hanging="360"/>
      </w:pPr>
      <w:rPr>
        <w:rFonts w:ascii="Symbol" w:hAnsi="Symbol" w:hint="default"/>
      </w:rPr>
    </w:lvl>
    <w:lvl w:ilvl="7" w:tplc="9F32CA3E" w:tentative="1">
      <w:start w:val="1"/>
      <w:numFmt w:val="bullet"/>
      <w:lvlText w:val="o"/>
      <w:lvlJc w:val="left"/>
      <w:pPr>
        <w:ind w:left="5760" w:hanging="360"/>
      </w:pPr>
      <w:rPr>
        <w:rFonts w:ascii="Courier New" w:hAnsi="Courier New" w:hint="default"/>
      </w:rPr>
    </w:lvl>
    <w:lvl w:ilvl="8" w:tplc="52EA3A94" w:tentative="1">
      <w:start w:val="1"/>
      <w:numFmt w:val="bullet"/>
      <w:lvlText w:val=""/>
      <w:lvlJc w:val="left"/>
      <w:pPr>
        <w:ind w:left="6480" w:hanging="360"/>
      </w:pPr>
      <w:rPr>
        <w:rFonts w:ascii="Wingdings" w:hAnsi="Wingdings" w:hint="default"/>
      </w:rPr>
    </w:lvl>
  </w:abstractNum>
  <w:abstractNum w:abstractNumId="3" w15:restartNumberingAfterBreak="0">
    <w:nsid w:val="5CFD233D"/>
    <w:multiLevelType w:val="hybridMultilevel"/>
    <w:tmpl w:val="370C3190"/>
    <w:lvl w:ilvl="0" w:tplc="B83457D4">
      <w:start w:val="5"/>
      <w:numFmt w:val="bullet"/>
      <w:lvlText w:val=""/>
      <w:lvlJc w:val="left"/>
      <w:pPr>
        <w:ind w:left="720" w:hanging="360"/>
      </w:pPr>
      <w:rPr>
        <w:rFonts w:ascii="Symbol" w:eastAsia="Times New Roman" w:hAnsi="Symbol" w:cstheme="majorHAnsi" w:hint="default"/>
      </w:rPr>
    </w:lvl>
    <w:lvl w:ilvl="1" w:tplc="DB96C714" w:tentative="1">
      <w:start w:val="1"/>
      <w:numFmt w:val="bullet"/>
      <w:lvlText w:val="o"/>
      <w:lvlJc w:val="left"/>
      <w:pPr>
        <w:ind w:left="1440" w:hanging="360"/>
      </w:pPr>
      <w:rPr>
        <w:rFonts w:ascii="Courier New" w:hAnsi="Courier New" w:hint="default"/>
      </w:rPr>
    </w:lvl>
    <w:lvl w:ilvl="2" w:tplc="C49E5A02" w:tentative="1">
      <w:start w:val="1"/>
      <w:numFmt w:val="bullet"/>
      <w:lvlText w:val=""/>
      <w:lvlJc w:val="left"/>
      <w:pPr>
        <w:ind w:left="2160" w:hanging="360"/>
      </w:pPr>
      <w:rPr>
        <w:rFonts w:ascii="Wingdings" w:hAnsi="Wingdings" w:hint="default"/>
      </w:rPr>
    </w:lvl>
    <w:lvl w:ilvl="3" w:tplc="9A3690F6" w:tentative="1">
      <w:start w:val="1"/>
      <w:numFmt w:val="bullet"/>
      <w:lvlText w:val=""/>
      <w:lvlJc w:val="left"/>
      <w:pPr>
        <w:ind w:left="2880" w:hanging="360"/>
      </w:pPr>
      <w:rPr>
        <w:rFonts w:ascii="Symbol" w:hAnsi="Symbol" w:hint="default"/>
      </w:rPr>
    </w:lvl>
    <w:lvl w:ilvl="4" w:tplc="A0602B78" w:tentative="1">
      <w:start w:val="1"/>
      <w:numFmt w:val="bullet"/>
      <w:lvlText w:val="o"/>
      <w:lvlJc w:val="left"/>
      <w:pPr>
        <w:ind w:left="3600" w:hanging="360"/>
      </w:pPr>
      <w:rPr>
        <w:rFonts w:ascii="Courier New" w:hAnsi="Courier New" w:hint="default"/>
      </w:rPr>
    </w:lvl>
    <w:lvl w:ilvl="5" w:tplc="DE54E35E" w:tentative="1">
      <w:start w:val="1"/>
      <w:numFmt w:val="bullet"/>
      <w:lvlText w:val=""/>
      <w:lvlJc w:val="left"/>
      <w:pPr>
        <w:ind w:left="4320" w:hanging="360"/>
      </w:pPr>
      <w:rPr>
        <w:rFonts w:ascii="Wingdings" w:hAnsi="Wingdings" w:hint="default"/>
      </w:rPr>
    </w:lvl>
    <w:lvl w:ilvl="6" w:tplc="0D40C08E" w:tentative="1">
      <w:start w:val="1"/>
      <w:numFmt w:val="bullet"/>
      <w:lvlText w:val=""/>
      <w:lvlJc w:val="left"/>
      <w:pPr>
        <w:ind w:left="5040" w:hanging="360"/>
      </w:pPr>
      <w:rPr>
        <w:rFonts w:ascii="Symbol" w:hAnsi="Symbol" w:hint="default"/>
      </w:rPr>
    </w:lvl>
    <w:lvl w:ilvl="7" w:tplc="97EA6888" w:tentative="1">
      <w:start w:val="1"/>
      <w:numFmt w:val="bullet"/>
      <w:lvlText w:val="o"/>
      <w:lvlJc w:val="left"/>
      <w:pPr>
        <w:ind w:left="5760" w:hanging="360"/>
      </w:pPr>
      <w:rPr>
        <w:rFonts w:ascii="Courier New" w:hAnsi="Courier New" w:hint="default"/>
      </w:rPr>
    </w:lvl>
    <w:lvl w:ilvl="8" w:tplc="B67AFEF6" w:tentative="1">
      <w:start w:val="1"/>
      <w:numFmt w:val="bullet"/>
      <w:lvlText w:val=""/>
      <w:lvlJc w:val="left"/>
      <w:pPr>
        <w:ind w:left="6480" w:hanging="360"/>
      </w:pPr>
      <w:rPr>
        <w:rFonts w:ascii="Wingdings" w:hAnsi="Wingdings" w:hint="default"/>
      </w:rPr>
    </w:lvl>
  </w:abstractNum>
  <w:abstractNum w:abstractNumId="4" w15:restartNumberingAfterBreak="0">
    <w:nsid w:val="665046E9"/>
    <w:multiLevelType w:val="hybridMultilevel"/>
    <w:tmpl w:val="19564406"/>
    <w:lvl w:ilvl="0" w:tplc="78E08DF8">
      <w:start w:val="1"/>
      <w:numFmt w:val="decimal"/>
      <w:lvlText w:val="%1."/>
      <w:lvlJc w:val="left"/>
      <w:pPr>
        <w:ind w:left="720" w:hanging="360"/>
      </w:pPr>
    </w:lvl>
    <w:lvl w:ilvl="1" w:tplc="F0F8F8EA" w:tentative="1">
      <w:start w:val="1"/>
      <w:numFmt w:val="lowerLetter"/>
      <w:lvlText w:val="%2."/>
      <w:lvlJc w:val="left"/>
      <w:pPr>
        <w:ind w:left="1440" w:hanging="360"/>
      </w:pPr>
    </w:lvl>
    <w:lvl w:ilvl="2" w:tplc="F4AC30F8" w:tentative="1">
      <w:start w:val="1"/>
      <w:numFmt w:val="lowerRoman"/>
      <w:lvlText w:val="%3."/>
      <w:lvlJc w:val="right"/>
      <w:pPr>
        <w:ind w:left="2160" w:hanging="180"/>
      </w:pPr>
    </w:lvl>
    <w:lvl w:ilvl="3" w:tplc="16120700" w:tentative="1">
      <w:start w:val="1"/>
      <w:numFmt w:val="decimal"/>
      <w:lvlText w:val="%4."/>
      <w:lvlJc w:val="left"/>
      <w:pPr>
        <w:ind w:left="2880" w:hanging="360"/>
      </w:pPr>
    </w:lvl>
    <w:lvl w:ilvl="4" w:tplc="EDCE86E4" w:tentative="1">
      <w:start w:val="1"/>
      <w:numFmt w:val="lowerLetter"/>
      <w:lvlText w:val="%5."/>
      <w:lvlJc w:val="left"/>
      <w:pPr>
        <w:ind w:left="3600" w:hanging="360"/>
      </w:pPr>
    </w:lvl>
    <w:lvl w:ilvl="5" w:tplc="6C428C36" w:tentative="1">
      <w:start w:val="1"/>
      <w:numFmt w:val="lowerRoman"/>
      <w:lvlText w:val="%6."/>
      <w:lvlJc w:val="right"/>
      <w:pPr>
        <w:ind w:left="4320" w:hanging="180"/>
      </w:pPr>
    </w:lvl>
    <w:lvl w:ilvl="6" w:tplc="82521F64" w:tentative="1">
      <w:start w:val="1"/>
      <w:numFmt w:val="decimal"/>
      <w:lvlText w:val="%7."/>
      <w:lvlJc w:val="left"/>
      <w:pPr>
        <w:ind w:left="5040" w:hanging="360"/>
      </w:pPr>
    </w:lvl>
    <w:lvl w:ilvl="7" w:tplc="C7408CA8" w:tentative="1">
      <w:start w:val="1"/>
      <w:numFmt w:val="lowerLetter"/>
      <w:lvlText w:val="%8."/>
      <w:lvlJc w:val="left"/>
      <w:pPr>
        <w:ind w:left="5760" w:hanging="360"/>
      </w:pPr>
    </w:lvl>
    <w:lvl w:ilvl="8" w:tplc="70CE2328" w:tentative="1">
      <w:start w:val="1"/>
      <w:numFmt w:val="lowerRoman"/>
      <w:lvlText w:val="%9."/>
      <w:lvlJc w:val="right"/>
      <w:pPr>
        <w:ind w:left="6480" w:hanging="180"/>
      </w:pPr>
    </w:lvl>
  </w:abstractNum>
  <w:num w:numId="1" w16cid:durableId="614214778">
    <w:abstractNumId w:val="4"/>
  </w:num>
  <w:num w:numId="2" w16cid:durableId="2050379569">
    <w:abstractNumId w:val="1"/>
  </w:num>
  <w:num w:numId="3" w16cid:durableId="208222507">
    <w:abstractNumId w:val="2"/>
  </w:num>
  <w:num w:numId="4" w16cid:durableId="643656210">
    <w:abstractNumId w:val="3"/>
  </w:num>
  <w:num w:numId="5" w16cid:durableId="175959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6528"/>
    <w:rsid w:val="00006A5B"/>
    <w:rsid w:val="000111B2"/>
    <w:rsid w:val="00011913"/>
    <w:rsid w:val="000119D0"/>
    <w:rsid w:val="00011BAA"/>
    <w:rsid w:val="000128DF"/>
    <w:rsid w:val="00013508"/>
    <w:rsid w:val="0001350A"/>
    <w:rsid w:val="00013AE4"/>
    <w:rsid w:val="00017296"/>
    <w:rsid w:val="0002030D"/>
    <w:rsid w:val="00020A4F"/>
    <w:rsid w:val="000218F8"/>
    <w:rsid w:val="00021C43"/>
    <w:rsid w:val="00021F72"/>
    <w:rsid w:val="00023292"/>
    <w:rsid w:val="00026A25"/>
    <w:rsid w:val="00027CD4"/>
    <w:rsid w:val="00030218"/>
    <w:rsid w:val="000314B2"/>
    <w:rsid w:val="000323B2"/>
    <w:rsid w:val="00032ADB"/>
    <w:rsid w:val="00034410"/>
    <w:rsid w:val="00035BB1"/>
    <w:rsid w:val="0003712A"/>
    <w:rsid w:val="000374D3"/>
    <w:rsid w:val="000377F3"/>
    <w:rsid w:val="000377F9"/>
    <w:rsid w:val="0004010A"/>
    <w:rsid w:val="000415FA"/>
    <w:rsid w:val="000416BA"/>
    <w:rsid w:val="00043D43"/>
    <w:rsid w:val="0004418F"/>
    <w:rsid w:val="0004447F"/>
    <w:rsid w:val="0004452B"/>
    <w:rsid w:val="00045544"/>
    <w:rsid w:val="00050D9B"/>
    <w:rsid w:val="000521C2"/>
    <w:rsid w:val="00052449"/>
    <w:rsid w:val="000525B9"/>
    <w:rsid w:val="000532FD"/>
    <w:rsid w:val="0005400B"/>
    <w:rsid w:val="00056983"/>
    <w:rsid w:val="00057A7F"/>
    <w:rsid w:val="00061F2B"/>
    <w:rsid w:val="00062730"/>
    <w:rsid w:val="00064BCC"/>
    <w:rsid w:val="00064C50"/>
    <w:rsid w:val="0006572D"/>
    <w:rsid w:val="0006583B"/>
    <w:rsid w:val="00066346"/>
    <w:rsid w:val="00067C1A"/>
    <w:rsid w:val="000713C8"/>
    <w:rsid w:val="0007173C"/>
    <w:rsid w:val="00072B87"/>
    <w:rsid w:val="00072B9F"/>
    <w:rsid w:val="000735A8"/>
    <w:rsid w:val="00073AA3"/>
    <w:rsid w:val="00073C53"/>
    <w:rsid w:val="0007490C"/>
    <w:rsid w:val="000756C6"/>
    <w:rsid w:val="00076F33"/>
    <w:rsid w:val="000805A0"/>
    <w:rsid w:val="00080D76"/>
    <w:rsid w:val="000810BE"/>
    <w:rsid w:val="000819D9"/>
    <w:rsid w:val="000831AD"/>
    <w:rsid w:val="000838C2"/>
    <w:rsid w:val="000839C3"/>
    <w:rsid w:val="00083EC4"/>
    <w:rsid w:val="00084AD6"/>
    <w:rsid w:val="000879BA"/>
    <w:rsid w:val="0009015C"/>
    <w:rsid w:val="00093F1F"/>
    <w:rsid w:val="00094126"/>
    <w:rsid w:val="00094699"/>
    <w:rsid w:val="000954F4"/>
    <w:rsid w:val="00095EF1"/>
    <w:rsid w:val="000967B0"/>
    <w:rsid w:val="000973EE"/>
    <w:rsid w:val="000A1DC4"/>
    <w:rsid w:val="000A23D1"/>
    <w:rsid w:val="000A2AE2"/>
    <w:rsid w:val="000A6136"/>
    <w:rsid w:val="000A6649"/>
    <w:rsid w:val="000A6E4B"/>
    <w:rsid w:val="000B0C9B"/>
    <w:rsid w:val="000B1677"/>
    <w:rsid w:val="000B1ABC"/>
    <w:rsid w:val="000B2144"/>
    <w:rsid w:val="000B270B"/>
    <w:rsid w:val="000B4933"/>
    <w:rsid w:val="000B4D42"/>
    <w:rsid w:val="000B51B2"/>
    <w:rsid w:val="000B7BA9"/>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68CF"/>
    <w:rsid w:val="000D6DA5"/>
    <w:rsid w:val="000D7837"/>
    <w:rsid w:val="000D7C57"/>
    <w:rsid w:val="000D7CEC"/>
    <w:rsid w:val="000E02ED"/>
    <w:rsid w:val="000E0890"/>
    <w:rsid w:val="000E2434"/>
    <w:rsid w:val="000E24E4"/>
    <w:rsid w:val="000E284E"/>
    <w:rsid w:val="000E29C2"/>
    <w:rsid w:val="000F12D8"/>
    <w:rsid w:val="000F1AA0"/>
    <w:rsid w:val="000F1DBE"/>
    <w:rsid w:val="000F2C73"/>
    <w:rsid w:val="000F3D9D"/>
    <w:rsid w:val="000F43B1"/>
    <w:rsid w:val="000F4E35"/>
    <w:rsid w:val="000F4ECD"/>
    <w:rsid w:val="000F5299"/>
    <w:rsid w:val="000F5F5C"/>
    <w:rsid w:val="000F6427"/>
    <w:rsid w:val="001011B7"/>
    <w:rsid w:val="00103A1D"/>
    <w:rsid w:val="00104D58"/>
    <w:rsid w:val="001058C6"/>
    <w:rsid w:val="0010680E"/>
    <w:rsid w:val="00107FDA"/>
    <w:rsid w:val="00110490"/>
    <w:rsid w:val="001104F8"/>
    <w:rsid w:val="0011130B"/>
    <w:rsid w:val="00111F08"/>
    <w:rsid w:val="0011275B"/>
    <w:rsid w:val="00113C79"/>
    <w:rsid w:val="00114258"/>
    <w:rsid w:val="00116220"/>
    <w:rsid w:val="001165DC"/>
    <w:rsid w:val="001175AC"/>
    <w:rsid w:val="001206E0"/>
    <w:rsid w:val="00122EDC"/>
    <w:rsid w:val="00123A38"/>
    <w:rsid w:val="00124C89"/>
    <w:rsid w:val="00126622"/>
    <w:rsid w:val="001273F6"/>
    <w:rsid w:val="00130820"/>
    <w:rsid w:val="00130A52"/>
    <w:rsid w:val="00130E5B"/>
    <w:rsid w:val="00131382"/>
    <w:rsid w:val="00131E06"/>
    <w:rsid w:val="001325C5"/>
    <w:rsid w:val="001326F7"/>
    <w:rsid w:val="00133C1B"/>
    <w:rsid w:val="001431F4"/>
    <w:rsid w:val="001432AC"/>
    <w:rsid w:val="00144382"/>
    <w:rsid w:val="00144468"/>
    <w:rsid w:val="00146175"/>
    <w:rsid w:val="0014685A"/>
    <w:rsid w:val="001475A1"/>
    <w:rsid w:val="001475A4"/>
    <w:rsid w:val="00150CC4"/>
    <w:rsid w:val="00151B5F"/>
    <w:rsid w:val="0015221A"/>
    <w:rsid w:val="00153513"/>
    <w:rsid w:val="001537F8"/>
    <w:rsid w:val="00154563"/>
    <w:rsid w:val="001556FB"/>
    <w:rsid w:val="00157B0C"/>
    <w:rsid w:val="0016193C"/>
    <w:rsid w:val="00163914"/>
    <w:rsid w:val="00163E3E"/>
    <w:rsid w:val="00164FDF"/>
    <w:rsid w:val="001652A7"/>
    <w:rsid w:val="00166356"/>
    <w:rsid w:val="00167923"/>
    <w:rsid w:val="00167DAE"/>
    <w:rsid w:val="00170C4C"/>
    <w:rsid w:val="00171EBC"/>
    <w:rsid w:val="001721B4"/>
    <w:rsid w:val="0017243A"/>
    <w:rsid w:val="0017266A"/>
    <w:rsid w:val="00174134"/>
    <w:rsid w:val="00177875"/>
    <w:rsid w:val="001813FF"/>
    <w:rsid w:val="00182CB6"/>
    <w:rsid w:val="00183AF3"/>
    <w:rsid w:val="00186FE5"/>
    <w:rsid w:val="00192DDC"/>
    <w:rsid w:val="001930F6"/>
    <w:rsid w:val="0019313A"/>
    <w:rsid w:val="00194485"/>
    <w:rsid w:val="001949BE"/>
    <w:rsid w:val="0019784B"/>
    <w:rsid w:val="001A187C"/>
    <w:rsid w:val="001A2DD8"/>
    <w:rsid w:val="001A36AD"/>
    <w:rsid w:val="001A407A"/>
    <w:rsid w:val="001A4627"/>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C175E"/>
    <w:rsid w:val="001C1A84"/>
    <w:rsid w:val="001C1DCA"/>
    <w:rsid w:val="001C29F6"/>
    <w:rsid w:val="001C36E5"/>
    <w:rsid w:val="001C378E"/>
    <w:rsid w:val="001C5EFE"/>
    <w:rsid w:val="001C7252"/>
    <w:rsid w:val="001D02E4"/>
    <w:rsid w:val="001D10AC"/>
    <w:rsid w:val="001D11EA"/>
    <w:rsid w:val="001D2EEC"/>
    <w:rsid w:val="001D325F"/>
    <w:rsid w:val="001D3517"/>
    <w:rsid w:val="001D38D7"/>
    <w:rsid w:val="001D4143"/>
    <w:rsid w:val="001D4C34"/>
    <w:rsid w:val="001D6A74"/>
    <w:rsid w:val="001D6B18"/>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2601"/>
    <w:rsid w:val="00213DFC"/>
    <w:rsid w:val="00214168"/>
    <w:rsid w:val="00214D48"/>
    <w:rsid w:val="002164E2"/>
    <w:rsid w:val="00216896"/>
    <w:rsid w:val="00216DC9"/>
    <w:rsid w:val="00217015"/>
    <w:rsid w:val="00217153"/>
    <w:rsid w:val="00220759"/>
    <w:rsid w:val="00220BB9"/>
    <w:rsid w:val="0022221C"/>
    <w:rsid w:val="00222A14"/>
    <w:rsid w:val="00223420"/>
    <w:rsid w:val="00224408"/>
    <w:rsid w:val="00224679"/>
    <w:rsid w:val="00224DDA"/>
    <w:rsid w:val="002255F0"/>
    <w:rsid w:val="00225AFE"/>
    <w:rsid w:val="00226E49"/>
    <w:rsid w:val="00231171"/>
    <w:rsid w:val="00231610"/>
    <w:rsid w:val="00232667"/>
    <w:rsid w:val="0023425A"/>
    <w:rsid w:val="002353CA"/>
    <w:rsid w:val="00235562"/>
    <w:rsid w:val="00235649"/>
    <w:rsid w:val="00235B77"/>
    <w:rsid w:val="00235EAA"/>
    <w:rsid w:val="0023725A"/>
    <w:rsid w:val="00240F20"/>
    <w:rsid w:val="00241488"/>
    <w:rsid w:val="00243714"/>
    <w:rsid w:val="00243840"/>
    <w:rsid w:val="0025012C"/>
    <w:rsid w:val="002506A8"/>
    <w:rsid w:val="002514D5"/>
    <w:rsid w:val="00251D2E"/>
    <w:rsid w:val="00254E71"/>
    <w:rsid w:val="00255A28"/>
    <w:rsid w:val="00257BD3"/>
    <w:rsid w:val="002601DC"/>
    <w:rsid w:val="0026116A"/>
    <w:rsid w:val="002616D0"/>
    <w:rsid w:val="00261AE1"/>
    <w:rsid w:val="00261AE7"/>
    <w:rsid w:val="0026226A"/>
    <w:rsid w:val="00262FB5"/>
    <w:rsid w:val="0026327E"/>
    <w:rsid w:val="00267892"/>
    <w:rsid w:val="00270AEF"/>
    <w:rsid w:val="00271DC8"/>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2A64"/>
    <w:rsid w:val="002A329B"/>
    <w:rsid w:val="002A4524"/>
    <w:rsid w:val="002A592F"/>
    <w:rsid w:val="002A6DBB"/>
    <w:rsid w:val="002B214D"/>
    <w:rsid w:val="002B3973"/>
    <w:rsid w:val="002B3C8A"/>
    <w:rsid w:val="002B642C"/>
    <w:rsid w:val="002B663E"/>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233D"/>
    <w:rsid w:val="002D2539"/>
    <w:rsid w:val="002D2566"/>
    <w:rsid w:val="002D29C7"/>
    <w:rsid w:val="002D2CD5"/>
    <w:rsid w:val="002D34A9"/>
    <w:rsid w:val="002D4F5B"/>
    <w:rsid w:val="002D5E0C"/>
    <w:rsid w:val="002D63BA"/>
    <w:rsid w:val="002D69CC"/>
    <w:rsid w:val="002D7954"/>
    <w:rsid w:val="002E0A95"/>
    <w:rsid w:val="002E2196"/>
    <w:rsid w:val="002E34D5"/>
    <w:rsid w:val="002E3735"/>
    <w:rsid w:val="002E558B"/>
    <w:rsid w:val="002E6130"/>
    <w:rsid w:val="002E69B0"/>
    <w:rsid w:val="002F0273"/>
    <w:rsid w:val="002F06BD"/>
    <w:rsid w:val="002F1558"/>
    <w:rsid w:val="002F1FF1"/>
    <w:rsid w:val="002F2881"/>
    <w:rsid w:val="002F3183"/>
    <w:rsid w:val="002F3892"/>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D16"/>
    <w:rsid w:val="003221C9"/>
    <w:rsid w:val="00323377"/>
    <w:rsid w:val="003241A0"/>
    <w:rsid w:val="00325F71"/>
    <w:rsid w:val="003264B6"/>
    <w:rsid w:val="00326B00"/>
    <w:rsid w:val="00326B56"/>
    <w:rsid w:val="00326F0A"/>
    <w:rsid w:val="0033061C"/>
    <w:rsid w:val="00332DED"/>
    <w:rsid w:val="0033320A"/>
    <w:rsid w:val="00333DE7"/>
    <w:rsid w:val="00334AE1"/>
    <w:rsid w:val="003351C0"/>
    <w:rsid w:val="00340BCF"/>
    <w:rsid w:val="00344F3C"/>
    <w:rsid w:val="003457D0"/>
    <w:rsid w:val="00345876"/>
    <w:rsid w:val="003469FC"/>
    <w:rsid w:val="00347726"/>
    <w:rsid w:val="0035022A"/>
    <w:rsid w:val="003514C3"/>
    <w:rsid w:val="0035173C"/>
    <w:rsid w:val="00355181"/>
    <w:rsid w:val="0035720E"/>
    <w:rsid w:val="00360494"/>
    <w:rsid w:val="003628F7"/>
    <w:rsid w:val="0036441B"/>
    <w:rsid w:val="00364AB9"/>
    <w:rsid w:val="003665AD"/>
    <w:rsid w:val="00366912"/>
    <w:rsid w:val="00367018"/>
    <w:rsid w:val="00372AE6"/>
    <w:rsid w:val="00372F8A"/>
    <w:rsid w:val="003737C4"/>
    <w:rsid w:val="00374ED6"/>
    <w:rsid w:val="00375A1A"/>
    <w:rsid w:val="00375AA0"/>
    <w:rsid w:val="00380AE1"/>
    <w:rsid w:val="00380E3E"/>
    <w:rsid w:val="00381AD6"/>
    <w:rsid w:val="00381B75"/>
    <w:rsid w:val="00383573"/>
    <w:rsid w:val="00383AAD"/>
    <w:rsid w:val="003902DF"/>
    <w:rsid w:val="003920AD"/>
    <w:rsid w:val="003924CA"/>
    <w:rsid w:val="00393159"/>
    <w:rsid w:val="003932AB"/>
    <w:rsid w:val="003941BE"/>
    <w:rsid w:val="003948BE"/>
    <w:rsid w:val="00394EB2"/>
    <w:rsid w:val="00395801"/>
    <w:rsid w:val="00397BF5"/>
    <w:rsid w:val="003A00C2"/>
    <w:rsid w:val="003A056A"/>
    <w:rsid w:val="003A109B"/>
    <w:rsid w:val="003A2CB1"/>
    <w:rsid w:val="003A2E5D"/>
    <w:rsid w:val="003A34D6"/>
    <w:rsid w:val="003A45E9"/>
    <w:rsid w:val="003A49F2"/>
    <w:rsid w:val="003A54A1"/>
    <w:rsid w:val="003A573F"/>
    <w:rsid w:val="003A5892"/>
    <w:rsid w:val="003A6E0A"/>
    <w:rsid w:val="003A7B3D"/>
    <w:rsid w:val="003A7DFC"/>
    <w:rsid w:val="003B04DD"/>
    <w:rsid w:val="003B092A"/>
    <w:rsid w:val="003B0A2B"/>
    <w:rsid w:val="003B1032"/>
    <w:rsid w:val="003B26FD"/>
    <w:rsid w:val="003B2E5A"/>
    <w:rsid w:val="003B349D"/>
    <w:rsid w:val="003B3733"/>
    <w:rsid w:val="003B38A6"/>
    <w:rsid w:val="003B6603"/>
    <w:rsid w:val="003B6A41"/>
    <w:rsid w:val="003B75A5"/>
    <w:rsid w:val="003B7810"/>
    <w:rsid w:val="003B79C2"/>
    <w:rsid w:val="003C0631"/>
    <w:rsid w:val="003C0B7B"/>
    <w:rsid w:val="003C334C"/>
    <w:rsid w:val="003C3CC1"/>
    <w:rsid w:val="003C4274"/>
    <w:rsid w:val="003C478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770F"/>
    <w:rsid w:val="004102E1"/>
    <w:rsid w:val="00411062"/>
    <w:rsid w:val="004112F6"/>
    <w:rsid w:val="00414539"/>
    <w:rsid w:val="004145BC"/>
    <w:rsid w:val="00415155"/>
    <w:rsid w:val="00415222"/>
    <w:rsid w:val="00416594"/>
    <w:rsid w:val="00417B51"/>
    <w:rsid w:val="00420FBC"/>
    <w:rsid w:val="004211C3"/>
    <w:rsid w:val="004227BF"/>
    <w:rsid w:val="00422A4A"/>
    <w:rsid w:val="0042536D"/>
    <w:rsid w:val="004259E7"/>
    <w:rsid w:val="00427F19"/>
    <w:rsid w:val="004301B0"/>
    <w:rsid w:val="004301FD"/>
    <w:rsid w:val="004312D7"/>
    <w:rsid w:val="00432A18"/>
    <w:rsid w:val="004330C0"/>
    <w:rsid w:val="004354F4"/>
    <w:rsid w:val="00435AF2"/>
    <w:rsid w:val="004374E1"/>
    <w:rsid w:val="00437B90"/>
    <w:rsid w:val="00437ED7"/>
    <w:rsid w:val="0044114F"/>
    <w:rsid w:val="0044345C"/>
    <w:rsid w:val="00443584"/>
    <w:rsid w:val="0044409A"/>
    <w:rsid w:val="00445ADC"/>
    <w:rsid w:val="00447A69"/>
    <w:rsid w:val="00451AA2"/>
    <w:rsid w:val="00453EBE"/>
    <w:rsid w:val="00455DB6"/>
    <w:rsid w:val="00455E14"/>
    <w:rsid w:val="00457050"/>
    <w:rsid w:val="00457274"/>
    <w:rsid w:val="004575C8"/>
    <w:rsid w:val="004578CA"/>
    <w:rsid w:val="00460018"/>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68DA"/>
    <w:rsid w:val="0047723B"/>
    <w:rsid w:val="00480D03"/>
    <w:rsid w:val="004823A4"/>
    <w:rsid w:val="00482726"/>
    <w:rsid w:val="004850D0"/>
    <w:rsid w:val="00486207"/>
    <w:rsid w:val="00486873"/>
    <w:rsid w:val="00487E59"/>
    <w:rsid w:val="004901AB"/>
    <w:rsid w:val="004901AE"/>
    <w:rsid w:val="00490210"/>
    <w:rsid w:val="00490301"/>
    <w:rsid w:val="00490321"/>
    <w:rsid w:val="00491250"/>
    <w:rsid w:val="00492C3D"/>
    <w:rsid w:val="00492EF7"/>
    <w:rsid w:val="004931BD"/>
    <w:rsid w:val="00493B58"/>
    <w:rsid w:val="00494EFE"/>
    <w:rsid w:val="00495BA1"/>
    <w:rsid w:val="004A0544"/>
    <w:rsid w:val="004A0CBE"/>
    <w:rsid w:val="004A11E5"/>
    <w:rsid w:val="004A2319"/>
    <w:rsid w:val="004A254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6D0F"/>
    <w:rsid w:val="004B71C5"/>
    <w:rsid w:val="004C14B7"/>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ACE"/>
    <w:rsid w:val="004E3B23"/>
    <w:rsid w:val="004E6040"/>
    <w:rsid w:val="004F0E14"/>
    <w:rsid w:val="004F3E34"/>
    <w:rsid w:val="004F4142"/>
    <w:rsid w:val="004F49B0"/>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385D"/>
    <w:rsid w:val="005A4235"/>
    <w:rsid w:val="005A6A59"/>
    <w:rsid w:val="005B1640"/>
    <w:rsid w:val="005B2B9F"/>
    <w:rsid w:val="005B3F58"/>
    <w:rsid w:val="005B4FE4"/>
    <w:rsid w:val="005B7D3D"/>
    <w:rsid w:val="005C1237"/>
    <w:rsid w:val="005C3626"/>
    <w:rsid w:val="005C408F"/>
    <w:rsid w:val="005C65F3"/>
    <w:rsid w:val="005C7269"/>
    <w:rsid w:val="005C7766"/>
    <w:rsid w:val="005D2649"/>
    <w:rsid w:val="005D27AC"/>
    <w:rsid w:val="005D3307"/>
    <w:rsid w:val="005D3369"/>
    <w:rsid w:val="005D3955"/>
    <w:rsid w:val="005D3B72"/>
    <w:rsid w:val="005D4060"/>
    <w:rsid w:val="005D57C4"/>
    <w:rsid w:val="005D591A"/>
    <w:rsid w:val="005E17B2"/>
    <w:rsid w:val="005E19E7"/>
    <w:rsid w:val="005E5819"/>
    <w:rsid w:val="005E599F"/>
    <w:rsid w:val="005E5F32"/>
    <w:rsid w:val="005E6648"/>
    <w:rsid w:val="005E75C5"/>
    <w:rsid w:val="005E7FA4"/>
    <w:rsid w:val="005F0161"/>
    <w:rsid w:val="005F0E8D"/>
    <w:rsid w:val="005F1938"/>
    <w:rsid w:val="005F4C5E"/>
    <w:rsid w:val="005F6D89"/>
    <w:rsid w:val="005F6EE0"/>
    <w:rsid w:val="005F7B10"/>
    <w:rsid w:val="00601B7B"/>
    <w:rsid w:val="00601BAA"/>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406FE"/>
    <w:rsid w:val="00641FF6"/>
    <w:rsid w:val="00642451"/>
    <w:rsid w:val="0064245C"/>
    <w:rsid w:val="00645316"/>
    <w:rsid w:val="00646821"/>
    <w:rsid w:val="00650505"/>
    <w:rsid w:val="00652A9A"/>
    <w:rsid w:val="00653769"/>
    <w:rsid w:val="0065383A"/>
    <w:rsid w:val="00654789"/>
    <w:rsid w:val="00655830"/>
    <w:rsid w:val="00662345"/>
    <w:rsid w:val="006645B6"/>
    <w:rsid w:val="00664B6B"/>
    <w:rsid w:val="00666D6B"/>
    <w:rsid w:val="00666D92"/>
    <w:rsid w:val="00671988"/>
    <w:rsid w:val="00672384"/>
    <w:rsid w:val="00672A84"/>
    <w:rsid w:val="00672B4A"/>
    <w:rsid w:val="006732C1"/>
    <w:rsid w:val="00673B89"/>
    <w:rsid w:val="00673CE6"/>
    <w:rsid w:val="00676B55"/>
    <w:rsid w:val="00676CEF"/>
    <w:rsid w:val="006805ED"/>
    <w:rsid w:val="006827FB"/>
    <w:rsid w:val="00684549"/>
    <w:rsid w:val="006857B5"/>
    <w:rsid w:val="00687B9D"/>
    <w:rsid w:val="006900B7"/>
    <w:rsid w:val="00690F5B"/>
    <w:rsid w:val="00691465"/>
    <w:rsid w:val="0069174C"/>
    <w:rsid w:val="00692B30"/>
    <w:rsid w:val="00694410"/>
    <w:rsid w:val="00696029"/>
    <w:rsid w:val="00696B83"/>
    <w:rsid w:val="00697598"/>
    <w:rsid w:val="006975DC"/>
    <w:rsid w:val="00697E83"/>
    <w:rsid w:val="006A0C5C"/>
    <w:rsid w:val="006A0F98"/>
    <w:rsid w:val="006A215D"/>
    <w:rsid w:val="006A26DB"/>
    <w:rsid w:val="006A37FD"/>
    <w:rsid w:val="006A4F99"/>
    <w:rsid w:val="006A5A3B"/>
    <w:rsid w:val="006A671B"/>
    <w:rsid w:val="006B0292"/>
    <w:rsid w:val="006B2E43"/>
    <w:rsid w:val="006B7517"/>
    <w:rsid w:val="006B7A30"/>
    <w:rsid w:val="006C086F"/>
    <w:rsid w:val="006C0A05"/>
    <w:rsid w:val="006C0CEE"/>
    <w:rsid w:val="006C0D10"/>
    <w:rsid w:val="006C17C8"/>
    <w:rsid w:val="006C1CF5"/>
    <w:rsid w:val="006C21CF"/>
    <w:rsid w:val="006C452F"/>
    <w:rsid w:val="006C5878"/>
    <w:rsid w:val="006C5DE1"/>
    <w:rsid w:val="006D22AB"/>
    <w:rsid w:val="006D2D19"/>
    <w:rsid w:val="006D3397"/>
    <w:rsid w:val="006D38BA"/>
    <w:rsid w:val="006D38F0"/>
    <w:rsid w:val="006D4545"/>
    <w:rsid w:val="006D4DF0"/>
    <w:rsid w:val="006D5448"/>
    <w:rsid w:val="006D618B"/>
    <w:rsid w:val="006E24B0"/>
    <w:rsid w:val="006E32C1"/>
    <w:rsid w:val="006E335D"/>
    <w:rsid w:val="006E540C"/>
    <w:rsid w:val="006E5856"/>
    <w:rsid w:val="006E5963"/>
    <w:rsid w:val="006E596E"/>
    <w:rsid w:val="006F0BC6"/>
    <w:rsid w:val="006F4262"/>
    <w:rsid w:val="006F6671"/>
    <w:rsid w:val="006F7859"/>
    <w:rsid w:val="00701180"/>
    <w:rsid w:val="0070182A"/>
    <w:rsid w:val="00702CFF"/>
    <w:rsid w:val="007035D9"/>
    <w:rsid w:val="0070457C"/>
    <w:rsid w:val="00704BD7"/>
    <w:rsid w:val="00705971"/>
    <w:rsid w:val="007063C6"/>
    <w:rsid w:val="00707292"/>
    <w:rsid w:val="00712BB7"/>
    <w:rsid w:val="007136E0"/>
    <w:rsid w:val="007144C4"/>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30D26"/>
    <w:rsid w:val="00731736"/>
    <w:rsid w:val="007321DA"/>
    <w:rsid w:val="007325F0"/>
    <w:rsid w:val="00733D19"/>
    <w:rsid w:val="00734234"/>
    <w:rsid w:val="0073469D"/>
    <w:rsid w:val="007347D5"/>
    <w:rsid w:val="00734E0B"/>
    <w:rsid w:val="00735A73"/>
    <w:rsid w:val="00737580"/>
    <w:rsid w:val="0074028C"/>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6285C"/>
    <w:rsid w:val="00763238"/>
    <w:rsid w:val="00764184"/>
    <w:rsid w:val="00764280"/>
    <w:rsid w:val="007650B2"/>
    <w:rsid w:val="00765F0B"/>
    <w:rsid w:val="00766409"/>
    <w:rsid w:val="007668ED"/>
    <w:rsid w:val="007736C1"/>
    <w:rsid w:val="007745DA"/>
    <w:rsid w:val="00777B4A"/>
    <w:rsid w:val="00777D07"/>
    <w:rsid w:val="00781577"/>
    <w:rsid w:val="007831AF"/>
    <w:rsid w:val="00783D0B"/>
    <w:rsid w:val="00783F03"/>
    <w:rsid w:val="007843B8"/>
    <w:rsid w:val="007844FC"/>
    <w:rsid w:val="00786388"/>
    <w:rsid w:val="00786A29"/>
    <w:rsid w:val="00787E08"/>
    <w:rsid w:val="00791707"/>
    <w:rsid w:val="00791C0C"/>
    <w:rsid w:val="00792F3D"/>
    <w:rsid w:val="00793532"/>
    <w:rsid w:val="0079396D"/>
    <w:rsid w:val="00793BD9"/>
    <w:rsid w:val="00794292"/>
    <w:rsid w:val="0079441D"/>
    <w:rsid w:val="00794993"/>
    <w:rsid w:val="007953D8"/>
    <w:rsid w:val="007A26A3"/>
    <w:rsid w:val="007A2826"/>
    <w:rsid w:val="007A29B9"/>
    <w:rsid w:val="007A3788"/>
    <w:rsid w:val="007A42D1"/>
    <w:rsid w:val="007A4FB2"/>
    <w:rsid w:val="007A5466"/>
    <w:rsid w:val="007A63AD"/>
    <w:rsid w:val="007A6740"/>
    <w:rsid w:val="007A688D"/>
    <w:rsid w:val="007B0AB3"/>
    <w:rsid w:val="007B2A60"/>
    <w:rsid w:val="007B2AE3"/>
    <w:rsid w:val="007B3ED7"/>
    <w:rsid w:val="007B6DB9"/>
    <w:rsid w:val="007C1A8A"/>
    <w:rsid w:val="007C21F8"/>
    <w:rsid w:val="007C23EB"/>
    <w:rsid w:val="007C5515"/>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F0539"/>
    <w:rsid w:val="007F06A2"/>
    <w:rsid w:val="007F0FAB"/>
    <w:rsid w:val="007F19D1"/>
    <w:rsid w:val="007F542E"/>
    <w:rsid w:val="007F5754"/>
    <w:rsid w:val="007F58C0"/>
    <w:rsid w:val="007F77A7"/>
    <w:rsid w:val="007F7D0A"/>
    <w:rsid w:val="00801E1C"/>
    <w:rsid w:val="00802224"/>
    <w:rsid w:val="0080237A"/>
    <w:rsid w:val="00802839"/>
    <w:rsid w:val="00802D88"/>
    <w:rsid w:val="00803B7E"/>
    <w:rsid w:val="008054B7"/>
    <w:rsid w:val="00805AFD"/>
    <w:rsid w:val="0080605A"/>
    <w:rsid w:val="00807283"/>
    <w:rsid w:val="008127AA"/>
    <w:rsid w:val="00812BDF"/>
    <w:rsid w:val="00813959"/>
    <w:rsid w:val="008147ED"/>
    <w:rsid w:val="00814BFA"/>
    <w:rsid w:val="008153E3"/>
    <w:rsid w:val="008157CB"/>
    <w:rsid w:val="0081591D"/>
    <w:rsid w:val="0082244A"/>
    <w:rsid w:val="00823D1E"/>
    <w:rsid w:val="0082624A"/>
    <w:rsid w:val="00826ECD"/>
    <w:rsid w:val="008272B7"/>
    <w:rsid w:val="0082796D"/>
    <w:rsid w:val="00831245"/>
    <w:rsid w:val="00834C53"/>
    <w:rsid w:val="00835CAA"/>
    <w:rsid w:val="0083666A"/>
    <w:rsid w:val="008372BF"/>
    <w:rsid w:val="00840FB2"/>
    <w:rsid w:val="0084187F"/>
    <w:rsid w:val="00842324"/>
    <w:rsid w:val="008425FE"/>
    <w:rsid w:val="0084283C"/>
    <w:rsid w:val="0084332D"/>
    <w:rsid w:val="00844650"/>
    <w:rsid w:val="008458B3"/>
    <w:rsid w:val="00845E3E"/>
    <w:rsid w:val="00847B13"/>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4DC3"/>
    <w:rsid w:val="00880987"/>
    <w:rsid w:val="008812DF"/>
    <w:rsid w:val="008826E2"/>
    <w:rsid w:val="00882D83"/>
    <w:rsid w:val="008857BA"/>
    <w:rsid w:val="00887E86"/>
    <w:rsid w:val="008902B8"/>
    <w:rsid w:val="0089167F"/>
    <w:rsid w:val="00891B9C"/>
    <w:rsid w:val="008926B3"/>
    <w:rsid w:val="00894437"/>
    <w:rsid w:val="00894DCB"/>
    <w:rsid w:val="00895CC5"/>
    <w:rsid w:val="008969FE"/>
    <w:rsid w:val="00896E27"/>
    <w:rsid w:val="008A13E3"/>
    <w:rsid w:val="008A36B4"/>
    <w:rsid w:val="008A44AB"/>
    <w:rsid w:val="008A4B61"/>
    <w:rsid w:val="008A6EA3"/>
    <w:rsid w:val="008A6F37"/>
    <w:rsid w:val="008A7EA5"/>
    <w:rsid w:val="008B007D"/>
    <w:rsid w:val="008B53FE"/>
    <w:rsid w:val="008B5603"/>
    <w:rsid w:val="008B57B9"/>
    <w:rsid w:val="008C02F8"/>
    <w:rsid w:val="008C347B"/>
    <w:rsid w:val="008C49D1"/>
    <w:rsid w:val="008C58AF"/>
    <w:rsid w:val="008C5B5D"/>
    <w:rsid w:val="008D0E58"/>
    <w:rsid w:val="008D3041"/>
    <w:rsid w:val="008D6772"/>
    <w:rsid w:val="008D7521"/>
    <w:rsid w:val="008E1F4E"/>
    <w:rsid w:val="008E32DC"/>
    <w:rsid w:val="008E37EF"/>
    <w:rsid w:val="008E5304"/>
    <w:rsid w:val="008E5708"/>
    <w:rsid w:val="008E7711"/>
    <w:rsid w:val="008E7CE0"/>
    <w:rsid w:val="008F0822"/>
    <w:rsid w:val="008F0877"/>
    <w:rsid w:val="008F1826"/>
    <w:rsid w:val="008F1FF5"/>
    <w:rsid w:val="008F3009"/>
    <w:rsid w:val="008F32C9"/>
    <w:rsid w:val="008F35B9"/>
    <w:rsid w:val="008F5D45"/>
    <w:rsid w:val="00900CAC"/>
    <w:rsid w:val="00901A5C"/>
    <w:rsid w:val="00903FD1"/>
    <w:rsid w:val="009078D1"/>
    <w:rsid w:val="009115A8"/>
    <w:rsid w:val="00914F09"/>
    <w:rsid w:val="0091531A"/>
    <w:rsid w:val="00916B1E"/>
    <w:rsid w:val="00921C61"/>
    <w:rsid w:val="00923FD5"/>
    <w:rsid w:val="009246EF"/>
    <w:rsid w:val="0092492F"/>
    <w:rsid w:val="00924B86"/>
    <w:rsid w:val="00924E9F"/>
    <w:rsid w:val="009258DB"/>
    <w:rsid w:val="00925CE4"/>
    <w:rsid w:val="00926B63"/>
    <w:rsid w:val="00926BD3"/>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5E85"/>
    <w:rsid w:val="00956191"/>
    <w:rsid w:val="00962146"/>
    <w:rsid w:val="009625F3"/>
    <w:rsid w:val="009633D4"/>
    <w:rsid w:val="0097009F"/>
    <w:rsid w:val="00971ED4"/>
    <w:rsid w:val="00971F75"/>
    <w:rsid w:val="00972754"/>
    <w:rsid w:val="00973260"/>
    <w:rsid w:val="00973502"/>
    <w:rsid w:val="0098076F"/>
    <w:rsid w:val="00983C7C"/>
    <w:rsid w:val="00984B3D"/>
    <w:rsid w:val="00986FBB"/>
    <w:rsid w:val="00987DC7"/>
    <w:rsid w:val="00987DD2"/>
    <w:rsid w:val="00991577"/>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B75"/>
    <w:rsid w:val="009B4F34"/>
    <w:rsid w:val="009B5C08"/>
    <w:rsid w:val="009B67B5"/>
    <w:rsid w:val="009B7CEF"/>
    <w:rsid w:val="009C05C1"/>
    <w:rsid w:val="009C0657"/>
    <w:rsid w:val="009C124E"/>
    <w:rsid w:val="009C22F3"/>
    <w:rsid w:val="009C33F9"/>
    <w:rsid w:val="009C5108"/>
    <w:rsid w:val="009C6F25"/>
    <w:rsid w:val="009C7A5C"/>
    <w:rsid w:val="009C7B3C"/>
    <w:rsid w:val="009D1C09"/>
    <w:rsid w:val="009D265B"/>
    <w:rsid w:val="009D308C"/>
    <w:rsid w:val="009D35F8"/>
    <w:rsid w:val="009D6236"/>
    <w:rsid w:val="009D6E04"/>
    <w:rsid w:val="009D7405"/>
    <w:rsid w:val="009D7622"/>
    <w:rsid w:val="009D79C9"/>
    <w:rsid w:val="009D7D06"/>
    <w:rsid w:val="009E0A33"/>
    <w:rsid w:val="009E1F68"/>
    <w:rsid w:val="009E490D"/>
    <w:rsid w:val="009E6174"/>
    <w:rsid w:val="009E680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121DC"/>
    <w:rsid w:val="00A134BA"/>
    <w:rsid w:val="00A1410F"/>
    <w:rsid w:val="00A17223"/>
    <w:rsid w:val="00A175AF"/>
    <w:rsid w:val="00A20645"/>
    <w:rsid w:val="00A22623"/>
    <w:rsid w:val="00A22775"/>
    <w:rsid w:val="00A22D26"/>
    <w:rsid w:val="00A2352E"/>
    <w:rsid w:val="00A2491E"/>
    <w:rsid w:val="00A25470"/>
    <w:rsid w:val="00A261A9"/>
    <w:rsid w:val="00A26464"/>
    <w:rsid w:val="00A30DBD"/>
    <w:rsid w:val="00A32EDE"/>
    <w:rsid w:val="00A33843"/>
    <w:rsid w:val="00A40B74"/>
    <w:rsid w:val="00A40D21"/>
    <w:rsid w:val="00A40FD5"/>
    <w:rsid w:val="00A415A5"/>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4AD"/>
    <w:rsid w:val="00A67C6C"/>
    <w:rsid w:val="00A7097B"/>
    <w:rsid w:val="00A7121C"/>
    <w:rsid w:val="00A71632"/>
    <w:rsid w:val="00A719E9"/>
    <w:rsid w:val="00A72123"/>
    <w:rsid w:val="00A737AB"/>
    <w:rsid w:val="00A73C8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C68"/>
    <w:rsid w:val="00AA71D9"/>
    <w:rsid w:val="00AB17B5"/>
    <w:rsid w:val="00AB2048"/>
    <w:rsid w:val="00AB2DDB"/>
    <w:rsid w:val="00AB5EE3"/>
    <w:rsid w:val="00AB7372"/>
    <w:rsid w:val="00AB79A9"/>
    <w:rsid w:val="00AB7AEF"/>
    <w:rsid w:val="00AC0000"/>
    <w:rsid w:val="00AC20CA"/>
    <w:rsid w:val="00AC24E0"/>
    <w:rsid w:val="00AC26C3"/>
    <w:rsid w:val="00AC3AE7"/>
    <w:rsid w:val="00AC5AB3"/>
    <w:rsid w:val="00AC5ABE"/>
    <w:rsid w:val="00AC69B4"/>
    <w:rsid w:val="00AC6FA6"/>
    <w:rsid w:val="00AC7C6E"/>
    <w:rsid w:val="00AD04A1"/>
    <w:rsid w:val="00AD29E6"/>
    <w:rsid w:val="00AD3AA4"/>
    <w:rsid w:val="00AD48F0"/>
    <w:rsid w:val="00AD5472"/>
    <w:rsid w:val="00AE363A"/>
    <w:rsid w:val="00AE3991"/>
    <w:rsid w:val="00AE452F"/>
    <w:rsid w:val="00AE4F32"/>
    <w:rsid w:val="00AE586D"/>
    <w:rsid w:val="00AE58C9"/>
    <w:rsid w:val="00AE5C22"/>
    <w:rsid w:val="00AE6220"/>
    <w:rsid w:val="00AE6A52"/>
    <w:rsid w:val="00AE700E"/>
    <w:rsid w:val="00AF3998"/>
    <w:rsid w:val="00AF4F8F"/>
    <w:rsid w:val="00AF5DF1"/>
    <w:rsid w:val="00AF6510"/>
    <w:rsid w:val="00B02D9A"/>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7B85"/>
    <w:rsid w:val="00B31D1D"/>
    <w:rsid w:val="00B3254C"/>
    <w:rsid w:val="00B32717"/>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BF0"/>
    <w:rsid w:val="00B6073F"/>
    <w:rsid w:val="00B61DA2"/>
    <w:rsid w:val="00B61E4E"/>
    <w:rsid w:val="00B6211E"/>
    <w:rsid w:val="00B62C3D"/>
    <w:rsid w:val="00B63051"/>
    <w:rsid w:val="00B6757E"/>
    <w:rsid w:val="00B67C69"/>
    <w:rsid w:val="00B7238C"/>
    <w:rsid w:val="00B73280"/>
    <w:rsid w:val="00B736FB"/>
    <w:rsid w:val="00B755C2"/>
    <w:rsid w:val="00B769AF"/>
    <w:rsid w:val="00B77233"/>
    <w:rsid w:val="00B80182"/>
    <w:rsid w:val="00B80A4D"/>
    <w:rsid w:val="00B80A9A"/>
    <w:rsid w:val="00B81678"/>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DA"/>
    <w:rsid w:val="00BB1882"/>
    <w:rsid w:val="00BB2457"/>
    <w:rsid w:val="00BB2526"/>
    <w:rsid w:val="00BB3060"/>
    <w:rsid w:val="00BB3D46"/>
    <w:rsid w:val="00BB465E"/>
    <w:rsid w:val="00BB47C4"/>
    <w:rsid w:val="00BB4B03"/>
    <w:rsid w:val="00BB72A5"/>
    <w:rsid w:val="00BC1230"/>
    <w:rsid w:val="00BC1458"/>
    <w:rsid w:val="00BC16B6"/>
    <w:rsid w:val="00BC3076"/>
    <w:rsid w:val="00BC3D31"/>
    <w:rsid w:val="00BC43CB"/>
    <w:rsid w:val="00BC506F"/>
    <w:rsid w:val="00BC5A5D"/>
    <w:rsid w:val="00BC7193"/>
    <w:rsid w:val="00BD09DA"/>
    <w:rsid w:val="00BD1FB4"/>
    <w:rsid w:val="00BE09E7"/>
    <w:rsid w:val="00BE169A"/>
    <w:rsid w:val="00BE23C9"/>
    <w:rsid w:val="00BE23EA"/>
    <w:rsid w:val="00BE2A94"/>
    <w:rsid w:val="00BE42D5"/>
    <w:rsid w:val="00BE7C3C"/>
    <w:rsid w:val="00BF0A69"/>
    <w:rsid w:val="00BF1908"/>
    <w:rsid w:val="00BF1DA1"/>
    <w:rsid w:val="00BF200B"/>
    <w:rsid w:val="00BF539C"/>
    <w:rsid w:val="00BF5789"/>
    <w:rsid w:val="00C002E3"/>
    <w:rsid w:val="00C00461"/>
    <w:rsid w:val="00C01D06"/>
    <w:rsid w:val="00C03137"/>
    <w:rsid w:val="00C03C33"/>
    <w:rsid w:val="00C04F86"/>
    <w:rsid w:val="00C05343"/>
    <w:rsid w:val="00C1011F"/>
    <w:rsid w:val="00C11413"/>
    <w:rsid w:val="00C1226D"/>
    <w:rsid w:val="00C12652"/>
    <w:rsid w:val="00C1428F"/>
    <w:rsid w:val="00C172FA"/>
    <w:rsid w:val="00C20C12"/>
    <w:rsid w:val="00C228A3"/>
    <w:rsid w:val="00C22E1C"/>
    <w:rsid w:val="00C25613"/>
    <w:rsid w:val="00C256F3"/>
    <w:rsid w:val="00C30222"/>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B1"/>
    <w:rsid w:val="00C443D4"/>
    <w:rsid w:val="00C44D73"/>
    <w:rsid w:val="00C457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80554"/>
    <w:rsid w:val="00C81A4C"/>
    <w:rsid w:val="00C82775"/>
    <w:rsid w:val="00C82E8B"/>
    <w:rsid w:val="00C842F7"/>
    <w:rsid w:val="00C84EB6"/>
    <w:rsid w:val="00C8575D"/>
    <w:rsid w:val="00C9290D"/>
    <w:rsid w:val="00C92C21"/>
    <w:rsid w:val="00C933DB"/>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47FD"/>
    <w:rsid w:val="00CB5D9D"/>
    <w:rsid w:val="00CB7456"/>
    <w:rsid w:val="00CC11E4"/>
    <w:rsid w:val="00CC25F9"/>
    <w:rsid w:val="00CC276E"/>
    <w:rsid w:val="00CC3F10"/>
    <w:rsid w:val="00CC50EF"/>
    <w:rsid w:val="00CC72A3"/>
    <w:rsid w:val="00CC7465"/>
    <w:rsid w:val="00CC7B8B"/>
    <w:rsid w:val="00CD0505"/>
    <w:rsid w:val="00CD1F9A"/>
    <w:rsid w:val="00CD380D"/>
    <w:rsid w:val="00CD4907"/>
    <w:rsid w:val="00CD4C29"/>
    <w:rsid w:val="00CD4D7C"/>
    <w:rsid w:val="00CD55AC"/>
    <w:rsid w:val="00CD5933"/>
    <w:rsid w:val="00CE20BA"/>
    <w:rsid w:val="00CE42B4"/>
    <w:rsid w:val="00CE4CF2"/>
    <w:rsid w:val="00CE63F1"/>
    <w:rsid w:val="00CE770D"/>
    <w:rsid w:val="00CE7AE7"/>
    <w:rsid w:val="00CF1CE8"/>
    <w:rsid w:val="00CF6BB5"/>
    <w:rsid w:val="00CF6C00"/>
    <w:rsid w:val="00CF7883"/>
    <w:rsid w:val="00D00E78"/>
    <w:rsid w:val="00D02C40"/>
    <w:rsid w:val="00D02E92"/>
    <w:rsid w:val="00D0309F"/>
    <w:rsid w:val="00D05C47"/>
    <w:rsid w:val="00D065B6"/>
    <w:rsid w:val="00D0718D"/>
    <w:rsid w:val="00D11331"/>
    <w:rsid w:val="00D129E9"/>
    <w:rsid w:val="00D14459"/>
    <w:rsid w:val="00D1447F"/>
    <w:rsid w:val="00D16137"/>
    <w:rsid w:val="00D17707"/>
    <w:rsid w:val="00D2100C"/>
    <w:rsid w:val="00D22D68"/>
    <w:rsid w:val="00D22F72"/>
    <w:rsid w:val="00D258BF"/>
    <w:rsid w:val="00D3019A"/>
    <w:rsid w:val="00D3042C"/>
    <w:rsid w:val="00D30629"/>
    <w:rsid w:val="00D324FD"/>
    <w:rsid w:val="00D333C6"/>
    <w:rsid w:val="00D34711"/>
    <w:rsid w:val="00D36B5A"/>
    <w:rsid w:val="00D3749B"/>
    <w:rsid w:val="00D37B7D"/>
    <w:rsid w:val="00D37E97"/>
    <w:rsid w:val="00D37FA9"/>
    <w:rsid w:val="00D44002"/>
    <w:rsid w:val="00D446CA"/>
    <w:rsid w:val="00D44C38"/>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1"/>
    <w:rsid w:val="00D85DD8"/>
    <w:rsid w:val="00D8689F"/>
    <w:rsid w:val="00D870BC"/>
    <w:rsid w:val="00D91AD7"/>
    <w:rsid w:val="00D9395F"/>
    <w:rsid w:val="00D93C6B"/>
    <w:rsid w:val="00D93E5B"/>
    <w:rsid w:val="00D95FD5"/>
    <w:rsid w:val="00D96AB3"/>
    <w:rsid w:val="00D96B56"/>
    <w:rsid w:val="00D97A41"/>
    <w:rsid w:val="00DA2E35"/>
    <w:rsid w:val="00DA36CB"/>
    <w:rsid w:val="00DA4BF9"/>
    <w:rsid w:val="00DA626B"/>
    <w:rsid w:val="00DA69D3"/>
    <w:rsid w:val="00DA70FA"/>
    <w:rsid w:val="00DB0409"/>
    <w:rsid w:val="00DB0EFE"/>
    <w:rsid w:val="00DB2444"/>
    <w:rsid w:val="00DB28FC"/>
    <w:rsid w:val="00DB30E6"/>
    <w:rsid w:val="00DB62A2"/>
    <w:rsid w:val="00DB7C3D"/>
    <w:rsid w:val="00DC0141"/>
    <w:rsid w:val="00DC0E7A"/>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85C"/>
    <w:rsid w:val="00DD4DD0"/>
    <w:rsid w:val="00DD543F"/>
    <w:rsid w:val="00DD57C4"/>
    <w:rsid w:val="00DD68BB"/>
    <w:rsid w:val="00DD7362"/>
    <w:rsid w:val="00DD78BD"/>
    <w:rsid w:val="00DD7FB9"/>
    <w:rsid w:val="00DE0DD5"/>
    <w:rsid w:val="00DE1324"/>
    <w:rsid w:val="00DE1F41"/>
    <w:rsid w:val="00DE24E6"/>
    <w:rsid w:val="00DE3914"/>
    <w:rsid w:val="00DE3B95"/>
    <w:rsid w:val="00DE6104"/>
    <w:rsid w:val="00DE7C6F"/>
    <w:rsid w:val="00DF0B9B"/>
    <w:rsid w:val="00DF1E77"/>
    <w:rsid w:val="00DF4C01"/>
    <w:rsid w:val="00DF693C"/>
    <w:rsid w:val="00DF69CD"/>
    <w:rsid w:val="00DF7881"/>
    <w:rsid w:val="00E00A05"/>
    <w:rsid w:val="00E0308B"/>
    <w:rsid w:val="00E047BD"/>
    <w:rsid w:val="00E0592E"/>
    <w:rsid w:val="00E107C2"/>
    <w:rsid w:val="00E120F5"/>
    <w:rsid w:val="00E14394"/>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4BE8"/>
    <w:rsid w:val="00E64CC9"/>
    <w:rsid w:val="00E6539D"/>
    <w:rsid w:val="00E7043B"/>
    <w:rsid w:val="00E70655"/>
    <w:rsid w:val="00E7116F"/>
    <w:rsid w:val="00E71F6E"/>
    <w:rsid w:val="00E72052"/>
    <w:rsid w:val="00E7213D"/>
    <w:rsid w:val="00E72859"/>
    <w:rsid w:val="00E72FBB"/>
    <w:rsid w:val="00E75EF4"/>
    <w:rsid w:val="00E808FA"/>
    <w:rsid w:val="00E81D38"/>
    <w:rsid w:val="00E83BE1"/>
    <w:rsid w:val="00E863C1"/>
    <w:rsid w:val="00E86CD0"/>
    <w:rsid w:val="00E87B7F"/>
    <w:rsid w:val="00E915D8"/>
    <w:rsid w:val="00E91DD6"/>
    <w:rsid w:val="00E922C9"/>
    <w:rsid w:val="00E93CCC"/>
    <w:rsid w:val="00E93EBF"/>
    <w:rsid w:val="00E96F65"/>
    <w:rsid w:val="00E972A5"/>
    <w:rsid w:val="00E976A8"/>
    <w:rsid w:val="00EA01B7"/>
    <w:rsid w:val="00EA0AA1"/>
    <w:rsid w:val="00EA5AF0"/>
    <w:rsid w:val="00EA647D"/>
    <w:rsid w:val="00EA6E1F"/>
    <w:rsid w:val="00EA79B5"/>
    <w:rsid w:val="00EA7DFA"/>
    <w:rsid w:val="00EB3D58"/>
    <w:rsid w:val="00EB5340"/>
    <w:rsid w:val="00EB7476"/>
    <w:rsid w:val="00EB770C"/>
    <w:rsid w:val="00EB7E2F"/>
    <w:rsid w:val="00EC09FF"/>
    <w:rsid w:val="00EC1884"/>
    <w:rsid w:val="00EC1D7D"/>
    <w:rsid w:val="00EC2421"/>
    <w:rsid w:val="00EC3244"/>
    <w:rsid w:val="00EC436D"/>
    <w:rsid w:val="00EC5C6D"/>
    <w:rsid w:val="00EC5CF6"/>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DF8"/>
    <w:rsid w:val="00EE4439"/>
    <w:rsid w:val="00EE5120"/>
    <w:rsid w:val="00EE62C9"/>
    <w:rsid w:val="00EE6821"/>
    <w:rsid w:val="00EE6A43"/>
    <w:rsid w:val="00EE703E"/>
    <w:rsid w:val="00EE79F9"/>
    <w:rsid w:val="00EE7A10"/>
    <w:rsid w:val="00EF0391"/>
    <w:rsid w:val="00EF0AEF"/>
    <w:rsid w:val="00EF4662"/>
    <w:rsid w:val="00EF59BC"/>
    <w:rsid w:val="00EF649D"/>
    <w:rsid w:val="00F0017C"/>
    <w:rsid w:val="00F00792"/>
    <w:rsid w:val="00F02530"/>
    <w:rsid w:val="00F0388F"/>
    <w:rsid w:val="00F04934"/>
    <w:rsid w:val="00F055F7"/>
    <w:rsid w:val="00F05C1E"/>
    <w:rsid w:val="00F063CD"/>
    <w:rsid w:val="00F06731"/>
    <w:rsid w:val="00F06BD3"/>
    <w:rsid w:val="00F07A47"/>
    <w:rsid w:val="00F10ECC"/>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C1A"/>
    <w:rsid w:val="00F36CAA"/>
    <w:rsid w:val="00F36EDB"/>
    <w:rsid w:val="00F37457"/>
    <w:rsid w:val="00F37C02"/>
    <w:rsid w:val="00F37F07"/>
    <w:rsid w:val="00F40BA6"/>
    <w:rsid w:val="00F41063"/>
    <w:rsid w:val="00F41BED"/>
    <w:rsid w:val="00F42820"/>
    <w:rsid w:val="00F42F75"/>
    <w:rsid w:val="00F43706"/>
    <w:rsid w:val="00F445C5"/>
    <w:rsid w:val="00F463F9"/>
    <w:rsid w:val="00F506A8"/>
    <w:rsid w:val="00F52299"/>
    <w:rsid w:val="00F53800"/>
    <w:rsid w:val="00F54268"/>
    <w:rsid w:val="00F549D7"/>
    <w:rsid w:val="00F5735D"/>
    <w:rsid w:val="00F57474"/>
    <w:rsid w:val="00F57646"/>
    <w:rsid w:val="00F57ADF"/>
    <w:rsid w:val="00F57C5F"/>
    <w:rsid w:val="00F6061A"/>
    <w:rsid w:val="00F6189F"/>
    <w:rsid w:val="00F6212C"/>
    <w:rsid w:val="00F63446"/>
    <w:rsid w:val="00F637FC"/>
    <w:rsid w:val="00F64D68"/>
    <w:rsid w:val="00F659C2"/>
    <w:rsid w:val="00F67A38"/>
    <w:rsid w:val="00F716DE"/>
    <w:rsid w:val="00F7326F"/>
    <w:rsid w:val="00F73DA2"/>
    <w:rsid w:val="00F73FEE"/>
    <w:rsid w:val="00F745BD"/>
    <w:rsid w:val="00F74C45"/>
    <w:rsid w:val="00F751DC"/>
    <w:rsid w:val="00F7582D"/>
    <w:rsid w:val="00F80243"/>
    <w:rsid w:val="00F8025E"/>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16AB"/>
    <w:rsid w:val="00FA3C97"/>
    <w:rsid w:val="00FA5560"/>
    <w:rsid w:val="00FB2179"/>
    <w:rsid w:val="00FB29F5"/>
    <w:rsid w:val="00FB2E9B"/>
    <w:rsid w:val="00FB3320"/>
    <w:rsid w:val="00FB50DD"/>
    <w:rsid w:val="00FB5A82"/>
    <w:rsid w:val="00FB6CD1"/>
    <w:rsid w:val="00FB7C1E"/>
    <w:rsid w:val="00FC0551"/>
    <w:rsid w:val="00FC2759"/>
    <w:rsid w:val="00FC3D35"/>
    <w:rsid w:val="00FC4DDE"/>
    <w:rsid w:val="00FC52B3"/>
    <w:rsid w:val="00FC57A7"/>
    <w:rsid w:val="00FC5B76"/>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35B2"/>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28936</Words>
  <Characters>164941</Characters>
  <Application>Microsoft Office Word</Application>
  <DocSecurity>0</DocSecurity>
  <Lines>1374</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97</cp:revision>
  <cp:lastPrinted>2024-08-01T11:55:00Z</cp:lastPrinted>
  <dcterms:created xsi:type="dcterms:W3CDTF">2024-08-01T11:55:00Z</dcterms:created>
  <dcterms:modified xsi:type="dcterms:W3CDTF">2024-08-01T12:23:00Z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id="a9WvCHF8"/&gt;&lt;style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