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9C6C6" w14:textId="77777777" w:rsidR="00F91A12" w:rsidRPr="00043D43" w:rsidRDefault="00F91A12" w:rsidP="00043D43">
      <w:pPr>
        <w:pStyle w:val="title"/>
      </w:pPr>
    </w:p>
    <w:p w14:paraId="0431C63E" w14:textId="77777777" w:rsidR="00F91A12" w:rsidRPr="00043D43" w:rsidRDefault="00F91A12" w:rsidP="00043D43">
      <w:pPr>
        <w:pStyle w:val="title"/>
      </w:pPr>
    </w:p>
    <w:p w14:paraId="7CBB0E3E" w14:textId="77777777" w:rsidR="00F91A12" w:rsidRPr="00043D43" w:rsidRDefault="00F91A12" w:rsidP="00043D43">
      <w:pPr>
        <w:pStyle w:val="title"/>
      </w:pPr>
    </w:p>
    <w:p w14:paraId="2C0DF345" w14:textId="77777777" w:rsidR="00F91A12" w:rsidRPr="00043D43" w:rsidRDefault="00F91A12" w:rsidP="00043D43">
      <w:pPr>
        <w:pStyle w:val="title"/>
      </w:pPr>
    </w:p>
    <w:p w14:paraId="704BFFA2" w14:textId="24A3695E" w:rsidR="00F91A12" w:rsidRPr="00043D43" w:rsidRDefault="00167923" w:rsidP="00043D43">
      <w:pPr>
        <w:pStyle w:val="title"/>
      </w:pPr>
      <w:r w:rsidRPr="00043D43">
        <w:t xml:space="preserve">Verification Report: </w:t>
      </w:r>
    </w:p>
    <w:p w14:paraId="07AD514A" w14:textId="77777777" w:rsidR="00F91A12" w:rsidRPr="00043D43" w:rsidRDefault="007C6D8D" w:rsidP="00043D43">
      <w:pPr>
        <w:pStyle w:val="title"/>
      </w:pPr>
      <w:r w:rsidRPr="00043D43">
        <w:t>A</w:t>
      </w:r>
      <w:r w:rsidR="00F33E7E" w:rsidRPr="00043D43">
        <w:t xml:space="preserve"> critical reanalysis of </w:t>
      </w:r>
      <w:r w:rsidR="004823A4" w:rsidRPr="00043D43">
        <w:t xml:space="preserve">Vahey et al. (2015) </w:t>
      </w:r>
    </w:p>
    <w:p w14:paraId="7D56AA7D" w14:textId="2E9AE76F" w:rsidR="00167923" w:rsidRPr="00043D43" w:rsidRDefault="004823A4" w:rsidP="00043D43">
      <w:pPr>
        <w:pStyle w:val="title"/>
      </w:pPr>
      <w:r w:rsidRPr="00043D43">
        <w:t>“A meta-analysis of criterion effects for the Implicit Relational Assessment Procedure (IRAP) in the clinical domain”</w:t>
      </w:r>
    </w:p>
    <w:p w14:paraId="2E5ADA3E" w14:textId="77777777" w:rsidR="00034410" w:rsidRPr="00043D43" w:rsidRDefault="00034410" w:rsidP="00043D43">
      <w:pPr>
        <w:pStyle w:val="authors"/>
      </w:pPr>
    </w:p>
    <w:p w14:paraId="55331417" w14:textId="6A6D2A23" w:rsidR="00034410" w:rsidRPr="00043D43" w:rsidRDefault="00034410" w:rsidP="00043D43">
      <w:pPr>
        <w:pStyle w:val="authors"/>
      </w:pPr>
      <w:r w:rsidRPr="00043D43">
        <w:t>Ian Hussey</w:t>
      </w:r>
    </w:p>
    <w:p w14:paraId="00D77F44" w14:textId="77777777" w:rsidR="00167923" w:rsidRPr="00043D43" w:rsidRDefault="00167923" w:rsidP="00043D43">
      <w:pPr>
        <w:pStyle w:val="authors"/>
      </w:pPr>
    </w:p>
    <w:p w14:paraId="5A0BEFAB" w14:textId="34D06303" w:rsidR="000D085A" w:rsidRPr="00043D43" w:rsidRDefault="008F1826" w:rsidP="00043D43">
      <w:pPr>
        <w:pStyle w:val="abstract"/>
      </w:pPr>
      <w:r w:rsidRPr="00043D43">
        <w:t>Vahey et al.</w:t>
      </w:r>
      <w:r w:rsidR="009D7D06" w:rsidRPr="00043D43">
        <w:t>’s</w:t>
      </w:r>
      <w:r w:rsidRPr="00043D43">
        <w:t xml:space="preserve"> (2015)</w:t>
      </w:r>
      <w:r w:rsidR="00144468" w:rsidRPr="00043D43">
        <w:t xml:space="preserve"> </w:t>
      </w:r>
      <w:r w:rsidR="009D7D06" w:rsidRPr="00043D43">
        <w:t xml:space="preserve">meta-analysis </w:t>
      </w:r>
      <w:r w:rsidR="00021C43" w:rsidRPr="00043D43">
        <w:t xml:space="preserve">concluded that </w:t>
      </w:r>
      <w:r w:rsidR="00FD43BB" w:rsidRPr="00043D43">
        <w:t xml:space="preserve">the Implicit Relational Assessment Procedure (IRAP) has </w:t>
      </w:r>
      <w:r w:rsidR="004850D0" w:rsidRPr="00043D43">
        <w:t xml:space="preserve">high clinical criterion validity (meta-analytic </w:t>
      </w:r>
      <m:oMath>
        <m:acc>
          <m:accPr>
            <m:chr m:val="̅"/>
            <m:ctrlPr>
              <w:rPr>
                <w:rFonts w:ascii="Cambria Math" w:hAnsi="Cambria Math"/>
              </w:rPr>
            </m:ctrlPr>
          </m:accPr>
          <m:e>
            <m:r>
              <w:rPr>
                <w:rFonts w:ascii="Cambria Math" w:hAnsi="Cambria Math"/>
              </w:rPr>
              <m:t>r</m:t>
            </m:r>
          </m:e>
        </m:acc>
      </m:oMath>
      <w:r w:rsidR="004850D0" w:rsidRPr="00043D43">
        <w:t xml:space="preserve"> = .45) and therefore </w:t>
      </w:r>
      <w:r w:rsidRPr="00043D43">
        <w:t xml:space="preserve">potential </w:t>
      </w:r>
      <w:r w:rsidR="00FD43BB" w:rsidRPr="00043D43">
        <w:t>“</w:t>
      </w:r>
      <w:r w:rsidRPr="00043D43">
        <w:t>as a tool for clinical assessment”</w:t>
      </w:r>
      <w:r w:rsidR="00FD43BB" w:rsidRPr="00043D43">
        <w:t>.</w:t>
      </w:r>
      <w:r w:rsidR="009D7D06" w:rsidRPr="00043D43">
        <w:t xml:space="preserve"> Vahey et al.’s (2015) </w:t>
      </w:r>
      <w:r w:rsidR="009D7D06" w:rsidRPr="00043D43">
        <w:t xml:space="preserve">power analyses </w:t>
      </w:r>
      <w:r w:rsidR="009D7D06" w:rsidRPr="00043D43">
        <w:t xml:space="preserve">are frequently cited for </w:t>
      </w:r>
      <w:r w:rsidRPr="00043D43">
        <w:t>sample size</w:t>
      </w:r>
      <w:r w:rsidR="009D7D06" w:rsidRPr="00043D43">
        <w:t xml:space="preserve"> determination, especially their heuristic of </w:t>
      </w:r>
      <w:r w:rsidR="009D7D06" w:rsidRPr="00962146">
        <w:rPr>
          <w:i/>
          <w:iCs/>
        </w:rPr>
        <w:t>N</w:t>
      </w:r>
      <w:r w:rsidR="009D7D06" w:rsidRPr="00043D43">
        <w:t xml:space="preserve"> &gt; 37</w:t>
      </w:r>
      <w:r w:rsidR="003A45E9" w:rsidRPr="00043D43">
        <w:t xml:space="preserve">. </w:t>
      </w:r>
      <w:r w:rsidR="00CA0676" w:rsidRPr="00043D43">
        <w:t>T</w:t>
      </w:r>
      <w:r w:rsidRPr="00043D43">
        <w:t>h</w:t>
      </w:r>
      <w:r w:rsidR="00874DC3" w:rsidRPr="00043D43">
        <w:t xml:space="preserve">is </w:t>
      </w:r>
      <w:r w:rsidRPr="00043D43">
        <w:t xml:space="preserve">article </w:t>
      </w:r>
      <w:r w:rsidR="00C95C88" w:rsidRPr="00043D43">
        <w:t xml:space="preserve">attempts to verify </w:t>
      </w:r>
      <w:r w:rsidR="00AC26C3" w:rsidRPr="00043D43">
        <w:t>those results</w:t>
      </w:r>
      <w:r w:rsidR="0006572D" w:rsidRPr="00043D43">
        <w:t xml:space="preserve">. </w:t>
      </w:r>
      <w:r w:rsidR="000D085A" w:rsidRPr="00043D43">
        <w:t xml:space="preserve">Results </w:t>
      </w:r>
      <w:r w:rsidR="000D085A" w:rsidRPr="00043D43">
        <w:t>were found to have very poor reproducibility at almost stage of their analytic strategy</w:t>
      </w:r>
      <w:r w:rsidR="0074529F" w:rsidRPr="00043D43">
        <w:t xml:space="preserve">, </w:t>
      </w:r>
      <w:r w:rsidR="00113C79" w:rsidRPr="00043D43">
        <w:t>with</w:t>
      </w:r>
      <w:r w:rsidR="0074529F" w:rsidRPr="00043D43">
        <w:t xml:space="preserve"> errors biased towards inflating the effect size</w:t>
      </w:r>
      <w:r w:rsidR="009B2AFC" w:rsidRPr="00043D43">
        <w:t xml:space="preserve">. </w:t>
      </w:r>
      <w:r w:rsidR="001F4B6A">
        <w:t xml:space="preserve">23 of the 56 (41.1%) originally included effect sizes were not criterion effects that were erroneously included. Inspection of the original articles revealed 360 additional effect-sizes </w:t>
      </w:r>
      <w:r w:rsidR="00D44C38">
        <w:t xml:space="preserve">that met inclusion criteria and should have been included. </w:t>
      </w:r>
      <w:r w:rsidR="00AD48F0" w:rsidRPr="00043D43">
        <w:t>The corrected meta-analytic effect size was half the size of the original (</w:t>
      </w:r>
      <m:oMath>
        <m:acc>
          <m:accPr>
            <m:chr m:val="̅"/>
            <m:ctrlPr>
              <w:rPr>
                <w:rFonts w:ascii="Cambria Math" w:hAnsi="Cambria Math"/>
              </w:rPr>
            </m:ctrlPr>
          </m:accPr>
          <m:e>
            <m:r>
              <w:rPr>
                <w:rFonts w:ascii="Cambria Math" w:hAnsi="Cambria Math"/>
              </w:rPr>
              <m:t>r</m:t>
            </m:r>
          </m:e>
        </m:acc>
      </m:oMath>
      <w:r w:rsidR="00AD48F0" w:rsidRPr="00043D43">
        <w:t xml:space="preserve"> = .22), and the power analyses recommended sample sizes </w:t>
      </w:r>
      <w:r w:rsidR="003E6461">
        <w:t xml:space="preserve">nearly 10 times larger </w:t>
      </w:r>
      <w:r w:rsidR="00B02D9A" w:rsidRPr="00043D43">
        <w:t xml:space="preserve">than the original </w:t>
      </w:r>
      <w:r w:rsidR="00AD48F0" w:rsidRPr="00B227E9">
        <w:t>(</w:t>
      </w:r>
      <w:r w:rsidR="00AD48F0" w:rsidRPr="00B227E9">
        <w:rPr>
          <w:i/>
          <w:iCs/>
        </w:rPr>
        <w:t>N</w:t>
      </w:r>
      <w:r w:rsidR="00AD48F0" w:rsidRPr="00B227E9">
        <w:t xml:space="preserve"> &gt; </w:t>
      </w:r>
      <w:r w:rsidR="00FC70A0" w:rsidRPr="00B227E9">
        <w:t>346</w:t>
      </w:r>
      <w:r w:rsidR="00AD48F0" w:rsidRPr="00B227E9">
        <w:t>)</w:t>
      </w:r>
      <w:r w:rsidR="008272B7">
        <w:t xml:space="preserve">, which no published </w:t>
      </w:r>
      <w:r w:rsidR="00427F19">
        <w:t xml:space="preserve">original </w:t>
      </w:r>
      <w:r w:rsidR="008272B7">
        <w:t xml:space="preserve">study </w:t>
      </w:r>
      <w:r w:rsidR="00427F19">
        <w:t xml:space="preserve">using the IRAP </w:t>
      </w:r>
      <w:r w:rsidR="008272B7">
        <w:t>has met</w:t>
      </w:r>
      <w:r w:rsidR="00AD48F0" w:rsidRPr="00B227E9">
        <w:t xml:space="preserve">. </w:t>
      </w:r>
      <w:r w:rsidR="00AD3AA4" w:rsidRPr="00B227E9">
        <w:t>In</w:t>
      </w:r>
      <w:r w:rsidR="00AD3AA4" w:rsidRPr="00043D43">
        <w:t xml:space="preserve"> aggregate, this seriously undermines the credibility and utility of the original article’s conclusions and recommendations. </w:t>
      </w:r>
      <w:r w:rsidR="00747CBF" w:rsidRPr="00043D43">
        <w:t xml:space="preserve">Vahey et al. (2015) </w:t>
      </w:r>
      <w:r w:rsidR="004F0E14">
        <w:t>appears to</w:t>
      </w:r>
      <w:r w:rsidR="00747CBF" w:rsidRPr="00043D43">
        <w:t xml:space="preserve"> need substantial correction</w:t>
      </w:r>
      <w:r w:rsidR="000F5299">
        <w:t xml:space="preserve">. </w:t>
      </w:r>
      <w:proofErr w:type="gramStart"/>
      <w:r w:rsidR="0028714C">
        <w:t>In particular, r</w:t>
      </w:r>
      <w:r w:rsidR="00747CBF" w:rsidRPr="00043D43">
        <w:t>esearchers</w:t>
      </w:r>
      <w:proofErr w:type="gramEnd"/>
      <w:r w:rsidR="00747CBF" w:rsidRPr="00043D43">
        <w:t xml:space="preserve"> should </w:t>
      </w:r>
      <w:r w:rsidR="001C29F6">
        <w:t xml:space="preserve">not </w:t>
      </w:r>
      <w:r w:rsidR="0028714C">
        <w:t xml:space="preserve">rely on its results for </w:t>
      </w:r>
      <w:r w:rsidR="005D4060" w:rsidRPr="00043D43">
        <w:t xml:space="preserve">sample size justification. </w:t>
      </w:r>
      <w:r w:rsidR="0086667E">
        <w:t xml:space="preserve">All code and data available at </w:t>
      </w:r>
      <w:hyperlink r:id="rId8" w:history="1">
        <w:r w:rsidR="0086667E">
          <w:rPr>
            <w:rStyle w:val="Hyperlink"/>
          </w:rPr>
          <w:t>osf.io/jg8td</w:t>
        </w:r>
      </w:hyperlink>
      <w:r w:rsidR="0086667E">
        <w:t>.</w:t>
      </w:r>
    </w:p>
    <w:p w14:paraId="0A4991E9" w14:textId="77777777" w:rsidR="00167923" w:rsidRPr="00034410" w:rsidRDefault="00167923" w:rsidP="00F0388F">
      <w:pPr>
        <w:ind w:firstLine="0"/>
      </w:pPr>
    </w:p>
    <w:p w14:paraId="037F5C78" w14:textId="77777777" w:rsidR="00F0388F" w:rsidRDefault="00F0388F" w:rsidP="00034410">
      <w:pPr>
        <w:sectPr w:rsidR="00F0388F" w:rsidSect="00273625">
          <w:footerReference w:type="even" r:id="rId9"/>
          <w:footerReference w:type="default" r:id="rId10"/>
          <w:pgSz w:w="11900" w:h="16840"/>
          <w:pgMar w:top="1440" w:right="1440" w:bottom="1440" w:left="1440" w:header="709" w:footer="709" w:gutter="0"/>
          <w:cols w:space="708"/>
          <w:docGrid w:linePitch="360"/>
          <w15:footnoteColumns w:val="1"/>
        </w:sectPr>
      </w:pPr>
    </w:p>
    <w:p w14:paraId="774D19F9" w14:textId="0E498787" w:rsidR="0093498C" w:rsidRPr="00034410" w:rsidRDefault="001206E0" w:rsidP="008E1F4E">
      <w:pPr>
        <w:ind w:firstLine="0"/>
      </w:pPr>
      <w:r w:rsidRPr="00034410">
        <w:t xml:space="preserve">Vahey et al.’s </w:t>
      </w:r>
      <w:r w:rsidRPr="00034410">
        <w:fldChar w:fldCharType="begin"/>
      </w:r>
      <w:r w:rsidRPr="00034410">
        <w:instrText xml:space="preserve"> ADDIN ZOTERO_ITEM CSL_CITATION {"citationID":"e3PmKru9","properties":{"formattedCitation":"(2015)","plainCitation":"(2015)","noteIndex":0},"citationItems":[{"id":1617,"uris":["http://zotero.org/users/1687755/items/4SHQ9XKM"],"itemData":{"id":1617,"type":"article-journal","abstract":"AbstractBackground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Pr="00034410">
        <w:fldChar w:fldCharType="separate"/>
      </w:r>
      <w:r w:rsidRPr="00034410">
        <w:t>(2015)</w:t>
      </w:r>
      <w:r w:rsidRPr="00034410">
        <w:fldChar w:fldCharType="end"/>
      </w:r>
      <w:r w:rsidR="000D2430" w:rsidRPr="00034410">
        <w:t xml:space="preserve"> meta-analysis of </w:t>
      </w:r>
      <w:r w:rsidR="00916B1E" w:rsidRPr="00034410">
        <w:t xml:space="preserve">the </w:t>
      </w:r>
      <w:r w:rsidR="000D2430" w:rsidRPr="00034410">
        <w:t xml:space="preserve">Implicit Relational Assessment Procedure </w:t>
      </w:r>
      <w:r w:rsidR="000D2430" w:rsidRPr="00034410">
        <w:fldChar w:fldCharType="begin"/>
      </w:r>
      <w:r w:rsidR="007C23EB" w:rsidRPr="00034410">
        <w:instrText xml:space="preserve"> ADDIN ZOTERO_ITEM CSL_CITATION {"citationID":"QvWzUdFS","properties":{"formattedCitation":"(IRAP: Barnes-Holmes et al., 2010)","plainCitation":"(IRAP: Barnes-Holmes et al., 2010)","noteIndex":0},"citationItems":[{"id":4868,"uris":["http://zotero.org/users/1687755/items/XI3TJMRH"],"itemData":{"id":4868,"type":"article-journal","container-title":"The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0D2430" w:rsidRPr="00034410">
        <w:fldChar w:fldCharType="separate"/>
      </w:r>
      <w:r w:rsidR="000D2430" w:rsidRPr="00034410">
        <w:t>(IRAP: Barnes-Holmes et al., 2010)</w:t>
      </w:r>
      <w:r w:rsidR="000D2430" w:rsidRPr="00034410">
        <w:fldChar w:fldCharType="end"/>
      </w:r>
      <w:r w:rsidR="000D2430" w:rsidRPr="00034410">
        <w:t xml:space="preserve"> concluded that it possesses good criterion validity </w:t>
      </w:r>
      <w:r w:rsidRPr="00034410">
        <w:t xml:space="preserve">and that the IRAP </w:t>
      </w:r>
      <w:r w:rsidR="00457274" w:rsidRPr="00034410">
        <w:t>”demonstrates the potential of the IRAP as a tool for clinical assessment”</w:t>
      </w:r>
      <w:r w:rsidRPr="00034410">
        <w:t xml:space="preserve">. </w:t>
      </w:r>
      <w:r w:rsidR="008513BA" w:rsidRPr="00034410">
        <w:t>Based on a non-systematic review, th</w:t>
      </w:r>
      <w:r w:rsidR="00AC0000" w:rsidRPr="00034410">
        <w:t>e</w:t>
      </w:r>
      <w:r w:rsidR="008513BA" w:rsidRPr="00034410">
        <w:t xml:space="preserve"> authors </w:t>
      </w:r>
      <w:r w:rsidR="000D2430" w:rsidRPr="00034410">
        <w:t xml:space="preserve">(a) provided an estimate of the association between IRAP effects and clinically-relevant criterion variables, (b) reported that the IRAP compares </w:t>
      </w:r>
      <w:r w:rsidR="00EB7476" w:rsidRPr="00034410">
        <w:t>favourably</w:t>
      </w:r>
      <w:r w:rsidR="000D2430" w:rsidRPr="00034410">
        <w:t xml:space="preserve"> to other a more popular implicit measure, the Implicit Association Test </w:t>
      </w:r>
      <w:r w:rsidR="000D2430" w:rsidRPr="00034410">
        <w:fldChar w:fldCharType="begin"/>
      </w:r>
      <w:r w:rsidR="007C23EB" w:rsidRPr="00034410">
        <w:instrText xml:space="preserve"> ADDIN ZOTERO_ITEM CSL_CITATION {"citationID":"ZUfIn3Nj","properties":{"formattedCitation":"(Greenwald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D2430" w:rsidRPr="00034410">
        <w:fldChar w:fldCharType="separate"/>
      </w:r>
      <w:r w:rsidR="000D2430" w:rsidRPr="00034410">
        <w:t>(Greenwald et al., 1998)</w:t>
      </w:r>
      <w:r w:rsidR="000D2430" w:rsidRPr="00034410">
        <w:fldChar w:fldCharType="end"/>
      </w:r>
      <w:r w:rsidR="000D2430" w:rsidRPr="00034410">
        <w:t>, and (c) used the</w:t>
      </w:r>
      <w:r w:rsidR="00457274" w:rsidRPr="00034410">
        <w:t>ir meta-</w:t>
      </w:r>
      <w:r w:rsidR="00EB7476" w:rsidRPr="00034410">
        <w:t>analysed</w:t>
      </w:r>
      <w:r w:rsidR="000D2430" w:rsidRPr="00034410">
        <w:t xml:space="preserve"> estimate of effect size to conduct power analyses </w:t>
      </w:r>
      <w:r w:rsidR="008425FE" w:rsidRPr="00034410">
        <w:t xml:space="preserve">and </w:t>
      </w:r>
      <w:r w:rsidR="000D2430" w:rsidRPr="00034410">
        <w:t>make sample size recommendations for future research</w:t>
      </w:r>
      <w:r w:rsidR="00802224" w:rsidRPr="00034410">
        <w:t xml:space="preserve"> using the IRAP</w:t>
      </w:r>
      <w:r w:rsidR="000D2430" w:rsidRPr="00034410">
        <w:t>.</w:t>
      </w:r>
      <w:r w:rsidRPr="00034410">
        <w:t xml:space="preserve"> While there has been a subsequent debate about the degree to which the IRAP is or is not an “implicit” measure </w:t>
      </w:r>
      <w:r w:rsidRPr="00034410">
        <w:fldChar w:fldCharType="begin"/>
      </w:r>
      <w:r w:rsidR="008D3041" w:rsidRPr="00034410">
        <w:instrText xml:space="preserve"> ADDIN ZOTERO_ITEM CSL_CITATION {"citationID":"uSJLyHHf","properties":{"formattedCitation":"(Barnes-Holmes &amp; Harte, 2022a; Hussey, 2022)","plainCitation":"(Barnes-Holmes &amp; Harte, 2022a; Hussey, 2022)","noteIndex":0},"citationItems":[{"id":4707,"uris":["http://zotero.org/users/1687755/items/DJC2GMQM"],"itemData":{"id":4707,"type":"article-journal","abstract":"The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Pr="00034410">
        <w:fldChar w:fldCharType="separate"/>
      </w:r>
      <w:r w:rsidR="008D3041" w:rsidRPr="00034410">
        <w:rPr>
          <w:noProof/>
        </w:rPr>
        <w:t>(Barnes-Holmes &amp; Harte, 2022a; Hussey, 2022)</w:t>
      </w:r>
      <w:r w:rsidRPr="00034410">
        <w:fldChar w:fldCharType="end"/>
      </w:r>
      <w:r w:rsidRPr="00034410">
        <w:t xml:space="preserve">, and indeed what the term even means </w:t>
      </w:r>
      <w:r w:rsidRPr="00034410">
        <w:fldChar w:fldCharType="begin"/>
      </w:r>
      <w:r w:rsidRPr="00034410">
        <w:instrText xml:space="preserve"> ADDIN ZOTERO_ITEM CSL_CITATION {"citationID":"wgbMLfX8","properties":{"unsorted":true,"formattedCitation":"(Corneille &amp; H\\uc0\\u252{}tter, 2020)","plainCitation":"(Corneille &amp; Hütter, 2020)","noteIndex":0},"citationItems":[{"id":428,"uris":["http://zotero.org/users/1687755/items/L3DDQX5Y"],"itemData":{"id":428,"type":"article-journal","abstract":"This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Research","title-short":"Implicit?","author":[{"family":"Corneille","given":"Olivier"},{"family":"Hütter","given":"Mandy"}],"issued":{"date-parts":[["2020",3,20]]}},"label":"page"}],"schema":"https://github.com/citation-style-language/schema/raw/master/csl-citation.json"} </w:instrText>
      </w:r>
      <w:r w:rsidRPr="00034410">
        <w:fldChar w:fldCharType="separate"/>
      </w:r>
      <w:r w:rsidRPr="00034410">
        <w:rPr>
          <w:sz w:val="20"/>
        </w:rPr>
        <w:t xml:space="preserve">(Corneille &amp; </w:t>
      </w:r>
      <w:proofErr w:type="spellStart"/>
      <w:r w:rsidRPr="00034410">
        <w:rPr>
          <w:sz w:val="20"/>
        </w:rPr>
        <w:t>Hütter</w:t>
      </w:r>
      <w:proofErr w:type="spellEnd"/>
      <w:r w:rsidRPr="00034410">
        <w:rPr>
          <w:sz w:val="20"/>
        </w:rPr>
        <w:t>, 2020)</w:t>
      </w:r>
      <w:r w:rsidRPr="00034410">
        <w:fldChar w:fldCharType="end"/>
      </w:r>
      <w:r w:rsidRPr="00034410">
        <w:t xml:space="preserve">, these debates are secondary to the fact that the IRAP, and tasks like it, are claimed to be valid measures of individual differences based on sources of evidence such as Vahey et al. (2015). </w:t>
      </w:r>
    </w:p>
    <w:p w14:paraId="02A768AA" w14:textId="77777777" w:rsidR="00C842F7" w:rsidRDefault="00C842F7" w:rsidP="00034410">
      <w:pPr>
        <w:pStyle w:val="Heading2"/>
      </w:pPr>
    </w:p>
    <w:p w14:paraId="798392F5" w14:textId="3ECABC52" w:rsidR="001537F8" w:rsidRPr="00034410" w:rsidRDefault="001537F8" w:rsidP="00034410">
      <w:pPr>
        <w:pStyle w:val="Heading2"/>
      </w:pPr>
      <w:r w:rsidRPr="00034410">
        <w:t xml:space="preserve">Rationale for </w:t>
      </w:r>
      <w:r w:rsidR="00223420" w:rsidRPr="00034410">
        <w:t>verification</w:t>
      </w:r>
    </w:p>
    <w:p w14:paraId="6FCCD206" w14:textId="622E221B" w:rsidR="00C9290D" w:rsidRPr="00034410" w:rsidRDefault="0093498C" w:rsidP="00034410">
      <w:r w:rsidRPr="00034410">
        <w:t xml:space="preserve">There are </w:t>
      </w:r>
      <w:r w:rsidR="005924D8" w:rsidRPr="00034410">
        <w:t xml:space="preserve">at least </w:t>
      </w:r>
      <w:r w:rsidR="001C5EFE" w:rsidRPr="00034410">
        <w:t>three</w:t>
      </w:r>
      <w:r w:rsidRPr="00034410">
        <w:t xml:space="preserve"> </w:t>
      </w:r>
      <w:r w:rsidR="00D96AB3" w:rsidRPr="00034410">
        <w:t>rationales to perform a verification of Vahey et al. (201</w:t>
      </w:r>
      <w:r w:rsidR="00500BC6" w:rsidRPr="00034410">
        <w:t xml:space="preserve">5). </w:t>
      </w:r>
      <w:r w:rsidR="0001350A" w:rsidRPr="00034410">
        <w:t xml:space="preserve">First, there is good a priori reason to believe that meta-analyses in general often contain non-replicable results. Lakens et al. </w:t>
      </w:r>
      <w:r w:rsidR="0001350A" w:rsidRPr="00034410">
        <w:fldChar w:fldCharType="begin"/>
      </w:r>
      <w:r w:rsidR="007C23EB" w:rsidRPr="00034410">
        <w:instrText xml:space="preserve"> ADDIN ZOTERO_ITEM CSL_CITATION {"citationID":"d6XNcoxQ","properties":{"formattedCitation":"(2017)","plainCitation":"(2017)","noteIndex":0},"citationItems":[{"id":4644,"uris":["http://zotero.org/users/1687755/items/IBB5XYVT"],"itemData":{"id":4644,"type":"report","abstract":"Meta-analyses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034410">
        <w:fldChar w:fldCharType="separate"/>
      </w:r>
      <w:r w:rsidR="0001350A" w:rsidRPr="00034410">
        <w:t>(2017)</w:t>
      </w:r>
      <w:r w:rsidR="0001350A" w:rsidRPr="00034410">
        <w:fldChar w:fldCharType="end"/>
      </w:r>
      <w:r w:rsidR="0001350A" w:rsidRPr="00034410">
        <w:t xml:space="preserve"> recently demonstrated that the results of the majority of a random sample of meta-analyses published in psychology cannot be </w:t>
      </w:r>
      <w:r w:rsidR="00A658AD" w:rsidRPr="00034410">
        <w:t xml:space="preserve">computationally </w:t>
      </w:r>
      <w:r w:rsidR="0001350A" w:rsidRPr="00034410">
        <w:t>reproduced</w:t>
      </w:r>
      <w:r w:rsidR="00B67C69" w:rsidRPr="00034410">
        <w:t xml:space="preserve">, </w:t>
      </w:r>
      <w:r w:rsidR="00104D58" w:rsidRPr="00034410">
        <w:t>often because of differences in individual effect sizes between those reported in meta analyses and those reproduced from the original studies</w:t>
      </w:r>
      <w:r w:rsidR="0001350A" w:rsidRPr="00034410">
        <w:t xml:space="preserve">. </w:t>
      </w:r>
      <w:r w:rsidR="00104D58" w:rsidRPr="00034410">
        <w:t xml:space="preserve">Similarly, </w:t>
      </w:r>
      <w:proofErr w:type="spellStart"/>
      <w:r w:rsidR="0001350A" w:rsidRPr="00034410">
        <w:t>Maassen</w:t>
      </w:r>
      <w:proofErr w:type="spellEnd"/>
      <w:r w:rsidR="0001350A" w:rsidRPr="00034410">
        <w:t xml:space="preserve"> et al. </w:t>
      </w:r>
      <w:r w:rsidR="0001350A" w:rsidRPr="00034410">
        <w:fldChar w:fldCharType="begin"/>
      </w:r>
      <w:r w:rsidR="007C23EB" w:rsidRPr="00034410">
        <w:instrText xml:space="preserve"> ADDIN ZOTERO_ITEM CSL_CITATION {"citationID":"4Iu1pdzi","properties":{"formattedCitation":"(2020)","plainCitation":"(2020)","noteIndex":0},"citationItems":[{"id":4654,"uris":["http://zotero.org/users/1687755/items/WUWAGAGT"],"itemData":{"id":4654,"type":"article-journal","abstract":"To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034410">
        <w:fldChar w:fldCharType="separate"/>
      </w:r>
      <w:r w:rsidR="0001350A" w:rsidRPr="00034410">
        <w:t>(2020)</w:t>
      </w:r>
      <w:r w:rsidR="0001350A" w:rsidRPr="00034410">
        <w:fldChar w:fldCharType="end"/>
      </w:r>
      <w:r w:rsidR="0001350A" w:rsidRPr="00034410">
        <w:t xml:space="preserve"> found that almost half of </w:t>
      </w:r>
      <w:r w:rsidR="00B67C69" w:rsidRPr="00034410">
        <w:t xml:space="preserve">individual </w:t>
      </w:r>
      <w:r w:rsidR="0001350A" w:rsidRPr="00034410">
        <w:t xml:space="preserve">effect-sizes reported in meta-analyses of psychology research could not be reproduced from the original articles. This was attributed to due to a variety of issues </w:t>
      </w:r>
      <w:r w:rsidR="006379D2" w:rsidRPr="00034410">
        <w:t xml:space="preserve">including </w:t>
      </w:r>
      <w:r w:rsidR="0001350A" w:rsidRPr="00034410">
        <w:t xml:space="preserve">errors in the extraction of effect sizes from original studies, insufficient details regarding data processing and transformation of effect sizes, </w:t>
      </w:r>
      <w:r w:rsidR="006379D2" w:rsidRPr="00034410">
        <w:t xml:space="preserve">and </w:t>
      </w:r>
      <w:r w:rsidR="0001350A" w:rsidRPr="00034410">
        <w:t>insufficient details of the specific meta-analytic approach employed.</w:t>
      </w:r>
      <w:r w:rsidR="00620486" w:rsidRPr="00034410">
        <w:t xml:space="preserve"> </w:t>
      </w:r>
      <w:r w:rsidR="007A688D" w:rsidRPr="00034410">
        <w:t>Comparable errors in meta analyses have also been reported by others</w:t>
      </w:r>
      <w:r w:rsidR="003221C9" w:rsidRPr="00034410">
        <w:t xml:space="preserve"> </w:t>
      </w:r>
      <w:r w:rsidR="003221C9" w:rsidRPr="00034410">
        <w:fldChar w:fldCharType="begin"/>
      </w:r>
      <w:r w:rsidR="003221C9" w:rsidRPr="00034410">
        <w:instrText xml:space="preserve"> ADDIN ZOTERO_ITEM CSL_CITATION {"citationID":"Y8syCoG7","properties":{"formattedCitation":"(e.g., Kadlec et al., 2023; Lakens et al., 2017)","plainCitation":"(e.g., Kadlec et al., 2023; Lakens et al., 2017)","noteIndex":0},"citationItems":[{"id":54,"uris":["http://zotero.org/users/1687755/items/WWKVT2EA"],"itemData":{"id":54,"type":"article-journal","abstract":"Meta-analysis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M."}],"accessed":{"date-parts":[["2020",6,17]]},"issued":{"date-parts":[["2017",3,31]]}}}],"schema":"https://github.com/citation-style-language/schema/raw/master/csl-citation.json"} </w:instrText>
      </w:r>
      <w:r w:rsidR="003221C9" w:rsidRPr="00034410">
        <w:fldChar w:fldCharType="separate"/>
      </w:r>
      <w:r w:rsidR="003221C9" w:rsidRPr="00034410">
        <w:t xml:space="preserve">(e.g., Kadlec et al., 2023; </w:t>
      </w:r>
      <w:proofErr w:type="spellStart"/>
      <w:r w:rsidR="003221C9" w:rsidRPr="00034410">
        <w:t>Lakens</w:t>
      </w:r>
      <w:proofErr w:type="spellEnd"/>
      <w:r w:rsidR="003221C9" w:rsidRPr="00034410">
        <w:t xml:space="preserve"> et al., 2017)</w:t>
      </w:r>
      <w:r w:rsidR="003221C9" w:rsidRPr="00034410">
        <w:fldChar w:fldCharType="end"/>
      </w:r>
      <w:r w:rsidR="003221C9" w:rsidRPr="00034410">
        <w:t>.</w:t>
      </w:r>
    </w:p>
    <w:p w14:paraId="57123239" w14:textId="3851D353" w:rsidR="00167923" w:rsidRPr="00034410" w:rsidRDefault="00EB3D58" w:rsidP="00034410">
      <w:r w:rsidRPr="00034410">
        <w:t xml:space="preserve">Second, </w:t>
      </w:r>
      <w:r w:rsidR="00A22623" w:rsidRPr="00034410">
        <w:t>Vahey et al.</w:t>
      </w:r>
      <w:r w:rsidR="003F13D2" w:rsidRPr="00034410">
        <w:t>’s</w:t>
      </w:r>
      <w:r w:rsidR="00A22623" w:rsidRPr="00034410">
        <w:t xml:space="preserve"> (2015) </w:t>
      </w:r>
      <w:r w:rsidR="003F13D2" w:rsidRPr="00034410">
        <w:t xml:space="preserve">article </w:t>
      </w:r>
      <w:r w:rsidR="00A22623" w:rsidRPr="00034410">
        <w:t>has been well-cited and used to guide subsequent work</w:t>
      </w:r>
      <w:r w:rsidR="00166356" w:rsidRPr="00034410">
        <w:t>.</w:t>
      </w:r>
      <w:r w:rsidR="00A22623" w:rsidRPr="00034410">
        <w:t xml:space="preserve"> </w:t>
      </w:r>
      <w:r w:rsidR="00166356" w:rsidRPr="00034410">
        <w:t>A</w:t>
      </w:r>
      <w:r w:rsidR="00A22623" w:rsidRPr="00034410">
        <w:t xml:space="preserve">t time of </w:t>
      </w:r>
      <w:r w:rsidR="00A22623" w:rsidRPr="00034410">
        <w:lastRenderedPageBreak/>
        <w:t>writing</w:t>
      </w:r>
      <w:r w:rsidR="00612B35" w:rsidRPr="00034410">
        <w:t xml:space="preserve"> in July 2024</w:t>
      </w:r>
      <w:r w:rsidR="000954F4" w:rsidRPr="00034410">
        <w:t>,</w:t>
      </w:r>
      <w:r w:rsidR="00A22623" w:rsidRPr="00034410">
        <w:t xml:space="preserve"> it has been cited </w:t>
      </w:r>
      <w:r w:rsidR="00D17707" w:rsidRPr="00034410">
        <w:t>1</w:t>
      </w:r>
      <w:r w:rsidR="00F57646" w:rsidRPr="00034410">
        <w:t>43</w:t>
      </w:r>
      <w:r w:rsidR="00A22623" w:rsidRPr="00034410">
        <w:t xml:space="preserve"> times </w:t>
      </w:r>
      <w:r w:rsidR="00F57646" w:rsidRPr="00034410">
        <w:t xml:space="preserve">on Google Scholar, </w:t>
      </w:r>
      <w:r w:rsidR="00A22623" w:rsidRPr="00034410">
        <w:t>with roughly 20% of articles citing it to justify sample size decisions</w:t>
      </w:r>
      <w:r w:rsidR="00AE586D" w:rsidRPr="00034410">
        <w:t xml:space="preserve"> (</w:t>
      </w:r>
      <w:r w:rsidR="00276268" w:rsidRPr="00034410">
        <w:t>i.e.,</w:t>
      </w:r>
      <w:r w:rsidR="00AE586D" w:rsidRPr="00034410">
        <w:t xml:space="preserve"> in lieu of a power analysis</w:t>
      </w:r>
      <w:r w:rsidR="008D0E58" w:rsidRPr="00034410">
        <w:t xml:space="preserve"> for that study</w:t>
      </w:r>
      <w:r w:rsidR="00AE586D" w:rsidRPr="00034410">
        <w:t>)</w:t>
      </w:r>
      <w:r w:rsidR="00A22623" w:rsidRPr="00034410">
        <w:t>.</w:t>
      </w:r>
      <w:r w:rsidR="007453D1" w:rsidRPr="00034410">
        <w:t xml:space="preserve"> Studies employing the</w:t>
      </w:r>
      <w:r w:rsidR="00A22623" w:rsidRPr="00034410">
        <w:t xml:space="preserve"> IRAP have typically involved small sample sizes</w:t>
      </w:r>
      <w:r w:rsidR="00494EFE" w:rsidRPr="00034410">
        <w:t xml:space="preserve"> of around 40 </w:t>
      </w:r>
      <w:r w:rsidR="00A50703" w:rsidRPr="00034410">
        <w:t xml:space="preserve">participants. </w:t>
      </w:r>
      <w:r w:rsidR="0009015C" w:rsidRPr="00034410">
        <w:t>T</w:t>
      </w:r>
      <w:r w:rsidR="00A50703" w:rsidRPr="00034410">
        <w:t xml:space="preserve">his </w:t>
      </w:r>
      <w:r w:rsidR="00347726" w:rsidRPr="00034410">
        <w:t xml:space="preserve">is </w:t>
      </w:r>
      <w:r w:rsidR="0009015C" w:rsidRPr="00034410">
        <w:t xml:space="preserve">frequently argued to be </w:t>
      </w:r>
      <w:r w:rsidR="00347726" w:rsidRPr="00034410">
        <w:t xml:space="preserve">acceptable because it </w:t>
      </w:r>
      <w:r w:rsidR="004D304F" w:rsidRPr="00034410">
        <w:t xml:space="preserve">is in line with </w:t>
      </w:r>
      <w:r w:rsidR="00A22623" w:rsidRPr="00034410">
        <w:t xml:space="preserve">Vahey et al.’s </w:t>
      </w:r>
      <w:r w:rsidR="00F6212C" w:rsidRPr="00034410">
        <w:t xml:space="preserve">(2015) </w:t>
      </w:r>
      <w:r w:rsidR="00A22623" w:rsidRPr="00034410">
        <w:t>sample size recommendation</w:t>
      </w:r>
      <w:r w:rsidR="002F1558" w:rsidRPr="00034410">
        <w:t xml:space="preserve">: “a sample size of at least </w:t>
      </w:r>
      <w:r w:rsidR="002F1558" w:rsidRPr="00034410">
        <w:rPr>
          <w:i/>
          <w:iCs/>
        </w:rPr>
        <w:t>N</w:t>
      </w:r>
      <w:r w:rsidR="002F1558" w:rsidRPr="00034410">
        <w:t xml:space="preserve"> = 37 would be required in order to achieve a statistical power of .80 when testing a continuous first-order correlation between a </w:t>
      </w:r>
      <w:proofErr w:type="gramStart"/>
      <w:r w:rsidR="002F1558" w:rsidRPr="00034410">
        <w:t>clinically-focused</w:t>
      </w:r>
      <w:proofErr w:type="gramEnd"/>
      <w:r w:rsidR="002F1558" w:rsidRPr="00034410">
        <w:t xml:space="preserve"> IRAP effect and a given criterion variable” (p. 63).</w:t>
      </w:r>
      <w:r w:rsidR="00126622" w:rsidRPr="00034410">
        <w:t xml:space="preserve"> </w:t>
      </w:r>
      <w:r w:rsidR="004A475C" w:rsidRPr="00034410">
        <w:t xml:space="preserve">Kavanagh et al. </w:t>
      </w:r>
      <w:r w:rsidR="003D3B8B" w:rsidRPr="00034410">
        <w:fldChar w:fldCharType="begin"/>
      </w:r>
      <w:r w:rsidR="007C23EB" w:rsidRPr="00034410">
        <w:instrText xml:space="preserve"> ADDIN ZOTERO_ITEM CSL_CITATION {"citationID":"Q4hgQrQ2","properties":{"formattedCitation":"(2022, p. 528)","plainCitation":"(2022, p. 528)","noteIndex":0},"citationItems":[{"id":5058,"uris":["http://zotero.org/users/1687755/items/8I8Y45WZ"],"itemData":{"id":5058,"type":"article-journal","abstract":"Cognitive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003D3B8B" w:rsidRPr="00034410">
        <w:fldChar w:fldCharType="separate"/>
      </w:r>
      <w:r w:rsidR="003D3B8B" w:rsidRPr="00034410">
        <w:rPr>
          <w:noProof/>
        </w:rPr>
        <w:t>(2022, p. 528)</w:t>
      </w:r>
      <w:r w:rsidR="003D3B8B" w:rsidRPr="00034410">
        <w:fldChar w:fldCharType="end"/>
      </w:r>
      <w:r w:rsidR="00A22623" w:rsidRPr="00034410">
        <w:t xml:space="preserve"> provide</w:t>
      </w:r>
      <w:r w:rsidR="004A475C" w:rsidRPr="00034410">
        <w:t>s</w:t>
      </w:r>
      <w:r w:rsidR="00A22623" w:rsidRPr="00034410">
        <w:t xml:space="preserve"> a particularly clear characterization of the </w:t>
      </w:r>
      <w:r w:rsidR="00FF422B" w:rsidRPr="00034410">
        <w:t xml:space="preserve">ongoing </w:t>
      </w:r>
      <w:r w:rsidR="00A22623" w:rsidRPr="00034410">
        <w:t xml:space="preserve">importance of Vahey et al.’s </w:t>
      </w:r>
      <w:r w:rsidR="00A22623" w:rsidRPr="00034410">
        <w:fldChar w:fldCharType="begin"/>
      </w:r>
      <w:r w:rsidR="007C23EB" w:rsidRPr="00034410">
        <w:instrText xml:space="preserve"> ADDIN ZOTERO_ITEM CSL_CITATION {"citationID":"Oq85LjsQ","properties":{"formattedCitation":"(2015)","plainCitation":"(2015)","noteIndex":0},"citationItems":[{"id":1617,"uris":["http://zotero.org/users/1687755/items/4SHQ9XKM"],"itemData":{"id":1617,"type":"article-journal","abstract":"AbstractBackground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34410">
        <w:fldChar w:fldCharType="separate"/>
      </w:r>
      <w:r w:rsidR="00A22623" w:rsidRPr="00034410">
        <w:t>(2015)</w:t>
      </w:r>
      <w:r w:rsidR="00A22623" w:rsidRPr="00034410">
        <w:fldChar w:fldCharType="end"/>
      </w:r>
      <w:r w:rsidR="00A22623" w:rsidRPr="00034410">
        <w:t xml:space="preserve"> results for </w:t>
      </w:r>
      <w:r w:rsidR="00CA1794" w:rsidRPr="00034410">
        <w:t xml:space="preserve">practices in </w:t>
      </w:r>
      <w:r w:rsidR="00A22623" w:rsidRPr="00034410">
        <w:t xml:space="preserve">the broader IRAP literature: </w:t>
      </w:r>
      <w:r w:rsidR="009C05C1" w:rsidRPr="00034410">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034410">
        <w:t xml:space="preserve">Given that </w:t>
      </w:r>
      <w:r w:rsidR="005B1640" w:rsidRPr="00034410">
        <w:t xml:space="preserve">research </w:t>
      </w:r>
      <w:r w:rsidR="00A22623" w:rsidRPr="00034410">
        <w:t>continue</w:t>
      </w:r>
      <w:r w:rsidR="005B1640" w:rsidRPr="00034410">
        <w:t>s</w:t>
      </w:r>
      <w:r w:rsidR="00A22623" w:rsidRPr="00034410">
        <w:t xml:space="preserve"> to rely on the conclusions of Vahey et al.’s </w:t>
      </w:r>
      <w:r w:rsidR="00A22623" w:rsidRPr="00034410">
        <w:fldChar w:fldCharType="begin"/>
      </w:r>
      <w:r w:rsidR="007C23EB" w:rsidRPr="00034410">
        <w:instrText xml:space="preserve"> ADDIN ZOTERO_ITEM CSL_CITATION {"citationID":"JPEuisyd","properties":{"formattedCitation":"(2015)","plainCitation":"(2015)","noteIndex":0},"citationItems":[{"id":1617,"uris":["http://zotero.org/users/1687755/items/4SHQ9XKM"],"itemData":{"id":1617,"type":"article-journal","abstract":"AbstractBackground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34410">
        <w:fldChar w:fldCharType="separate"/>
      </w:r>
      <w:r w:rsidR="00A22623" w:rsidRPr="00034410">
        <w:t>(2015)</w:t>
      </w:r>
      <w:r w:rsidR="00A22623" w:rsidRPr="00034410">
        <w:fldChar w:fldCharType="end"/>
      </w:r>
      <w:r w:rsidR="00A22623" w:rsidRPr="00034410">
        <w:t xml:space="preserve"> meta-analysis, </w:t>
      </w:r>
      <w:r w:rsidR="00945F4B" w:rsidRPr="00034410">
        <w:t xml:space="preserve">and that meta-analyses in general have been shown to have poor computational reproducibility, </w:t>
      </w:r>
      <w:r w:rsidR="00A22623" w:rsidRPr="00034410">
        <w:t xml:space="preserve">it is therefore </w:t>
      </w:r>
      <w:r w:rsidR="00842324" w:rsidRPr="00034410">
        <w:t xml:space="preserve">useful to verify </w:t>
      </w:r>
      <w:r w:rsidR="00ED5CE9" w:rsidRPr="00034410">
        <w:t>Vahey et al.’s (2015)</w:t>
      </w:r>
      <w:r w:rsidR="00842324" w:rsidRPr="00034410">
        <w:t xml:space="preserve"> results</w:t>
      </w:r>
      <w:r w:rsidR="00A22623" w:rsidRPr="00034410">
        <w:t xml:space="preserve">. </w:t>
      </w:r>
    </w:p>
    <w:p w14:paraId="2D55984F" w14:textId="3FEF229B" w:rsidR="005924D8" w:rsidRPr="00034410" w:rsidRDefault="005924D8" w:rsidP="00034410">
      <w:r w:rsidRPr="00034410">
        <w:t xml:space="preserve">Third, </w:t>
      </w:r>
      <w:r w:rsidR="00744B57" w:rsidRPr="00034410">
        <w:t xml:space="preserve">in light of recent estimates of the IRAP’s low reliability </w:t>
      </w:r>
      <w:r w:rsidR="00744B57" w:rsidRPr="00034410">
        <w:fldChar w:fldCharType="begin"/>
      </w:r>
      <w:r w:rsidR="007C23EB" w:rsidRPr="00034410">
        <w:instrText xml:space="preserve"> ADDIN ZOTERO_ITEM CSL_CITATION {"citationID":"s2E40MRn","properties":{"formattedCitation":"(Hussey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744B57" w:rsidRPr="00034410">
        <w:fldChar w:fldCharType="separate"/>
      </w:r>
      <w:r w:rsidR="00744B57" w:rsidRPr="00034410">
        <w:rPr>
          <w:noProof/>
        </w:rPr>
        <w:t>(Hussey &amp; Drake, 2020)</w:t>
      </w:r>
      <w:r w:rsidR="00744B57" w:rsidRPr="00034410">
        <w:fldChar w:fldCharType="end"/>
      </w:r>
      <w:r w:rsidR="00744B57" w:rsidRPr="00034410">
        <w:t xml:space="preserve">, </w:t>
      </w:r>
      <w:r w:rsidRPr="00034410">
        <w:t xml:space="preserve">there is good reason to believe that Vahey et al.’s (2015) meta-analytic estimate of </w:t>
      </w:r>
      <m:oMath>
        <m:acc>
          <m:accPr>
            <m:chr m:val="̅"/>
            <m:ctrlPr>
              <w:rPr>
                <w:rFonts w:ascii="Cambria Math" w:hAnsi="Cambria Math"/>
                <w:i/>
                <w:sz w:val="20"/>
                <w:szCs w:val="20"/>
              </w:rPr>
            </m:ctrlPr>
          </m:accPr>
          <m:e>
            <m:r>
              <w:rPr>
                <w:rFonts w:ascii="Cambria Math" w:hAnsi="Cambria Math"/>
              </w:rPr>
              <m:t>r</m:t>
            </m:r>
          </m:e>
        </m:acc>
      </m:oMath>
      <w:r w:rsidRPr="00034410">
        <w:t xml:space="preserve"> = .45 is implausibly large</w:t>
      </w:r>
      <w:r w:rsidR="00744B57" w:rsidRPr="00034410">
        <w:t xml:space="preserve">. </w:t>
      </w:r>
      <w:r w:rsidR="000B4D42" w:rsidRPr="00034410">
        <w:t xml:space="preserve">According to classical test theory, a measure’s reliability refers to the proportion of the variance that is caused by the construct measure rather than noise </w:t>
      </w:r>
      <w:r w:rsidR="000B4D42" w:rsidRPr="00034410">
        <w:fldChar w:fldCharType="begin"/>
      </w:r>
      <w:r w:rsidR="007C23EB" w:rsidRPr="00034410">
        <w:instrText xml:space="preserve"> ADDIN ZOTERO_ITEM CSL_CITATION {"citationID":"OCVbfAsv","properties":{"formattedCitation":"(Allen &amp; Yen, 2002, p.73)","plainCitation":"(Allen &amp; Yen, 2002, p.73)","noteIndex":0},"citationItems":[{"id":5085,"uris":["http://zotero.org/users/1687755/items/WC4LA7X6"],"itemData":{"id":5085,"type":"book","publisher":"Waveland Press","title":"Introduction to measurement theory","author":[{"family":"Allen","given":"Mary J"},{"family":"Yen","given":"Wendy M"}],"issued":{"date-parts":[["2002"]]}},"label":"page","suffix":", p.73"}],"schema":"https://github.com/citation-style-language/schema/raw/master/csl-citation.json"} </w:instrText>
      </w:r>
      <w:r w:rsidR="000B4D42" w:rsidRPr="00034410">
        <w:fldChar w:fldCharType="separate"/>
      </w:r>
      <w:r w:rsidR="000B4D42" w:rsidRPr="00034410">
        <w:rPr>
          <w:noProof/>
        </w:rPr>
        <w:t>(Allen &amp; Yen, 2002, p.73)</w:t>
      </w:r>
      <w:r w:rsidR="000B4D42" w:rsidRPr="00034410">
        <w:fldChar w:fldCharType="end"/>
      </w:r>
      <w:r w:rsidR="000B4D42" w:rsidRPr="00034410">
        <w:t xml:space="preserve">. As such, reliability places a limit on the mean observable associations between scores on any two measures: the less reliably the two variables are measured, the lower the observable correlation between the two variables. The observed correlation between two measures </w:t>
      </w:r>
      <m:oMath>
        <m:r>
          <w:rPr>
            <w:rFonts w:ascii="Cambria Math" w:hAnsi="Cambria Math"/>
          </w:rPr>
          <m:t>x</m:t>
        </m:r>
      </m:oMath>
      <w:r w:rsidR="000B4D42" w:rsidRPr="00034410">
        <w:t xml:space="preserve"> and </w:t>
      </w:r>
      <m:oMath>
        <m:r>
          <w:rPr>
            <w:rFonts w:ascii="Cambria Math" w:hAnsi="Cambria Math"/>
          </w:rPr>
          <m:t>y</m:t>
        </m:r>
      </m:oMath>
      <w:r w:rsidR="000B4D42" w:rsidRPr="00034410">
        <w:t xml:space="preserve"> </w:t>
      </w:r>
      <w:r w:rsidR="00CB2150" w:rsidRPr="00034410">
        <w:t>(</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observed</m:t>
            </m:r>
          </m:sup>
        </m:sSubSup>
      </m:oMath>
      <w:r w:rsidR="00CB2150" w:rsidRPr="00034410">
        <w:t xml:space="preserve">) </w:t>
      </w:r>
      <w:r w:rsidR="000B4D42" w:rsidRPr="00034410">
        <w:t xml:space="preserve">is a function of the </w:t>
      </w:r>
      <w:r w:rsidR="007D11DE" w:rsidRPr="00034410">
        <w:t xml:space="preserve">true </w:t>
      </w:r>
      <w:r w:rsidR="000B4D42" w:rsidRPr="00034410">
        <w:t>correlation between the variables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0B4D42" w:rsidRPr="00034410">
        <w:t xml:space="preserve">) and the reliability of both measures (their self-correlation </w:t>
      </w:r>
      <m:oMath>
        <m:sSub>
          <m:sSubPr>
            <m:ctrlPr>
              <w:rPr>
                <w:rFonts w:ascii="Cambria Math" w:hAnsi="Cambria Math"/>
                <w:i/>
              </w:rPr>
            </m:ctrlPr>
          </m:sSubPr>
          <m:e>
            <m:r>
              <w:rPr>
                <w:rFonts w:ascii="Cambria Math" w:hAnsi="Cambria Math"/>
              </w:rPr>
              <m:t>r</m:t>
            </m:r>
          </m:e>
          <m:sub>
            <m:r>
              <w:rPr>
                <w:rFonts w:ascii="Cambria Math" w:hAnsi="Cambria Math"/>
              </w:rPr>
              <m:t>xx</m:t>
            </m:r>
          </m:sub>
        </m:sSub>
      </m:oMath>
      <w:r w:rsidR="000B4D42" w:rsidRPr="00034410">
        <w:t xml:space="preserve"> and </w:t>
      </w:r>
      <m:oMath>
        <m:sSub>
          <m:sSubPr>
            <m:ctrlPr>
              <w:rPr>
                <w:rFonts w:ascii="Cambria Math" w:hAnsi="Cambria Math"/>
                <w:i/>
              </w:rPr>
            </m:ctrlPr>
          </m:sSubPr>
          <m:e>
            <m:r>
              <w:rPr>
                <w:rFonts w:ascii="Cambria Math" w:hAnsi="Cambria Math"/>
              </w:rPr>
              <m:t>r</m:t>
            </m:r>
          </m:e>
          <m:sub>
            <m:r>
              <w:rPr>
                <w:rFonts w:ascii="Cambria Math" w:hAnsi="Cambria Math"/>
              </w:rPr>
              <m:t>yy</m:t>
            </m:r>
          </m:sub>
        </m:sSub>
      </m:oMath>
      <w:r w:rsidR="000B4D42" w:rsidRPr="00034410">
        <w:t xml:space="preserve">). This can be quantified via </w:t>
      </w:r>
      <w:r w:rsidR="000B4D42" w:rsidRPr="00034410">
        <w:rPr>
          <w:lang w:val="en-US"/>
        </w:rPr>
        <w:t>the Attenuation Formula derived from classical test theory</w:t>
      </w:r>
      <w:r w:rsidR="00812BDF" w:rsidRPr="00034410">
        <w:rPr>
          <w:lang w:val="en-US"/>
        </w:rPr>
        <w:t xml:space="preserve"> </w:t>
      </w:r>
      <w:r w:rsidRPr="00034410">
        <w:fldChar w:fldCharType="begin"/>
      </w:r>
      <w:r w:rsidR="007C23EB" w:rsidRPr="00034410">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rsidRPr="00034410">
        <w:fldChar w:fldCharType="separate"/>
      </w:r>
      <w:r w:rsidRPr="00034410">
        <w:rPr>
          <w:noProof/>
        </w:rPr>
        <w:t>(Revelle, 2009, equation 7.3)</w:t>
      </w:r>
      <w:r w:rsidRPr="00034410">
        <w:fldChar w:fldCharType="end"/>
      </w:r>
      <w:r w:rsidRPr="00034410">
        <w:t>:</w:t>
      </w:r>
    </w:p>
    <w:p w14:paraId="47C0E997" w14:textId="77777777" w:rsidR="005924D8" w:rsidRPr="00034410" w:rsidRDefault="005924D8" w:rsidP="00034410"/>
    <w:p w14:paraId="4ECE117F" w14:textId="45ADD68C" w:rsidR="005924D8" w:rsidRPr="002C31EF" w:rsidRDefault="002C31EF" w:rsidP="00034410">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true</m:t>
                  </m:r>
                </m:sup>
              </m:sSubSup>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observed</m:t>
                      </m:r>
                    </m:sup>
                  </m:sSub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sSub>
                        <m:sSubPr>
                          <m:ctrlPr>
                            <w:rPr>
                              <w:rFonts w:ascii="Cambria Math" w:hAnsi="Cambria Math"/>
                            </w:rPr>
                          </m:ctrlPr>
                        </m:sSubPr>
                        <m:e>
                          <m:r>
                            <w:rPr>
                              <w:rFonts w:ascii="Cambria Math" w:hAnsi="Cambria Math"/>
                            </w:rPr>
                            <m:t>r</m:t>
                          </m:r>
                        </m:e>
                        <m:sub>
                          <m:r>
                            <w:rPr>
                              <w:rFonts w:ascii="Cambria Math" w:hAnsi="Cambria Math"/>
                            </w:rPr>
                            <m:t>yy</m:t>
                          </m:r>
                        </m:sub>
                      </m:sSub>
                    </m:e>
                  </m:rad>
                </m:den>
              </m:f>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00AAA3AB" w14:textId="6AE5C015" w:rsidR="005924D8" w:rsidRPr="00034410" w:rsidRDefault="005924D8" w:rsidP="002C31EF">
      <w:pPr>
        <w:ind w:firstLine="0"/>
      </w:pPr>
    </w:p>
    <w:p w14:paraId="3A1C807A" w14:textId="5155CEC4" w:rsidR="006E32C1" w:rsidRPr="00034410" w:rsidRDefault="00B736FB" w:rsidP="00034410">
      <w:r w:rsidRPr="00034410">
        <w:t xml:space="preserve">Two of these variables have already empirical estimates. First, Vahey et al.’s (2015) </w:t>
      </w:r>
      <w:proofErr w:type="gramStart"/>
      <w:r w:rsidRPr="00034410">
        <w:t>estimate</w:t>
      </w:r>
      <w:proofErr w:type="gramEnd"/>
      <w:r w:rsidRPr="00034410">
        <w:t xml:space="preserve"> of the observed correlation between the IRAP and criterion variables</w:t>
      </w:r>
      <w:r w:rsidR="00272A3F" w:rsidRPr="00034410">
        <w:t xml:space="preserve"> was</w:t>
      </w:r>
      <w:r w:rsidRPr="00034410">
        <w:rPr>
          <w:i/>
          <w:iCs/>
        </w:rP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034410">
        <w:t xml:space="preserve"> = .45. Second, estimate</w:t>
      </w:r>
      <w:r w:rsidR="007C23EB" w:rsidRPr="00034410">
        <w:t xml:space="preserve">s </w:t>
      </w:r>
      <w:r w:rsidRPr="00034410">
        <w:t>of the IRAP’s reliability</w:t>
      </w:r>
      <w:r w:rsidR="007C23EB" w:rsidRPr="00034410">
        <w:t xml:space="preserve"> have been </w:t>
      </w:r>
      <w:r w:rsidRPr="00034410">
        <w:t xml:space="preserve">provided by a </w:t>
      </w:r>
      <w:r w:rsidR="00812BDF" w:rsidRPr="00034410">
        <w:t>recent meta-</w:t>
      </w:r>
      <w:r w:rsidR="00812BDF" w:rsidRPr="00034410">
        <w:t>analysis</w:t>
      </w:r>
      <w:r w:rsidR="007C23EB" w:rsidRPr="00034410">
        <w:t>. At the trial-type level (i.e., the method of scoring IRAP as four scores that proponents of the task typically recommend), both internal consistency (</w:t>
      </w:r>
      <m:oMath>
        <m:r>
          <m:rPr>
            <m:sty m:val="p"/>
          </m:rPr>
          <w:rPr>
            <w:rFonts w:ascii="Cambria Math" w:hAnsi="Cambria Math"/>
          </w:rPr>
          <m:t>α</m:t>
        </m:r>
      </m:oMath>
      <w:r w:rsidR="007C23EB" w:rsidRPr="00034410">
        <w:t xml:space="preserve"> = .27) and test-retest (ICC</w:t>
      </w:r>
      <w:r w:rsidR="007C23EB" w:rsidRPr="00034410">
        <w:rPr>
          <w:vertAlign w:val="subscript"/>
        </w:rPr>
        <w:t>2</w:t>
      </w:r>
      <w:r w:rsidR="007C23EB" w:rsidRPr="00034410">
        <w:t xml:space="preserve"> = .18) are extremely low </w:t>
      </w:r>
      <w:r w:rsidR="007C23EB" w:rsidRPr="00034410">
        <w:fldChar w:fldCharType="begin"/>
      </w:r>
      <w:r w:rsidR="007C23EB" w:rsidRPr="00034410">
        <w:instrText xml:space="preserve"> ADDIN ZOTERO_ITEM CSL_CITATION {"citationID":"19vSLMPh","properties":{"formattedCitation":"(Hussey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7C23EB" w:rsidRPr="00034410">
        <w:fldChar w:fldCharType="separate"/>
      </w:r>
      <w:r w:rsidR="007C23EB" w:rsidRPr="00034410">
        <w:rPr>
          <w:noProof/>
        </w:rPr>
        <w:t>(Hussey &amp; Drake, 2020)</w:t>
      </w:r>
      <w:r w:rsidR="007C23EB" w:rsidRPr="00034410">
        <w:fldChar w:fldCharType="end"/>
      </w:r>
      <w:r w:rsidR="007C23EB" w:rsidRPr="00034410">
        <w:t>.</w:t>
      </w:r>
      <w:r w:rsidR="007C23EB" w:rsidRPr="00034410">
        <w:rPr>
          <w:rStyle w:val="FootnoteReference"/>
        </w:rPr>
        <w:footnoteReference w:id="1"/>
      </w:r>
      <w:r w:rsidR="00812BDF" w:rsidRPr="00034410">
        <w:t xml:space="preserve"> This leaves two remaining variables, the IRAP’s criterion validity after adjusting for measurement error </w:t>
      </w:r>
      <w:r w:rsidR="002A0921" w:rsidRPr="00034410">
        <w:t>(</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812BDF" w:rsidRPr="00034410">
        <w:t>) and the criterion tasks’ mean reliability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812BDF" w:rsidRPr="00034410">
        <w:t xml:space="preserve">). </w:t>
      </w:r>
      <w:proofErr w:type="gramStart"/>
      <w:r w:rsidR="00812BDF" w:rsidRPr="00034410">
        <w:t>Both of these</w:t>
      </w:r>
      <w:proofErr w:type="gramEnd"/>
      <w:r w:rsidR="00812BDF" w:rsidRPr="00034410">
        <w:t xml:space="preserve"> variables share the same constraint: as correlations, their value cannot be above 1. For the moment, if we assume that the criterion tasks’ mean reliability is </w:t>
      </w:r>
      <w:r w:rsidR="005D3369" w:rsidRPr="00034410">
        <w:t>very good</w:t>
      </w:r>
      <w:r w:rsidR="00812BDF" w:rsidRPr="00034410">
        <w:t xml:space="preserve">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812BDF" w:rsidRPr="00034410">
        <w:t xml:space="preserve"> = </w:t>
      </w:r>
      <w:r w:rsidR="005D3369" w:rsidRPr="00034410">
        <w:t>0</w:t>
      </w:r>
      <w:r w:rsidR="00812BDF" w:rsidRPr="00034410">
        <w:t>.</w:t>
      </w:r>
      <w:r w:rsidR="005D3369" w:rsidRPr="00034410">
        <w:t>9</w:t>
      </w:r>
      <w:r w:rsidR="00812BDF" w:rsidRPr="00034410">
        <w:t xml:space="preserve">0). This would imply that the lower limit of the IRAP’s </w:t>
      </w:r>
      <w:r w:rsidR="00BB3D46" w:rsidRPr="00034410">
        <w:t>true</w:t>
      </w:r>
      <w:r w:rsidR="00050D9B" w:rsidRPr="00034410">
        <w:t xml:space="preserve"> </w:t>
      </w:r>
      <w:r w:rsidR="00812BDF" w:rsidRPr="00034410">
        <w:t>criterion validity after adjusting for measurement error is</w:t>
      </w:r>
      <w:r w:rsidR="00050D9B" w:rsidRPr="00034410">
        <w:t xml:space="preserve"> </w:t>
      </w:r>
      <w:r w:rsidR="004C4605" w:rsidRPr="00034410">
        <w:t>between implausibly high</w:t>
      </w:r>
      <w:r w:rsidR="00050D9B" w:rsidRPr="00034410">
        <w:t>,</w:t>
      </w:r>
      <w:r w:rsidR="00812BDF" w:rsidRPr="00034410">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2A028E" w:rsidRPr="00034410">
        <w:t xml:space="preserve"> </w:t>
      </w:r>
      <w:r w:rsidR="00812BDF" w:rsidRPr="00034410">
        <w:t>= .9</w:t>
      </w:r>
      <w:r w:rsidR="004C4605" w:rsidRPr="00034410">
        <w:t>1 (when using the estimate of internal consistency), or mathematically impossible</w:t>
      </w:r>
      <w:r w:rsidR="005339BC" w:rsidRPr="00034410">
        <w:t xml:space="preserve"> as it is beyond the [0,1] bounds for a correlation</w:t>
      </w:r>
      <w:r w:rsidR="00A50815" w:rsidRPr="00034410">
        <w:t>,</w:t>
      </w:r>
      <w:r w:rsidR="004C4605" w:rsidRPr="00034410">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1556FB" w:rsidRPr="00034410">
        <w:t xml:space="preserve"> </w:t>
      </w:r>
      <w:r w:rsidR="004C4605" w:rsidRPr="00034410">
        <w:t>= 1.12 (when using the estimate of test-retest</w:t>
      </w:r>
      <w:r w:rsidR="005339BC" w:rsidRPr="00034410">
        <w:t>).</w:t>
      </w:r>
      <w:r w:rsidR="00072B9F" w:rsidRPr="00034410">
        <w:t xml:space="preserve"> Using l</w:t>
      </w:r>
      <w:r w:rsidR="005A34DF" w:rsidRPr="00034410">
        <w:t xml:space="preserve">ower </w:t>
      </w:r>
      <w:r w:rsidR="00072B9F" w:rsidRPr="00034410">
        <w:t xml:space="preserve">and arguably </w:t>
      </w:r>
      <w:r w:rsidR="00050D9B" w:rsidRPr="00034410">
        <w:t xml:space="preserve">more plausible </w:t>
      </w:r>
      <w:r w:rsidR="005A34DF" w:rsidRPr="00034410">
        <w:t xml:space="preserve">values </w:t>
      </w:r>
      <w:r w:rsidR="00072B9F" w:rsidRPr="00034410">
        <w:t xml:space="preserve">for the mean reliability of the criterion tasks </w:t>
      </w:r>
      <w:r w:rsidR="009078D1" w:rsidRPr="00034410">
        <w:t xml:space="preserve">produces even higher estimates for the </w:t>
      </w:r>
      <w:r w:rsidR="008B5603" w:rsidRPr="00034410">
        <w:t>true</w:t>
      </w:r>
      <w:r w:rsidR="009078D1" w:rsidRPr="00034410">
        <w:t xml:space="preserve"> correlation, making </w:t>
      </w:r>
      <w:r w:rsidR="00E86CD0" w:rsidRPr="00034410">
        <w:t xml:space="preserve">both </w:t>
      </w:r>
      <w:r w:rsidR="009078D1" w:rsidRPr="00034410">
        <w:t xml:space="preserve">values </w:t>
      </w:r>
      <w:r w:rsidR="00E86CD0" w:rsidRPr="00034410">
        <w:t xml:space="preserve">impossible </w:t>
      </w:r>
      <w:r w:rsidR="001721B4" w:rsidRPr="00034410">
        <w:t xml:space="preserve">(i.e., when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1721B4" w:rsidRPr="00034410">
        <w:t xml:space="preserve"> = .70,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B52153" w:rsidRPr="00034410">
        <w:t xml:space="preserve"> </w:t>
      </w:r>
      <w:r w:rsidR="001721B4" w:rsidRPr="00034410">
        <w:t>= 1.04 or 1.27 respectively).</w:t>
      </w:r>
      <w:r w:rsidR="004312D7" w:rsidRPr="00034410">
        <w:t xml:space="preserve"> </w:t>
      </w:r>
    </w:p>
    <w:p w14:paraId="1791F61D" w14:textId="31A73BDB" w:rsidR="00B736FB" w:rsidRPr="00034410" w:rsidRDefault="006E32C1" w:rsidP="00034410">
      <w:r w:rsidRPr="00034410">
        <w:t>Given that these estimates range between highly implausible and impossible, something appears to be amiss. Either Vahey et al.'s (2015) estimate of average criterion associations is somewhere between highly implausible and mathematically impossible given the IRAP's reliability (i.e., assuming Hussey &amp; Drake 2020 are right about reliability), or Hussey &amp; Drake's (2020) estimates of the IRAP's average reliability is implausibly low given the IRAP's high criterion validity (i.e., assuming Vahey et al. 2015 are right about validity). Ultimately it will be up t</w:t>
      </w:r>
      <w:r w:rsidR="00A22775" w:rsidRPr="00034410">
        <w:t xml:space="preserve">o the community to determine whether our analyses in </w:t>
      </w:r>
      <w:r w:rsidRPr="00034410">
        <w:t xml:space="preserve">Hussey &amp; Drake (2020) </w:t>
      </w:r>
      <w:r w:rsidR="00A22775" w:rsidRPr="00034410">
        <w:t xml:space="preserve">are </w:t>
      </w:r>
      <w:r w:rsidRPr="00034410">
        <w:t>sound</w:t>
      </w:r>
      <w:r w:rsidR="00A22775" w:rsidRPr="00034410">
        <w:t>, and we provide open data and code to aid others in inspecting our work for errors. Because w</w:t>
      </w:r>
      <w:r w:rsidRPr="00034410">
        <w:t>e are confident in the numbers</w:t>
      </w:r>
      <w:r w:rsidR="00A22775" w:rsidRPr="00034410">
        <w:t xml:space="preserve">, </w:t>
      </w:r>
      <w:r w:rsidRPr="00034410">
        <w:t xml:space="preserve">this motivates us to inspect Vahey et al.'s (2015) </w:t>
      </w:r>
      <w:r w:rsidR="00A22775" w:rsidRPr="00034410">
        <w:t xml:space="preserve">data and analyses </w:t>
      </w:r>
      <w:r w:rsidRPr="00034410">
        <w:t xml:space="preserve">to determine if the issue lies there instead. </w:t>
      </w:r>
      <w:r w:rsidR="00AA1DA9" w:rsidRPr="00034410">
        <w:t xml:space="preserve"> </w:t>
      </w:r>
    </w:p>
    <w:p w14:paraId="701DA313" w14:textId="25DF33A1" w:rsidR="00167923" w:rsidRPr="00034410" w:rsidRDefault="00167923" w:rsidP="00034410">
      <w:pPr>
        <w:pStyle w:val="Heading1"/>
      </w:pPr>
      <w:r w:rsidRPr="00034410">
        <w:t>Method</w:t>
      </w:r>
      <w:r w:rsidR="00524107" w:rsidRPr="00034410">
        <w:t xml:space="preserve"> &amp; </w:t>
      </w:r>
      <w:r w:rsidR="00CF6C00" w:rsidRPr="00034410">
        <w:t>Results</w:t>
      </w:r>
    </w:p>
    <w:p w14:paraId="266CC9C0" w14:textId="2024ED2E" w:rsidR="00B33C2E" w:rsidRPr="00034410" w:rsidRDefault="009B4F34" w:rsidP="00034410">
      <w:r w:rsidRPr="00034410">
        <w:t xml:space="preserve">Vahey et al. (2015) reported the steps in their analyses in the conventional order: they identified effect sizes in original article, applied inclusion and exclusion criteria, extracted them, converted them to Pearson’s </w:t>
      </w:r>
      <w:r w:rsidRPr="00034410">
        <w:rPr>
          <w:i/>
          <w:iCs/>
        </w:rPr>
        <w:t>r</w:t>
      </w:r>
      <w:r w:rsidRPr="00034410">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w:t>
      </w:r>
      <w:r w:rsidR="00D628E7">
        <w:t>re-extract</w:t>
      </w:r>
      <w:r w:rsidRPr="00034410">
        <w:t xml:space="preserve">ed individual effect sizes. </w:t>
      </w:r>
    </w:p>
    <w:p w14:paraId="0894F9C9" w14:textId="7E32CEA6" w:rsidR="000967B0" w:rsidRDefault="000967B0" w:rsidP="000967B0">
      <w:pPr>
        <w:ind w:firstLine="0"/>
        <w:sectPr w:rsidR="000967B0" w:rsidSect="008153E3">
          <w:type w:val="continuous"/>
          <w:pgSz w:w="11900" w:h="16840"/>
          <w:pgMar w:top="1440" w:right="1440" w:bottom="1440" w:left="1440" w:header="709" w:footer="709" w:gutter="0"/>
          <w:cols w:num="2" w:space="340"/>
          <w:titlePg/>
          <w:docGrid w:linePitch="360"/>
          <w15:footnoteColumns w:val="1"/>
        </w:sectPr>
      </w:pPr>
    </w:p>
    <w:p w14:paraId="537032C6" w14:textId="77777777" w:rsidR="000967B0" w:rsidRPr="00EE79F9" w:rsidRDefault="000967B0" w:rsidP="00EE79F9">
      <w:pPr>
        <w:ind w:firstLine="0"/>
        <w:rPr>
          <w:b/>
          <w:bCs/>
        </w:rPr>
      </w:pPr>
      <w:r w:rsidRPr="00EE79F9">
        <w:rPr>
          <w:b/>
          <w:bCs/>
        </w:rPr>
        <w:lastRenderedPageBreak/>
        <w:t>Table 1. Verifications of power analyses for 80% power.</w:t>
      </w:r>
    </w:p>
    <w:p w14:paraId="1258C666" w14:textId="77777777" w:rsidR="000967B0" w:rsidRDefault="000967B0" w:rsidP="000967B0">
      <w:pPr>
        <w:rPr>
          <w:sz w:val="16"/>
          <w:szCs w:val="16"/>
        </w:rPr>
      </w:pPr>
    </w:p>
    <w:tbl>
      <w:tblPr>
        <w:tblW w:w="8995" w:type="dxa"/>
        <w:jc w:val="center"/>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577"/>
        <w:gridCol w:w="540"/>
        <w:gridCol w:w="1871"/>
        <w:gridCol w:w="627"/>
        <w:gridCol w:w="950"/>
        <w:gridCol w:w="900"/>
        <w:gridCol w:w="630"/>
        <w:gridCol w:w="900"/>
      </w:tblGrid>
      <w:tr w:rsidR="00A30DBD" w:rsidRPr="00D85791" w14:paraId="549E2708" w14:textId="77777777" w:rsidTr="008902B8">
        <w:trPr>
          <w:tblHeader/>
          <w:jc w:val="center"/>
        </w:trPr>
        <w:tc>
          <w:tcPr>
            <w:tcW w:w="2577" w:type="dxa"/>
            <w:tcBorders>
              <w:bottom w:val="nil"/>
            </w:tcBorders>
            <w:shd w:val="clear" w:color="auto" w:fill="auto"/>
            <w:tcMar>
              <w:top w:w="0" w:type="dxa"/>
              <w:left w:w="75" w:type="dxa"/>
              <w:bottom w:w="0" w:type="dxa"/>
              <w:right w:w="75" w:type="dxa"/>
            </w:tcMar>
            <w:vAlign w:val="center"/>
          </w:tcPr>
          <w:p w14:paraId="5F32246F" w14:textId="77777777" w:rsidR="00A30DBD" w:rsidRPr="001D3517" w:rsidRDefault="00A30DBD" w:rsidP="002D69CC">
            <w:pPr>
              <w:pStyle w:val="table"/>
            </w:pPr>
          </w:p>
        </w:tc>
        <w:tc>
          <w:tcPr>
            <w:tcW w:w="540" w:type="dxa"/>
            <w:tcBorders>
              <w:bottom w:val="nil"/>
            </w:tcBorders>
            <w:shd w:val="clear" w:color="auto" w:fill="auto"/>
            <w:tcMar>
              <w:top w:w="0" w:type="dxa"/>
              <w:left w:w="75" w:type="dxa"/>
              <w:bottom w:w="0" w:type="dxa"/>
              <w:right w:w="75" w:type="dxa"/>
            </w:tcMar>
            <w:vAlign w:val="center"/>
          </w:tcPr>
          <w:p w14:paraId="21ACAA64" w14:textId="77777777" w:rsidR="00A30DBD" w:rsidRPr="001D3517" w:rsidRDefault="00A30DBD" w:rsidP="002D69CC">
            <w:pPr>
              <w:pStyle w:val="table"/>
            </w:pPr>
          </w:p>
        </w:tc>
        <w:tc>
          <w:tcPr>
            <w:tcW w:w="1871" w:type="dxa"/>
            <w:tcBorders>
              <w:bottom w:val="nil"/>
            </w:tcBorders>
            <w:shd w:val="clear" w:color="auto" w:fill="auto"/>
            <w:tcMar>
              <w:top w:w="0" w:type="dxa"/>
              <w:left w:w="75" w:type="dxa"/>
              <w:bottom w:w="0" w:type="dxa"/>
              <w:right w:w="75" w:type="dxa"/>
            </w:tcMar>
            <w:vAlign w:val="center"/>
          </w:tcPr>
          <w:p w14:paraId="78117FAA" w14:textId="77777777" w:rsidR="00A30DBD" w:rsidRPr="001D3517" w:rsidRDefault="00A30DBD" w:rsidP="002D69CC">
            <w:pPr>
              <w:pStyle w:val="table"/>
            </w:pPr>
          </w:p>
        </w:tc>
        <w:tc>
          <w:tcPr>
            <w:tcW w:w="1577" w:type="dxa"/>
            <w:gridSpan w:val="2"/>
            <w:tcBorders>
              <w:bottom w:val="single" w:sz="4" w:space="0" w:color="auto"/>
            </w:tcBorders>
            <w:shd w:val="clear" w:color="auto" w:fill="auto"/>
            <w:tcMar>
              <w:top w:w="0" w:type="dxa"/>
              <w:left w:w="75" w:type="dxa"/>
              <w:bottom w:w="0" w:type="dxa"/>
              <w:right w:w="75" w:type="dxa"/>
            </w:tcMar>
            <w:vAlign w:val="center"/>
          </w:tcPr>
          <w:p w14:paraId="525B8595" w14:textId="77777777" w:rsidR="00A30DBD" w:rsidRPr="001D3517" w:rsidRDefault="00A30DBD" w:rsidP="002D69CC">
            <w:pPr>
              <w:pStyle w:val="table"/>
              <w:jc w:val="center"/>
            </w:pPr>
            <w:r w:rsidRPr="001D3517">
              <w:t xml:space="preserve">Vahey et al. (2015) </w:t>
            </w:r>
          </w:p>
        </w:tc>
        <w:tc>
          <w:tcPr>
            <w:tcW w:w="900" w:type="dxa"/>
            <w:tcBorders>
              <w:bottom w:val="single" w:sz="4" w:space="0" w:color="auto"/>
            </w:tcBorders>
            <w:vAlign w:val="center"/>
          </w:tcPr>
          <w:p w14:paraId="1C208377" w14:textId="77777777" w:rsidR="00A30DBD" w:rsidRPr="001D3517" w:rsidRDefault="00A30DBD" w:rsidP="002D69CC">
            <w:pPr>
              <w:pStyle w:val="table"/>
              <w:jc w:val="center"/>
            </w:pPr>
            <w:r w:rsidRPr="001D3517">
              <w:t>Verified</w:t>
            </w:r>
          </w:p>
        </w:tc>
        <w:tc>
          <w:tcPr>
            <w:tcW w:w="1530" w:type="dxa"/>
            <w:gridSpan w:val="2"/>
            <w:tcBorders>
              <w:bottom w:val="single" w:sz="4" w:space="0" w:color="auto"/>
            </w:tcBorders>
            <w:vAlign w:val="center"/>
          </w:tcPr>
          <w:p w14:paraId="26603A02" w14:textId="77777777" w:rsidR="00A30DBD" w:rsidRPr="001D3517" w:rsidRDefault="00A30DBD" w:rsidP="002D69CC">
            <w:pPr>
              <w:pStyle w:val="table"/>
              <w:jc w:val="center"/>
            </w:pPr>
            <w:r w:rsidRPr="001D3517">
              <w:t>New meta-analysis</w:t>
            </w:r>
          </w:p>
        </w:tc>
      </w:tr>
      <w:tr w:rsidR="00A30DBD" w:rsidRPr="00D85791" w14:paraId="46A6F320" w14:textId="77777777" w:rsidTr="008902B8">
        <w:trPr>
          <w:tblHeader/>
          <w:jc w:val="center"/>
        </w:trPr>
        <w:tc>
          <w:tcPr>
            <w:tcW w:w="2577" w:type="dxa"/>
            <w:tcBorders>
              <w:top w:val="nil"/>
              <w:bottom w:val="single" w:sz="4" w:space="0" w:color="auto"/>
            </w:tcBorders>
            <w:shd w:val="clear" w:color="auto" w:fill="auto"/>
            <w:tcMar>
              <w:top w:w="0" w:type="dxa"/>
              <w:left w:w="75" w:type="dxa"/>
              <w:bottom w:w="0" w:type="dxa"/>
              <w:right w:w="75" w:type="dxa"/>
            </w:tcMar>
            <w:vAlign w:val="center"/>
            <w:hideMark/>
          </w:tcPr>
          <w:p w14:paraId="524C429C" w14:textId="77777777" w:rsidR="00A30DBD" w:rsidRPr="001D3517" w:rsidRDefault="00A30DBD" w:rsidP="002D69CC">
            <w:pPr>
              <w:pStyle w:val="table"/>
              <w:jc w:val="left"/>
            </w:pPr>
            <w:r w:rsidRPr="001D3517">
              <w:t>Test</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52A4394E" w14:textId="77777777" w:rsidR="00A30DBD" w:rsidRPr="001D3517" w:rsidRDefault="00A30DBD" w:rsidP="002D69CC">
            <w:pPr>
              <w:pStyle w:val="table"/>
              <w:jc w:val="left"/>
            </w:pPr>
            <w:r w:rsidRPr="001D3517">
              <w:t>Tails</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01374EFD" w14:textId="77777777" w:rsidR="00A30DBD" w:rsidRPr="001D3517" w:rsidRDefault="00A30DBD" w:rsidP="002D69CC">
            <w:pPr>
              <w:pStyle w:val="table"/>
              <w:jc w:val="left"/>
            </w:pPr>
            <w:r w:rsidRPr="001D3517">
              <w:t>Estimated using*</w:t>
            </w:r>
          </w:p>
        </w:tc>
        <w:tc>
          <w:tcPr>
            <w:tcW w:w="627"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1DDF7BB" w14:textId="77777777" w:rsidR="00A30DBD" w:rsidRPr="001D3517" w:rsidRDefault="00A30DBD" w:rsidP="002D69CC">
            <w:pPr>
              <w:pStyle w:val="table"/>
              <w:jc w:val="center"/>
            </w:pPr>
            <m:oMathPara>
              <m:oMath>
                <m:acc>
                  <m:accPr>
                    <m:chr m:val="̅"/>
                    <m:ctrlPr>
                      <w:rPr>
                        <w:rFonts w:ascii="Cambria Math" w:hAnsi="Cambria Math"/>
                      </w:rPr>
                    </m:ctrlPr>
                  </m:accPr>
                  <m:e>
                    <m:r>
                      <w:rPr>
                        <w:rFonts w:ascii="Cambria Math" w:hAnsi="Cambria Math"/>
                      </w:rPr>
                      <m:t>r</m:t>
                    </m:r>
                  </m:e>
                </m:acc>
              </m:oMath>
            </m:oMathPara>
          </w:p>
        </w:tc>
        <w:tc>
          <w:tcPr>
            <w:tcW w:w="950" w:type="dxa"/>
            <w:tcBorders>
              <w:top w:val="single" w:sz="4" w:space="0" w:color="auto"/>
              <w:bottom w:val="single" w:sz="4" w:space="0" w:color="auto"/>
            </w:tcBorders>
            <w:vAlign w:val="center"/>
          </w:tcPr>
          <w:p w14:paraId="7B75A722" w14:textId="77777777" w:rsidR="00A30DBD" w:rsidRPr="001D3517" w:rsidRDefault="00A30DBD" w:rsidP="002D69CC">
            <w:pPr>
              <w:pStyle w:val="table"/>
              <w:jc w:val="center"/>
            </w:pPr>
            <w:r w:rsidRPr="001D3517">
              <w:rPr>
                <w:i/>
                <w:iCs/>
              </w:rPr>
              <w:t>N</w:t>
            </w:r>
          </w:p>
        </w:tc>
        <w:tc>
          <w:tcPr>
            <w:tcW w:w="900" w:type="dxa"/>
            <w:tcBorders>
              <w:top w:val="single" w:sz="4" w:space="0" w:color="auto"/>
              <w:bottom w:val="single" w:sz="4" w:space="0" w:color="auto"/>
            </w:tcBorders>
            <w:vAlign w:val="center"/>
          </w:tcPr>
          <w:p w14:paraId="6B99C5B9" w14:textId="77777777" w:rsidR="00A30DBD" w:rsidRPr="001D3517" w:rsidRDefault="00A30DBD" w:rsidP="002D69CC">
            <w:pPr>
              <w:pStyle w:val="table"/>
              <w:jc w:val="center"/>
            </w:pPr>
            <w:r w:rsidRPr="001D3517">
              <w:rPr>
                <w:i/>
                <w:iCs/>
              </w:rPr>
              <w:t>N</w:t>
            </w:r>
          </w:p>
        </w:tc>
        <w:tc>
          <w:tcPr>
            <w:tcW w:w="630" w:type="dxa"/>
            <w:tcBorders>
              <w:top w:val="single" w:sz="4" w:space="0" w:color="auto"/>
              <w:bottom w:val="single" w:sz="4" w:space="0" w:color="auto"/>
            </w:tcBorders>
            <w:vAlign w:val="center"/>
          </w:tcPr>
          <w:p w14:paraId="05434C83" w14:textId="77777777" w:rsidR="00A30DBD" w:rsidRPr="001D3517" w:rsidRDefault="00A30DBD" w:rsidP="002D69CC">
            <w:pPr>
              <w:pStyle w:val="table"/>
              <w:jc w:val="center"/>
            </w:pPr>
            <m:oMathPara>
              <m:oMath>
                <m:acc>
                  <m:accPr>
                    <m:chr m:val="̅"/>
                    <m:ctrlPr>
                      <w:rPr>
                        <w:rFonts w:ascii="Cambria Math" w:hAnsi="Cambria Math"/>
                      </w:rPr>
                    </m:ctrlPr>
                  </m:accPr>
                  <m:e>
                    <m:r>
                      <w:rPr>
                        <w:rFonts w:ascii="Cambria Math" w:hAnsi="Cambria Math"/>
                      </w:rPr>
                      <m:t>r</m:t>
                    </m:r>
                  </m:e>
                </m:acc>
              </m:oMath>
            </m:oMathPara>
          </w:p>
        </w:tc>
        <w:tc>
          <w:tcPr>
            <w:tcW w:w="900" w:type="dxa"/>
            <w:tcBorders>
              <w:top w:val="single" w:sz="4" w:space="0" w:color="auto"/>
              <w:bottom w:val="single" w:sz="4" w:space="0" w:color="auto"/>
            </w:tcBorders>
            <w:vAlign w:val="center"/>
          </w:tcPr>
          <w:p w14:paraId="01DAEC46" w14:textId="77777777" w:rsidR="00A30DBD" w:rsidRPr="001D3517" w:rsidRDefault="00A30DBD" w:rsidP="002D69CC">
            <w:pPr>
              <w:pStyle w:val="table"/>
              <w:jc w:val="center"/>
            </w:pPr>
            <w:r w:rsidRPr="001D3517">
              <w:rPr>
                <w:i/>
                <w:iCs/>
              </w:rPr>
              <w:t>N</w:t>
            </w:r>
          </w:p>
        </w:tc>
      </w:tr>
      <w:tr w:rsidR="00231610" w:rsidRPr="00D85791" w14:paraId="725183CF" w14:textId="77777777" w:rsidTr="008902B8">
        <w:trPr>
          <w:jc w:val="center"/>
        </w:trPr>
        <w:tc>
          <w:tcPr>
            <w:tcW w:w="2577" w:type="dxa"/>
            <w:tcBorders>
              <w:top w:val="single" w:sz="4" w:space="0" w:color="auto"/>
            </w:tcBorders>
            <w:shd w:val="clear" w:color="auto" w:fill="auto"/>
            <w:tcMar>
              <w:top w:w="0" w:type="dxa"/>
              <w:left w:w="75" w:type="dxa"/>
              <w:bottom w:w="0" w:type="dxa"/>
              <w:right w:w="75" w:type="dxa"/>
            </w:tcMar>
            <w:vAlign w:val="center"/>
            <w:hideMark/>
          </w:tcPr>
          <w:p w14:paraId="0DC9E73A" w14:textId="77777777" w:rsidR="00A30DBD" w:rsidRPr="00D85791" w:rsidRDefault="00A30DBD" w:rsidP="002D69CC">
            <w:pPr>
              <w:pStyle w:val="table"/>
              <w:jc w:val="left"/>
            </w:pPr>
            <w:r w:rsidRPr="00D85791">
              <w:t xml:space="preserve">Pearson’s </w:t>
            </w:r>
            <w:r w:rsidRPr="00D85791">
              <w:rPr>
                <w:i/>
                <w:iCs/>
              </w:rPr>
              <w:t>r</w:t>
            </w:r>
          </w:p>
        </w:tc>
        <w:tc>
          <w:tcPr>
            <w:tcW w:w="540" w:type="dxa"/>
            <w:tcBorders>
              <w:top w:val="single" w:sz="4" w:space="0" w:color="auto"/>
            </w:tcBorders>
            <w:shd w:val="clear" w:color="auto" w:fill="auto"/>
            <w:tcMar>
              <w:top w:w="0" w:type="dxa"/>
              <w:left w:w="75" w:type="dxa"/>
              <w:bottom w:w="0" w:type="dxa"/>
              <w:right w:w="75" w:type="dxa"/>
            </w:tcMar>
            <w:vAlign w:val="center"/>
            <w:hideMark/>
          </w:tcPr>
          <w:p w14:paraId="15B842F6" w14:textId="77777777" w:rsidR="00A30DBD" w:rsidRPr="00D85791" w:rsidRDefault="00A30DBD" w:rsidP="002D69CC">
            <w:pPr>
              <w:pStyle w:val="table"/>
              <w:jc w:val="left"/>
            </w:pPr>
            <w:r w:rsidRPr="00D85791">
              <w:t>One</w:t>
            </w:r>
          </w:p>
        </w:tc>
        <w:tc>
          <w:tcPr>
            <w:tcW w:w="1871" w:type="dxa"/>
            <w:tcBorders>
              <w:top w:val="single" w:sz="4" w:space="0" w:color="auto"/>
            </w:tcBorders>
            <w:shd w:val="clear" w:color="auto" w:fill="auto"/>
            <w:tcMar>
              <w:top w:w="0" w:type="dxa"/>
              <w:left w:w="75" w:type="dxa"/>
              <w:bottom w:w="0" w:type="dxa"/>
              <w:right w:w="75" w:type="dxa"/>
            </w:tcMar>
            <w:vAlign w:val="center"/>
            <w:hideMark/>
          </w:tcPr>
          <w:p w14:paraId="58ED9542" w14:textId="77777777" w:rsidR="00A30DBD" w:rsidRPr="00D85791" w:rsidRDefault="00A30DBD" w:rsidP="002D69CC">
            <w:pPr>
              <w:pStyle w:val="table"/>
              <w:jc w:val="left"/>
            </w:pPr>
            <w:r w:rsidRPr="00D85791">
              <w:t>Point estimate</w:t>
            </w:r>
          </w:p>
        </w:tc>
        <w:tc>
          <w:tcPr>
            <w:tcW w:w="627" w:type="dxa"/>
            <w:tcBorders>
              <w:top w:val="single" w:sz="4" w:space="0" w:color="auto"/>
            </w:tcBorders>
            <w:shd w:val="clear" w:color="auto" w:fill="auto"/>
            <w:tcMar>
              <w:top w:w="0" w:type="dxa"/>
              <w:left w:w="75" w:type="dxa"/>
              <w:bottom w:w="0" w:type="dxa"/>
              <w:right w:w="75" w:type="dxa"/>
            </w:tcMar>
            <w:vAlign w:val="center"/>
            <w:hideMark/>
          </w:tcPr>
          <w:p w14:paraId="2D83E02A" w14:textId="77777777" w:rsidR="00A30DBD" w:rsidRPr="00D85791" w:rsidRDefault="00A30DBD" w:rsidP="002D69CC">
            <w:pPr>
              <w:pStyle w:val="table"/>
              <w:jc w:val="center"/>
            </w:pPr>
            <w:r w:rsidRPr="00D85791">
              <w:t>0.45</w:t>
            </w:r>
          </w:p>
        </w:tc>
        <w:tc>
          <w:tcPr>
            <w:tcW w:w="950" w:type="dxa"/>
            <w:tcBorders>
              <w:top w:val="single" w:sz="4" w:space="0" w:color="auto"/>
            </w:tcBorders>
            <w:vAlign w:val="center"/>
          </w:tcPr>
          <w:p w14:paraId="373B8745" w14:textId="77777777" w:rsidR="00A30DBD" w:rsidRPr="00D85791" w:rsidRDefault="00A30DBD" w:rsidP="002D69CC">
            <w:pPr>
              <w:pStyle w:val="table"/>
              <w:jc w:val="center"/>
            </w:pPr>
            <w:r w:rsidRPr="00D85791">
              <w:t>29</w:t>
            </w:r>
          </w:p>
        </w:tc>
        <w:tc>
          <w:tcPr>
            <w:tcW w:w="900" w:type="dxa"/>
            <w:tcBorders>
              <w:top w:val="single" w:sz="4" w:space="0" w:color="auto"/>
            </w:tcBorders>
            <w:vAlign w:val="center"/>
          </w:tcPr>
          <w:p w14:paraId="01C13E02" w14:textId="77777777" w:rsidR="00A30DBD" w:rsidRPr="00D85791" w:rsidRDefault="00A30DBD" w:rsidP="007F7D0A">
            <w:pPr>
              <w:pStyle w:val="table"/>
              <w:tabs>
                <w:tab w:val="left" w:pos="444"/>
              </w:tabs>
              <w:jc w:val="center"/>
            </w:pPr>
            <w:r w:rsidRPr="00D85791">
              <w:t>29</w:t>
            </w:r>
          </w:p>
        </w:tc>
        <w:tc>
          <w:tcPr>
            <w:tcW w:w="630" w:type="dxa"/>
            <w:tcBorders>
              <w:top w:val="single" w:sz="4" w:space="0" w:color="auto"/>
            </w:tcBorders>
            <w:vAlign w:val="center"/>
          </w:tcPr>
          <w:p w14:paraId="6D748154" w14:textId="77777777" w:rsidR="00A30DBD" w:rsidRPr="00D85791" w:rsidRDefault="00A30DBD" w:rsidP="002D69CC">
            <w:pPr>
              <w:pStyle w:val="table"/>
              <w:jc w:val="center"/>
            </w:pPr>
            <w:r w:rsidRPr="00500B88">
              <w:t>.22</w:t>
            </w:r>
          </w:p>
        </w:tc>
        <w:tc>
          <w:tcPr>
            <w:tcW w:w="900" w:type="dxa"/>
            <w:tcBorders>
              <w:top w:val="single" w:sz="4" w:space="0" w:color="auto"/>
            </w:tcBorders>
            <w:vAlign w:val="center"/>
          </w:tcPr>
          <w:p w14:paraId="299272F9" w14:textId="77777777" w:rsidR="00A30DBD" w:rsidRPr="00D85791" w:rsidRDefault="00A30DBD" w:rsidP="002D69CC">
            <w:pPr>
              <w:pStyle w:val="table"/>
              <w:jc w:val="center"/>
            </w:pPr>
            <w:r w:rsidRPr="00500B88">
              <w:t>126</w:t>
            </w:r>
          </w:p>
        </w:tc>
      </w:tr>
      <w:tr w:rsidR="008902B8" w:rsidRPr="00D85791" w14:paraId="11AA6EF6" w14:textId="77777777" w:rsidTr="008902B8">
        <w:trPr>
          <w:jc w:val="center"/>
        </w:trPr>
        <w:tc>
          <w:tcPr>
            <w:tcW w:w="2577" w:type="dxa"/>
            <w:shd w:val="clear" w:color="auto" w:fill="auto"/>
            <w:tcMar>
              <w:top w:w="0" w:type="dxa"/>
              <w:left w:w="75" w:type="dxa"/>
              <w:bottom w:w="0" w:type="dxa"/>
              <w:right w:w="75" w:type="dxa"/>
            </w:tcMar>
            <w:vAlign w:val="center"/>
            <w:hideMark/>
          </w:tcPr>
          <w:p w14:paraId="3C3A95BC" w14:textId="77777777" w:rsidR="00A30DBD" w:rsidRPr="00D85791" w:rsidRDefault="00A30DBD" w:rsidP="002D69CC">
            <w:pPr>
              <w:pStyle w:val="table"/>
              <w:jc w:val="left"/>
            </w:pPr>
            <w:r w:rsidRPr="00D85791">
              <w:t xml:space="preserve">Pearson’s </w:t>
            </w:r>
            <w:r w:rsidRPr="00D85791">
              <w:rPr>
                <w:i/>
                <w:iCs/>
              </w:rPr>
              <w:t>r</w:t>
            </w:r>
          </w:p>
        </w:tc>
        <w:tc>
          <w:tcPr>
            <w:tcW w:w="540" w:type="dxa"/>
            <w:shd w:val="clear" w:color="auto" w:fill="auto"/>
            <w:tcMar>
              <w:top w:w="0" w:type="dxa"/>
              <w:left w:w="75" w:type="dxa"/>
              <w:bottom w:w="0" w:type="dxa"/>
              <w:right w:w="75" w:type="dxa"/>
            </w:tcMar>
            <w:vAlign w:val="center"/>
            <w:hideMark/>
          </w:tcPr>
          <w:p w14:paraId="2E8F189A" w14:textId="77777777" w:rsidR="00A30DBD" w:rsidRPr="00D85791" w:rsidRDefault="00A30DBD"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42AF947A" w14:textId="77777777" w:rsidR="00A30DBD" w:rsidRPr="00D85791" w:rsidRDefault="00A30DBD"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64DFDF90" w14:textId="77777777" w:rsidR="00A30DBD" w:rsidRPr="00D85791" w:rsidRDefault="00A30DBD" w:rsidP="002D69CC">
            <w:pPr>
              <w:pStyle w:val="table"/>
              <w:jc w:val="center"/>
            </w:pPr>
            <w:r w:rsidRPr="00D85791">
              <w:t>0.40</w:t>
            </w:r>
          </w:p>
        </w:tc>
        <w:tc>
          <w:tcPr>
            <w:tcW w:w="950" w:type="dxa"/>
            <w:vAlign w:val="center"/>
          </w:tcPr>
          <w:p w14:paraId="7B908FF2" w14:textId="77777777" w:rsidR="00A30DBD" w:rsidRPr="00D85791" w:rsidRDefault="00A30DBD" w:rsidP="002D69CC">
            <w:pPr>
              <w:pStyle w:val="table"/>
              <w:jc w:val="center"/>
            </w:pPr>
            <w:r w:rsidRPr="00D85791">
              <w:t>37</w:t>
            </w:r>
          </w:p>
        </w:tc>
        <w:tc>
          <w:tcPr>
            <w:tcW w:w="900" w:type="dxa"/>
            <w:vAlign w:val="center"/>
          </w:tcPr>
          <w:p w14:paraId="73EF21AF" w14:textId="77777777" w:rsidR="00A30DBD" w:rsidRPr="00D85791" w:rsidRDefault="00A30DBD" w:rsidP="007F7D0A">
            <w:pPr>
              <w:pStyle w:val="table"/>
              <w:tabs>
                <w:tab w:val="left" w:pos="444"/>
              </w:tabs>
              <w:jc w:val="center"/>
            </w:pPr>
            <w:r w:rsidRPr="00D85791">
              <w:t>37</w:t>
            </w:r>
          </w:p>
        </w:tc>
        <w:tc>
          <w:tcPr>
            <w:tcW w:w="630" w:type="dxa"/>
            <w:vAlign w:val="center"/>
          </w:tcPr>
          <w:p w14:paraId="37EC30A2" w14:textId="77777777" w:rsidR="00A30DBD" w:rsidRPr="00D85791" w:rsidRDefault="00A30DBD" w:rsidP="002D69CC">
            <w:pPr>
              <w:pStyle w:val="table"/>
              <w:jc w:val="center"/>
            </w:pPr>
            <w:r w:rsidRPr="00500B88">
              <w:t>.15</w:t>
            </w:r>
          </w:p>
        </w:tc>
        <w:tc>
          <w:tcPr>
            <w:tcW w:w="900" w:type="dxa"/>
            <w:vAlign w:val="center"/>
          </w:tcPr>
          <w:p w14:paraId="7B128CA4" w14:textId="77777777" w:rsidR="00A30DBD" w:rsidRPr="00D85791" w:rsidRDefault="00A30DBD" w:rsidP="002D69CC">
            <w:pPr>
              <w:pStyle w:val="table"/>
              <w:jc w:val="center"/>
            </w:pPr>
            <w:r w:rsidRPr="00500B88">
              <w:t>273</w:t>
            </w:r>
          </w:p>
        </w:tc>
      </w:tr>
      <w:tr w:rsidR="008902B8" w:rsidRPr="00D85791" w14:paraId="2528304F" w14:textId="77777777" w:rsidTr="008902B8">
        <w:trPr>
          <w:jc w:val="center"/>
        </w:trPr>
        <w:tc>
          <w:tcPr>
            <w:tcW w:w="2577" w:type="dxa"/>
            <w:shd w:val="clear" w:color="auto" w:fill="auto"/>
            <w:tcMar>
              <w:top w:w="0" w:type="dxa"/>
              <w:left w:w="75" w:type="dxa"/>
              <w:bottom w:w="0" w:type="dxa"/>
              <w:right w:w="75" w:type="dxa"/>
            </w:tcMar>
            <w:vAlign w:val="center"/>
            <w:hideMark/>
          </w:tcPr>
          <w:p w14:paraId="526F7EC0" w14:textId="77777777" w:rsidR="00A30DBD" w:rsidRPr="00D85791" w:rsidRDefault="00A30DBD" w:rsidP="002D69CC">
            <w:pPr>
              <w:pStyle w:val="table"/>
              <w:jc w:val="left"/>
            </w:pPr>
            <w:r w:rsidRPr="00D85791">
              <w:t xml:space="preserve">Pearson’s </w:t>
            </w:r>
            <w:r w:rsidRPr="00D85791">
              <w:rPr>
                <w:i/>
                <w:iCs/>
              </w:rPr>
              <w:t>r</w:t>
            </w:r>
          </w:p>
        </w:tc>
        <w:tc>
          <w:tcPr>
            <w:tcW w:w="540" w:type="dxa"/>
            <w:shd w:val="clear" w:color="auto" w:fill="auto"/>
            <w:tcMar>
              <w:top w:w="0" w:type="dxa"/>
              <w:left w:w="75" w:type="dxa"/>
              <w:bottom w:w="0" w:type="dxa"/>
              <w:right w:w="75" w:type="dxa"/>
            </w:tcMar>
            <w:vAlign w:val="center"/>
            <w:hideMark/>
          </w:tcPr>
          <w:p w14:paraId="1A5E6C1C" w14:textId="77777777" w:rsidR="00A30DBD" w:rsidRPr="00D85791" w:rsidRDefault="00A30DBD" w:rsidP="002D69CC">
            <w:pPr>
              <w:pStyle w:val="table"/>
              <w:jc w:val="left"/>
            </w:pPr>
            <w:r w:rsidRPr="00D85791">
              <w:t>Two</w:t>
            </w:r>
          </w:p>
        </w:tc>
        <w:tc>
          <w:tcPr>
            <w:tcW w:w="1871" w:type="dxa"/>
            <w:shd w:val="clear" w:color="auto" w:fill="auto"/>
            <w:tcMar>
              <w:top w:w="0" w:type="dxa"/>
              <w:left w:w="75" w:type="dxa"/>
              <w:bottom w:w="0" w:type="dxa"/>
              <w:right w:w="75" w:type="dxa"/>
            </w:tcMar>
            <w:vAlign w:val="center"/>
            <w:hideMark/>
          </w:tcPr>
          <w:p w14:paraId="33663847" w14:textId="77777777" w:rsidR="00A30DBD" w:rsidRPr="00D85791" w:rsidRDefault="00A30DBD" w:rsidP="002D69CC">
            <w:pPr>
              <w:pStyle w:val="table"/>
              <w:jc w:val="left"/>
            </w:pPr>
            <w:r w:rsidRPr="00D85791">
              <w:t>Point estimate</w:t>
            </w:r>
          </w:p>
        </w:tc>
        <w:tc>
          <w:tcPr>
            <w:tcW w:w="627" w:type="dxa"/>
            <w:shd w:val="clear" w:color="auto" w:fill="auto"/>
            <w:tcMar>
              <w:top w:w="0" w:type="dxa"/>
              <w:left w:w="75" w:type="dxa"/>
              <w:bottom w:w="0" w:type="dxa"/>
              <w:right w:w="75" w:type="dxa"/>
            </w:tcMar>
            <w:vAlign w:val="center"/>
            <w:hideMark/>
          </w:tcPr>
          <w:p w14:paraId="7389C7EB" w14:textId="77777777" w:rsidR="00A30DBD" w:rsidRPr="00D85791" w:rsidRDefault="00A30DBD" w:rsidP="002D69CC">
            <w:pPr>
              <w:pStyle w:val="table"/>
              <w:jc w:val="center"/>
            </w:pPr>
            <w:r w:rsidRPr="00D85791">
              <w:t>0.45</w:t>
            </w:r>
          </w:p>
        </w:tc>
        <w:tc>
          <w:tcPr>
            <w:tcW w:w="950" w:type="dxa"/>
            <w:vAlign w:val="center"/>
          </w:tcPr>
          <w:p w14:paraId="07C77132" w14:textId="77777777" w:rsidR="00A30DBD" w:rsidRPr="00D85791" w:rsidRDefault="00A30DBD" w:rsidP="002D69CC">
            <w:pPr>
              <w:pStyle w:val="table"/>
              <w:jc w:val="center"/>
            </w:pPr>
            <w:r w:rsidRPr="00D85791">
              <w:t>36</w:t>
            </w:r>
          </w:p>
        </w:tc>
        <w:tc>
          <w:tcPr>
            <w:tcW w:w="900" w:type="dxa"/>
            <w:vAlign w:val="center"/>
          </w:tcPr>
          <w:p w14:paraId="094E3128" w14:textId="77777777" w:rsidR="00A30DBD" w:rsidRPr="00D85791" w:rsidRDefault="00A30DBD" w:rsidP="007F7D0A">
            <w:pPr>
              <w:pStyle w:val="table"/>
              <w:tabs>
                <w:tab w:val="left" w:pos="444"/>
              </w:tabs>
              <w:jc w:val="center"/>
            </w:pPr>
            <w:r w:rsidRPr="00D85791">
              <w:t>36</w:t>
            </w:r>
          </w:p>
        </w:tc>
        <w:tc>
          <w:tcPr>
            <w:tcW w:w="630" w:type="dxa"/>
            <w:vAlign w:val="center"/>
          </w:tcPr>
          <w:p w14:paraId="17C08288" w14:textId="77777777" w:rsidR="00A30DBD" w:rsidRPr="00D85791" w:rsidRDefault="00A30DBD" w:rsidP="002D69CC">
            <w:pPr>
              <w:pStyle w:val="table"/>
              <w:jc w:val="center"/>
            </w:pPr>
            <w:r w:rsidRPr="00500B88">
              <w:t>.22</w:t>
            </w:r>
          </w:p>
        </w:tc>
        <w:tc>
          <w:tcPr>
            <w:tcW w:w="900" w:type="dxa"/>
            <w:vAlign w:val="center"/>
          </w:tcPr>
          <w:p w14:paraId="4F5C5B52" w14:textId="77777777" w:rsidR="00A30DBD" w:rsidRPr="00D85791" w:rsidRDefault="00A30DBD" w:rsidP="002D69CC">
            <w:pPr>
              <w:pStyle w:val="table"/>
              <w:jc w:val="center"/>
            </w:pPr>
            <w:r w:rsidRPr="00500B88">
              <w:t>160</w:t>
            </w:r>
          </w:p>
        </w:tc>
      </w:tr>
      <w:tr w:rsidR="008902B8" w:rsidRPr="00D85791" w14:paraId="57DBE28D" w14:textId="77777777" w:rsidTr="008902B8">
        <w:trPr>
          <w:jc w:val="center"/>
        </w:trPr>
        <w:tc>
          <w:tcPr>
            <w:tcW w:w="2577" w:type="dxa"/>
            <w:shd w:val="clear" w:color="auto" w:fill="auto"/>
            <w:tcMar>
              <w:top w:w="0" w:type="dxa"/>
              <w:left w:w="75" w:type="dxa"/>
              <w:bottom w:w="0" w:type="dxa"/>
              <w:right w:w="75" w:type="dxa"/>
            </w:tcMar>
            <w:vAlign w:val="center"/>
            <w:hideMark/>
          </w:tcPr>
          <w:p w14:paraId="11D2002C" w14:textId="77777777" w:rsidR="00A30DBD" w:rsidRPr="00D85791" w:rsidRDefault="00A30DBD" w:rsidP="002D69CC">
            <w:pPr>
              <w:pStyle w:val="table"/>
              <w:jc w:val="left"/>
            </w:pPr>
            <w:r w:rsidRPr="00D85791">
              <w:t xml:space="preserve">Pearson’s </w:t>
            </w:r>
            <w:r w:rsidRPr="00956191">
              <w:rPr>
                <w:i/>
                <w:iCs/>
              </w:rPr>
              <w:t>r</w:t>
            </w:r>
          </w:p>
        </w:tc>
        <w:tc>
          <w:tcPr>
            <w:tcW w:w="540" w:type="dxa"/>
            <w:shd w:val="clear" w:color="auto" w:fill="auto"/>
            <w:tcMar>
              <w:top w:w="0" w:type="dxa"/>
              <w:left w:w="75" w:type="dxa"/>
              <w:bottom w:w="0" w:type="dxa"/>
              <w:right w:w="75" w:type="dxa"/>
            </w:tcMar>
            <w:vAlign w:val="center"/>
            <w:hideMark/>
          </w:tcPr>
          <w:p w14:paraId="405D57AC" w14:textId="77777777" w:rsidR="00A30DBD" w:rsidRPr="00D85791" w:rsidRDefault="00A30DBD" w:rsidP="002D69CC">
            <w:pPr>
              <w:pStyle w:val="table"/>
              <w:jc w:val="left"/>
            </w:pPr>
            <w:r w:rsidRPr="00D85791">
              <w:t>Two</w:t>
            </w:r>
          </w:p>
        </w:tc>
        <w:tc>
          <w:tcPr>
            <w:tcW w:w="1871" w:type="dxa"/>
            <w:shd w:val="clear" w:color="auto" w:fill="auto"/>
            <w:tcMar>
              <w:top w:w="0" w:type="dxa"/>
              <w:left w:w="75" w:type="dxa"/>
              <w:bottom w:w="0" w:type="dxa"/>
              <w:right w:w="75" w:type="dxa"/>
            </w:tcMar>
            <w:vAlign w:val="center"/>
            <w:hideMark/>
          </w:tcPr>
          <w:p w14:paraId="57F94A75" w14:textId="77777777" w:rsidR="00A30DBD" w:rsidRPr="00D85791" w:rsidRDefault="00A30DBD"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11AA56B4" w14:textId="77777777" w:rsidR="00A30DBD" w:rsidRPr="00D85791" w:rsidRDefault="00A30DBD" w:rsidP="002D69CC">
            <w:pPr>
              <w:pStyle w:val="table"/>
              <w:jc w:val="center"/>
            </w:pPr>
            <w:r w:rsidRPr="00D85791">
              <w:t>0.40</w:t>
            </w:r>
          </w:p>
        </w:tc>
        <w:tc>
          <w:tcPr>
            <w:tcW w:w="950" w:type="dxa"/>
            <w:vAlign w:val="center"/>
          </w:tcPr>
          <w:p w14:paraId="4ECCF5F5" w14:textId="77777777" w:rsidR="00A30DBD" w:rsidRDefault="00A30DBD" w:rsidP="002D69CC">
            <w:pPr>
              <w:pStyle w:val="table"/>
              <w:jc w:val="center"/>
            </w:pPr>
            <w:r>
              <w:t>-</w:t>
            </w:r>
          </w:p>
        </w:tc>
        <w:tc>
          <w:tcPr>
            <w:tcW w:w="900" w:type="dxa"/>
            <w:vAlign w:val="center"/>
          </w:tcPr>
          <w:p w14:paraId="2804852F" w14:textId="77777777" w:rsidR="00A30DBD" w:rsidRDefault="00A30DBD" w:rsidP="007F7D0A">
            <w:pPr>
              <w:pStyle w:val="table"/>
              <w:tabs>
                <w:tab w:val="left" w:pos="444"/>
              </w:tabs>
              <w:jc w:val="center"/>
            </w:pPr>
            <w:r w:rsidRPr="00D85791">
              <w:t>46</w:t>
            </w:r>
          </w:p>
        </w:tc>
        <w:tc>
          <w:tcPr>
            <w:tcW w:w="630" w:type="dxa"/>
            <w:vAlign w:val="center"/>
          </w:tcPr>
          <w:p w14:paraId="507612FF" w14:textId="77777777" w:rsidR="00A30DBD" w:rsidRPr="00D85791" w:rsidRDefault="00A30DBD" w:rsidP="002D69CC">
            <w:pPr>
              <w:pStyle w:val="table"/>
              <w:jc w:val="center"/>
            </w:pPr>
            <w:r w:rsidRPr="00500B88">
              <w:t>.15</w:t>
            </w:r>
          </w:p>
        </w:tc>
        <w:tc>
          <w:tcPr>
            <w:tcW w:w="900" w:type="dxa"/>
            <w:vAlign w:val="center"/>
          </w:tcPr>
          <w:p w14:paraId="5CC39FF2" w14:textId="77777777" w:rsidR="00A30DBD" w:rsidRPr="00D85791" w:rsidRDefault="00A30DBD" w:rsidP="002D69CC">
            <w:pPr>
              <w:pStyle w:val="table"/>
              <w:jc w:val="center"/>
            </w:pPr>
            <w:r w:rsidRPr="00500B88">
              <w:t>346</w:t>
            </w:r>
          </w:p>
        </w:tc>
      </w:tr>
      <w:tr w:rsidR="008902B8" w:rsidRPr="00D85791" w14:paraId="75A5B5A0" w14:textId="77777777" w:rsidTr="008902B8">
        <w:trPr>
          <w:jc w:val="center"/>
        </w:trPr>
        <w:tc>
          <w:tcPr>
            <w:tcW w:w="2577" w:type="dxa"/>
            <w:shd w:val="clear" w:color="auto" w:fill="auto"/>
            <w:tcMar>
              <w:top w:w="0" w:type="dxa"/>
              <w:left w:w="75" w:type="dxa"/>
              <w:bottom w:w="0" w:type="dxa"/>
              <w:right w:w="75" w:type="dxa"/>
            </w:tcMar>
            <w:vAlign w:val="center"/>
            <w:hideMark/>
          </w:tcPr>
          <w:p w14:paraId="298F1AAF" w14:textId="77777777" w:rsidR="00A30DBD" w:rsidRPr="00D85791" w:rsidRDefault="00A30DBD" w:rsidP="002D69CC">
            <w:pPr>
              <w:pStyle w:val="table"/>
              <w:jc w:val="left"/>
            </w:pPr>
            <w:r w:rsidRPr="00D85791">
              <w:t xml:space="preserve">Independent </w:t>
            </w:r>
            <w:r w:rsidRPr="00D85791">
              <w:rPr>
                <w:i/>
                <w:iCs/>
              </w:rPr>
              <w:t>t</w:t>
            </w:r>
            <w:r w:rsidRPr="00D85791">
              <w:t xml:space="preserve">-test (Cohen’s </w:t>
            </w:r>
            <w:proofErr w:type="gramStart"/>
            <w:r w:rsidRPr="00D85791">
              <w:rPr>
                <w:i/>
                <w:iCs/>
              </w:rPr>
              <w:t>d</w:t>
            </w:r>
            <w:r w:rsidRPr="00D85791">
              <w:t>)</w:t>
            </w:r>
            <w:r>
              <w:t>*</w:t>
            </w:r>
            <w:proofErr w:type="gramEnd"/>
            <w:r>
              <w:t>*</w:t>
            </w:r>
          </w:p>
        </w:tc>
        <w:tc>
          <w:tcPr>
            <w:tcW w:w="540" w:type="dxa"/>
            <w:shd w:val="clear" w:color="auto" w:fill="auto"/>
            <w:tcMar>
              <w:top w:w="0" w:type="dxa"/>
              <w:left w:w="75" w:type="dxa"/>
              <w:bottom w:w="0" w:type="dxa"/>
              <w:right w:w="75" w:type="dxa"/>
            </w:tcMar>
            <w:vAlign w:val="center"/>
            <w:hideMark/>
          </w:tcPr>
          <w:p w14:paraId="71FF6EC8" w14:textId="77777777" w:rsidR="00A30DBD" w:rsidRPr="00D85791" w:rsidRDefault="00A30DBD"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6F49EC3C" w14:textId="77777777" w:rsidR="00A30DBD" w:rsidRPr="00D85791" w:rsidRDefault="00A30DBD" w:rsidP="002D69CC">
            <w:pPr>
              <w:pStyle w:val="table"/>
              <w:jc w:val="left"/>
            </w:pPr>
            <w:r w:rsidRPr="00D85791">
              <w:t>Point estimate</w:t>
            </w:r>
          </w:p>
        </w:tc>
        <w:tc>
          <w:tcPr>
            <w:tcW w:w="627" w:type="dxa"/>
            <w:shd w:val="clear" w:color="auto" w:fill="auto"/>
            <w:tcMar>
              <w:top w:w="0" w:type="dxa"/>
              <w:left w:w="75" w:type="dxa"/>
              <w:bottom w:w="0" w:type="dxa"/>
              <w:right w:w="75" w:type="dxa"/>
            </w:tcMar>
            <w:vAlign w:val="center"/>
            <w:hideMark/>
          </w:tcPr>
          <w:p w14:paraId="01F8A420" w14:textId="77777777" w:rsidR="00A30DBD" w:rsidRPr="00D85791" w:rsidRDefault="00A30DBD" w:rsidP="002D69CC">
            <w:pPr>
              <w:pStyle w:val="table"/>
              <w:jc w:val="center"/>
            </w:pPr>
            <w:r w:rsidRPr="00D85791">
              <w:t>1.01</w:t>
            </w:r>
          </w:p>
        </w:tc>
        <w:tc>
          <w:tcPr>
            <w:tcW w:w="950" w:type="dxa"/>
            <w:vAlign w:val="center"/>
          </w:tcPr>
          <w:p w14:paraId="3ABD0983" w14:textId="77777777" w:rsidR="00A30DBD" w:rsidRPr="00D85791" w:rsidRDefault="00A30DBD" w:rsidP="002D69CC">
            <w:pPr>
              <w:pStyle w:val="table"/>
              <w:jc w:val="center"/>
            </w:pPr>
            <w:r w:rsidRPr="00D85791">
              <w:t>26</w:t>
            </w:r>
          </w:p>
        </w:tc>
        <w:tc>
          <w:tcPr>
            <w:tcW w:w="900" w:type="dxa"/>
            <w:vAlign w:val="center"/>
          </w:tcPr>
          <w:p w14:paraId="0122AEAD" w14:textId="77777777" w:rsidR="00A30DBD" w:rsidRPr="00D85791" w:rsidRDefault="00A30DBD" w:rsidP="007F7D0A">
            <w:pPr>
              <w:pStyle w:val="table"/>
              <w:tabs>
                <w:tab w:val="left" w:pos="444"/>
              </w:tabs>
              <w:jc w:val="center"/>
            </w:pPr>
            <w:r w:rsidRPr="00D85791">
              <w:t>26</w:t>
            </w:r>
          </w:p>
        </w:tc>
        <w:tc>
          <w:tcPr>
            <w:tcW w:w="630" w:type="dxa"/>
            <w:vAlign w:val="center"/>
          </w:tcPr>
          <w:p w14:paraId="2A93E34A" w14:textId="77777777" w:rsidR="00A30DBD" w:rsidRPr="00D85791" w:rsidRDefault="00A30DBD" w:rsidP="002D69CC">
            <w:pPr>
              <w:pStyle w:val="table"/>
              <w:jc w:val="center"/>
            </w:pPr>
            <w:r w:rsidRPr="00500B88">
              <w:t>.45</w:t>
            </w:r>
          </w:p>
        </w:tc>
        <w:tc>
          <w:tcPr>
            <w:tcW w:w="900" w:type="dxa"/>
            <w:vAlign w:val="center"/>
          </w:tcPr>
          <w:p w14:paraId="06834975" w14:textId="77777777" w:rsidR="00A30DBD" w:rsidRPr="00D85791" w:rsidRDefault="00A30DBD" w:rsidP="002D69CC">
            <w:pPr>
              <w:pStyle w:val="table"/>
              <w:jc w:val="center"/>
            </w:pPr>
            <w:r w:rsidRPr="00500B88">
              <w:t>124</w:t>
            </w:r>
          </w:p>
        </w:tc>
      </w:tr>
      <w:tr w:rsidR="008902B8" w:rsidRPr="00D85791" w14:paraId="11A4FEE8" w14:textId="77777777" w:rsidTr="008902B8">
        <w:trPr>
          <w:jc w:val="center"/>
        </w:trPr>
        <w:tc>
          <w:tcPr>
            <w:tcW w:w="2577" w:type="dxa"/>
            <w:shd w:val="clear" w:color="auto" w:fill="auto"/>
            <w:tcMar>
              <w:top w:w="0" w:type="dxa"/>
              <w:left w:w="75" w:type="dxa"/>
              <w:bottom w:w="0" w:type="dxa"/>
              <w:right w:w="75" w:type="dxa"/>
            </w:tcMar>
            <w:vAlign w:val="center"/>
            <w:hideMark/>
          </w:tcPr>
          <w:p w14:paraId="7135B272" w14:textId="4840ED1F" w:rsidR="00A30DBD" w:rsidRPr="00D85791" w:rsidRDefault="00A30DBD" w:rsidP="002D69CC">
            <w:pPr>
              <w:pStyle w:val="table"/>
              <w:jc w:val="left"/>
            </w:pPr>
            <w:r w:rsidRPr="00D85791">
              <w:t xml:space="preserve">Independent </w:t>
            </w:r>
            <w:r w:rsidRPr="00D85791">
              <w:rPr>
                <w:i/>
                <w:iCs/>
              </w:rPr>
              <w:t>t</w:t>
            </w:r>
            <w:r w:rsidRPr="00D85791">
              <w:t xml:space="preserve">-test (Cohen’s </w:t>
            </w:r>
            <w:proofErr w:type="gramStart"/>
            <w:r w:rsidRPr="00D85791">
              <w:rPr>
                <w:i/>
                <w:iCs/>
              </w:rPr>
              <w:t>d</w:t>
            </w:r>
            <w:r w:rsidRPr="00D85791">
              <w:t>)</w:t>
            </w:r>
            <w:r>
              <w:t>*</w:t>
            </w:r>
            <w:proofErr w:type="gramEnd"/>
            <w:r>
              <w:t>*</w:t>
            </w:r>
          </w:p>
        </w:tc>
        <w:tc>
          <w:tcPr>
            <w:tcW w:w="540" w:type="dxa"/>
            <w:shd w:val="clear" w:color="auto" w:fill="auto"/>
            <w:tcMar>
              <w:top w:w="0" w:type="dxa"/>
              <w:left w:w="75" w:type="dxa"/>
              <w:bottom w:w="0" w:type="dxa"/>
              <w:right w:w="75" w:type="dxa"/>
            </w:tcMar>
            <w:vAlign w:val="center"/>
            <w:hideMark/>
          </w:tcPr>
          <w:p w14:paraId="340BB67A" w14:textId="77777777" w:rsidR="00A30DBD" w:rsidRPr="00D85791" w:rsidRDefault="00A30DBD"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406431EC" w14:textId="77777777" w:rsidR="00A30DBD" w:rsidRPr="00D85791" w:rsidRDefault="00A30DBD"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5EDC0F23" w14:textId="77777777" w:rsidR="00A30DBD" w:rsidRPr="00D85791" w:rsidRDefault="00A30DBD" w:rsidP="002D69CC">
            <w:pPr>
              <w:pStyle w:val="table"/>
              <w:jc w:val="center"/>
            </w:pPr>
            <w:r w:rsidRPr="00D85791">
              <w:t>0.87</w:t>
            </w:r>
          </w:p>
        </w:tc>
        <w:tc>
          <w:tcPr>
            <w:tcW w:w="950" w:type="dxa"/>
            <w:vAlign w:val="center"/>
          </w:tcPr>
          <w:p w14:paraId="3B3D9AD7" w14:textId="77777777" w:rsidR="00A30DBD" w:rsidRPr="00D85791" w:rsidRDefault="00A30DBD" w:rsidP="002D69CC">
            <w:pPr>
              <w:pStyle w:val="table"/>
              <w:jc w:val="center"/>
            </w:pPr>
            <w:r w:rsidRPr="00D85791">
              <w:t>36</w:t>
            </w:r>
          </w:p>
        </w:tc>
        <w:tc>
          <w:tcPr>
            <w:tcW w:w="900" w:type="dxa"/>
            <w:vAlign w:val="center"/>
          </w:tcPr>
          <w:p w14:paraId="4569FDE0" w14:textId="77777777" w:rsidR="00A30DBD" w:rsidRPr="00D85791" w:rsidRDefault="00A30DBD" w:rsidP="007F7D0A">
            <w:pPr>
              <w:pStyle w:val="table"/>
              <w:tabs>
                <w:tab w:val="left" w:pos="444"/>
              </w:tabs>
              <w:jc w:val="center"/>
            </w:pPr>
            <w:r w:rsidRPr="00D85791">
              <w:t>34</w:t>
            </w:r>
            <w:r>
              <w:t>***</w:t>
            </w:r>
          </w:p>
        </w:tc>
        <w:tc>
          <w:tcPr>
            <w:tcW w:w="630" w:type="dxa"/>
            <w:vAlign w:val="center"/>
          </w:tcPr>
          <w:p w14:paraId="0E3D5711" w14:textId="77777777" w:rsidR="00A30DBD" w:rsidRDefault="00A30DBD" w:rsidP="002D69CC">
            <w:pPr>
              <w:pStyle w:val="table"/>
              <w:jc w:val="center"/>
            </w:pPr>
            <w:r w:rsidRPr="00500B88">
              <w:t>.30</w:t>
            </w:r>
          </w:p>
        </w:tc>
        <w:tc>
          <w:tcPr>
            <w:tcW w:w="900" w:type="dxa"/>
            <w:vAlign w:val="center"/>
          </w:tcPr>
          <w:p w14:paraId="6241CEBC" w14:textId="77777777" w:rsidR="00A30DBD" w:rsidRPr="00D85791" w:rsidRDefault="00A30DBD" w:rsidP="002D69CC">
            <w:pPr>
              <w:pStyle w:val="table"/>
              <w:jc w:val="center"/>
            </w:pPr>
            <w:r w:rsidRPr="00500B88">
              <w:t>270</w:t>
            </w:r>
          </w:p>
        </w:tc>
      </w:tr>
      <w:tr w:rsidR="00231610" w:rsidRPr="00D85791" w14:paraId="5A1B5281" w14:textId="77777777" w:rsidTr="008902B8">
        <w:trPr>
          <w:jc w:val="center"/>
        </w:trPr>
        <w:tc>
          <w:tcPr>
            <w:tcW w:w="2577" w:type="dxa"/>
            <w:tcBorders>
              <w:bottom w:val="nil"/>
            </w:tcBorders>
            <w:shd w:val="clear" w:color="auto" w:fill="auto"/>
            <w:tcMar>
              <w:top w:w="0" w:type="dxa"/>
              <w:left w:w="75" w:type="dxa"/>
              <w:bottom w:w="0" w:type="dxa"/>
              <w:right w:w="75" w:type="dxa"/>
            </w:tcMar>
            <w:vAlign w:val="center"/>
            <w:hideMark/>
          </w:tcPr>
          <w:p w14:paraId="01D3C062" w14:textId="77777777" w:rsidR="00A30DBD" w:rsidRPr="00D85791" w:rsidRDefault="00A30DBD" w:rsidP="002D69CC">
            <w:pPr>
              <w:pStyle w:val="table"/>
              <w:jc w:val="left"/>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540" w:type="dxa"/>
            <w:tcBorders>
              <w:bottom w:val="nil"/>
            </w:tcBorders>
            <w:shd w:val="clear" w:color="auto" w:fill="auto"/>
            <w:tcMar>
              <w:top w:w="0" w:type="dxa"/>
              <w:left w:w="75" w:type="dxa"/>
              <w:bottom w:w="0" w:type="dxa"/>
              <w:right w:w="75" w:type="dxa"/>
            </w:tcMar>
            <w:vAlign w:val="center"/>
            <w:hideMark/>
          </w:tcPr>
          <w:p w14:paraId="338828A0" w14:textId="77777777" w:rsidR="00A30DBD" w:rsidRPr="00D85791" w:rsidRDefault="00A30DBD" w:rsidP="002D69CC">
            <w:pPr>
              <w:pStyle w:val="table"/>
              <w:jc w:val="left"/>
            </w:pPr>
            <w:r w:rsidRPr="00D85791">
              <w:t>One</w:t>
            </w:r>
          </w:p>
        </w:tc>
        <w:tc>
          <w:tcPr>
            <w:tcW w:w="1871" w:type="dxa"/>
            <w:tcBorders>
              <w:bottom w:val="nil"/>
            </w:tcBorders>
            <w:shd w:val="clear" w:color="auto" w:fill="auto"/>
            <w:tcMar>
              <w:top w:w="0" w:type="dxa"/>
              <w:left w:w="75" w:type="dxa"/>
              <w:bottom w:w="0" w:type="dxa"/>
              <w:right w:w="75" w:type="dxa"/>
            </w:tcMar>
            <w:vAlign w:val="center"/>
            <w:hideMark/>
          </w:tcPr>
          <w:p w14:paraId="098B3E60" w14:textId="77777777" w:rsidR="00A30DBD" w:rsidRPr="00D85791" w:rsidRDefault="00A30DBD" w:rsidP="002D69CC">
            <w:pPr>
              <w:pStyle w:val="table"/>
              <w:jc w:val="left"/>
            </w:pPr>
            <w:r w:rsidRPr="00D85791">
              <w:t>Point estimate</w:t>
            </w:r>
          </w:p>
        </w:tc>
        <w:tc>
          <w:tcPr>
            <w:tcW w:w="627" w:type="dxa"/>
            <w:tcBorders>
              <w:bottom w:val="nil"/>
            </w:tcBorders>
            <w:shd w:val="clear" w:color="auto" w:fill="auto"/>
            <w:tcMar>
              <w:top w:w="0" w:type="dxa"/>
              <w:left w:w="75" w:type="dxa"/>
              <w:bottom w:w="0" w:type="dxa"/>
              <w:right w:w="75" w:type="dxa"/>
            </w:tcMar>
            <w:vAlign w:val="center"/>
            <w:hideMark/>
          </w:tcPr>
          <w:p w14:paraId="3DE48E7D" w14:textId="77777777" w:rsidR="00A30DBD" w:rsidRPr="00D85791" w:rsidRDefault="00A30DBD" w:rsidP="002D69CC">
            <w:pPr>
              <w:pStyle w:val="table"/>
              <w:jc w:val="center"/>
            </w:pPr>
            <w:r w:rsidRPr="00D85791">
              <w:t>1.01</w:t>
            </w:r>
          </w:p>
        </w:tc>
        <w:tc>
          <w:tcPr>
            <w:tcW w:w="950" w:type="dxa"/>
            <w:tcBorders>
              <w:bottom w:val="nil"/>
            </w:tcBorders>
            <w:vAlign w:val="center"/>
          </w:tcPr>
          <w:p w14:paraId="043B324C" w14:textId="77777777" w:rsidR="00A30DBD" w:rsidRPr="00D85791" w:rsidRDefault="00A30DBD" w:rsidP="002D69CC">
            <w:pPr>
              <w:pStyle w:val="table"/>
              <w:jc w:val="center"/>
            </w:pPr>
            <w:r w:rsidRPr="00D85791">
              <w:t>8</w:t>
            </w:r>
          </w:p>
        </w:tc>
        <w:tc>
          <w:tcPr>
            <w:tcW w:w="900" w:type="dxa"/>
            <w:tcBorders>
              <w:bottom w:val="nil"/>
            </w:tcBorders>
            <w:vAlign w:val="center"/>
          </w:tcPr>
          <w:p w14:paraId="6E053BC3" w14:textId="77777777" w:rsidR="00A30DBD" w:rsidRPr="00D85791" w:rsidRDefault="00A30DBD" w:rsidP="007F7D0A">
            <w:pPr>
              <w:pStyle w:val="table"/>
              <w:tabs>
                <w:tab w:val="left" w:pos="444"/>
              </w:tabs>
              <w:jc w:val="center"/>
            </w:pPr>
            <w:r w:rsidRPr="00D85791">
              <w:t>8</w:t>
            </w:r>
          </w:p>
        </w:tc>
        <w:tc>
          <w:tcPr>
            <w:tcW w:w="630" w:type="dxa"/>
            <w:tcBorders>
              <w:bottom w:val="nil"/>
            </w:tcBorders>
            <w:vAlign w:val="center"/>
          </w:tcPr>
          <w:p w14:paraId="59D2A3D8" w14:textId="77777777" w:rsidR="00A30DBD" w:rsidRPr="00D85791" w:rsidRDefault="00A30DBD" w:rsidP="002D69CC">
            <w:pPr>
              <w:pStyle w:val="table"/>
              <w:jc w:val="center"/>
            </w:pPr>
            <w:r w:rsidRPr="00500B88">
              <w:t>.45</w:t>
            </w:r>
          </w:p>
        </w:tc>
        <w:tc>
          <w:tcPr>
            <w:tcW w:w="900" w:type="dxa"/>
            <w:tcBorders>
              <w:bottom w:val="nil"/>
            </w:tcBorders>
            <w:vAlign w:val="center"/>
          </w:tcPr>
          <w:p w14:paraId="00E486FD" w14:textId="77777777" w:rsidR="00A30DBD" w:rsidRPr="00D85791" w:rsidRDefault="00A30DBD" w:rsidP="002D69CC">
            <w:pPr>
              <w:pStyle w:val="table"/>
              <w:jc w:val="center"/>
            </w:pPr>
            <w:r w:rsidRPr="00500B88">
              <w:t>32</w:t>
            </w:r>
          </w:p>
        </w:tc>
      </w:tr>
      <w:tr w:rsidR="00A30DBD" w:rsidRPr="00D85791" w14:paraId="69924DFC" w14:textId="77777777" w:rsidTr="008902B8">
        <w:trPr>
          <w:jc w:val="center"/>
        </w:trPr>
        <w:tc>
          <w:tcPr>
            <w:tcW w:w="2577" w:type="dxa"/>
            <w:tcBorders>
              <w:top w:val="nil"/>
              <w:bottom w:val="single" w:sz="4" w:space="0" w:color="auto"/>
            </w:tcBorders>
            <w:shd w:val="clear" w:color="auto" w:fill="auto"/>
            <w:tcMar>
              <w:top w:w="0" w:type="dxa"/>
              <w:left w:w="75" w:type="dxa"/>
              <w:bottom w:w="0" w:type="dxa"/>
              <w:right w:w="75" w:type="dxa"/>
            </w:tcMar>
            <w:vAlign w:val="center"/>
            <w:hideMark/>
          </w:tcPr>
          <w:p w14:paraId="6538FA5A" w14:textId="77777777" w:rsidR="00A30DBD" w:rsidRPr="00D85791" w:rsidRDefault="00A30DBD" w:rsidP="002D69CC">
            <w:pPr>
              <w:pStyle w:val="table"/>
              <w:jc w:val="left"/>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55E92BAE" w14:textId="77777777" w:rsidR="00A30DBD" w:rsidRPr="00D85791" w:rsidRDefault="00A30DBD" w:rsidP="002D69CC">
            <w:pPr>
              <w:pStyle w:val="table"/>
              <w:jc w:val="left"/>
            </w:pPr>
            <w:r w:rsidRPr="00D85791">
              <w:t>One</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6D3D9C02" w14:textId="77777777" w:rsidR="00A30DBD" w:rsidRPr="00D85791" w:rsidRDefault="00A30DBD" w:rsidP="002D69CC">
            <w:pPr>
              <w:pStyle w:val="table"/>
              <w:jc w:val="left"/>
            </w:pPr>
            <w:r w:rsidRPr="00D85791">
              <w:t xml:space="preserve">Lower bound of 95% </w:t>
            </w:r>
            <w:r>
              <w:t>CI</w:t>
            </w:r>
          </w:p>
        </w:tc>
        <w:tc>
          <w:tcPr>
            <w:tcW w:w="627" w:type="dxa"/>
            <w:tcBorders>
              <w:top w:val="nil"/>
              <w:bottom w:val="single" w:sz="4" w:space="0" w:color="auto"/>
            </w:tcBorders>
            <w:shd w:val="clear" w:color="auto" w:fill="auto"/>
            <w:tcMar>
              <w:top w:w="0" w:type="dxa"/>
              <w:left w:w="75" w:type="dxa"/>
              <w:bottom w:w="0" w:type="dxa"/>
              <w:right w:w="75" w:type="dxa"/>
            </w:tcMar>
            <w:vAlign w:val="center"/>
            <w:hideMark/>
          </w:tcPr>
          <w:p w14:paraId="6F96E4D8" w14:textId="77777777" w:rsidR="00A30DBD" w:rsidRPr="00D85791" w:rsidRDefault="00A30DBD" w:rsidP="002D69CC">
            <w:pPr>
              <w:pStyle w:val="table"/>
              <w:jc w:val="center"/>
            </w:pPr>
            <w:r w:rsidRPr="00D85791">
              <w:t>0.87</w:t>
            </w:r>
          </w:p>
        </w:tc>
        <w:tc>
          <w:tcPr>
            <w:tcW w:w="950" w:type="dxa"/>
            <w:tcBorders>
              <w:top w:val="nil"/>
              <w:bottom w:val="single" w:sz="4" w:space="0" w:color="auto"/>
            </w:tcBorders>
            <w:vAlign w:val="center"/>
          </w:tcPr>
          <w:p w14:paraId="0AD636DF" w14:textId="77777777" w:rsidR="00A30DBD" w:rsidRPr="00D85791" w:rsidRDefault="00A30DBD" w:rsidP="002D69CC">
            <w:pPr>
              <w:pStyle w:val="table"/>
              <w:jc w:val="center"/>
            </w:pPr>
            <w:r w:rsidRPr="00D85791">
              <w:t>10</w:t>
            </w:r>
          </w:p>
        </w:tc>
        <w:tc>
          <w:tcPr>
            <w:tcW w:w="900" w:type="dxa"/>
            <w:tcBorders>
              <w:top w:val="nil"/>
              <w:bottom w:val="single" w:sz="4" w:space="0" w:color="auto"/>
            </w:tcBorders>
            <w:vAlign w:val="center"/>
          </w:tcPr>
          <w:p w14:paraId="5703BAFD" w14:textId="77777777" w:rsidR="00A30DBD" w:rsidRPr="00D85791" w:rsidRDefault="00A30DBD" w:rsidP="007F7D0A">
            <w:pPr>
              <w:pStyle w:val="table"/>
              <w:tabs>
                <w:tab w:val="left" w:pos="444"/>
              </w:tabs>
              <w:jc w:val="center"/>
            </w:pPr>
            <w:r w:rsidRPr="00D85791">
              <w:t>10</w:t>
            </w:r>
          </w:p>
        </w:tc>
        <w:tc>
          <w:tcPr>
            <w:tcW w:w="630" w:type="dxa"/>
            <w:tcBorders>
              <w:top w:val="nil"/>
              <w:bottom w:val="single" w:sz="4" w:space="0" w:color="auto"/>
            </w:tcBorders>
            <w:vAlign w:val="center"/>
          </w:tcPr>
          <w:p w14:paraId="45295BAB" w14:textId="77777777" w:rsidR="00A30DBD" w:rsidRPr="00D85791" w:rsidRDefault="00A30DBD" w:rsidP="002D69CC">
            <w:pPr>
              <w:pStyle w:val="table"/>
              <w:jc w:val="center"/>
            </w:pPr>
            <w:r w:rsidRPr="00500B88">
              <w:t>.30</w:t>
            </w:r>
          </w:p>
        </w:tc>
        <w:tc>
          <w:tcPr>
            <w:tcW w:w="900" w:type="dxa"/>
            <w:tcBorders>
              <w:top w:val="nil"/>
              <w:bottom w:val="single" w:sz="4" w:space="0" w:color="auto"/>
            </w:tcBorders>
            <w:vAlign w:val="center"/>
          </w:tcPr>
          <w:p w14:paraId="5EAE8E34" w14:textId="77777777" w:rsidR="00A30DBD" w:rsidRPr="00D85791" w:rsidRDefault="00A30DBD" w:rsidP="002D69CC">
            <w:pPr>
              <w:pStyle w:val="table"/>
              <w:jc w:val="center"/>
            </w:pPr>
            <w:r w:rsidRPr="00500B88">
              <w:t>69</w:t>
            </w:r>
          </w:p>
        </w:tc>
      </w:tr>
      <w:tr w:rsidR="00A30DBD" w:rsidRPr="00D85791" w14:paraId="0AAFB434" w14:textId="77777777" w:rsidTr="008902B8">
        <w:trPr>
          <w:jc w:val="center"/>
        </w:trPr>
        <w:tc>
          <w:tcPr>
            <w:tcW w:w="8995" w:type="dxa"/>
            <w:gridSpan w:val="8"/>
            <w:tcBorders>
              <w:top w:val="single" w:sz="4" w:space="0" w:color="auto"/>
            </w:tcBorders>
            <w:shd w:val="clear" w:color="auto" w:fill="auto"/>
            <w:tcMar>
              <w:top w:w="0" w:type="dxa"/>
              <w:left w:w="75" w:type="dxa"/>
              <w:bottom w:w="0" w:type="dxa"/>
              <w:right w:w="75" w:type="dxa"/>
            </w:tcMar>
            <w:vAlign w:val="center"/>
          </w:tcPr>
          <w:p w14:paraId="2CC6A85F" w14:textId="77777777" w:rsidR="00A30DBD" w:rsidRPr="001E11B0" w:rsidRDefault="00A30DBD" w:rsidP="002D69CC">
            <w:pPr>
              <w:pStyle w:val="table"/>
              <w:jc w:val="left"/>
              <w:rPr>
                <w:i/>
                <w:iCs/>
              </w:rPr>
            </w:pPr>
            <w:r w:rsidRPr="001E11B0">
              <w:rPr>
                <w:i/>
                <w:iCs/>
              </w:rPr>
              <w:t xml:space="preserve">Notes: </w:t>
            </w:r>
          </w:p>
          <w:p w14:paraId="5C360699" w14:textId="77777777" w:rsidR="00A30DBD" w:rsidRDefault="00A30DBD" w:rsidP="002D69CC">
            <w:pPr>
              <w:pStyle w:val="table"/>
              <w:jc w:val="left"/>
            </w:pPr>
            <w:r>
              <w:t xml:space="preserve">* </w:t>
            </w:r>
            <w:r w:rsidRPr="00664B6B">
              <w:t xml:space="preserve">Researchers often use the point estimate of the meta-effect size. </w:t>
            </w:r>
            <w:proofErr w:type="spellStart"/>
            <w:r w:rsidRPr="00664B6B">
              <w:t>Perugini</w:t>
            </w:r>
            <w:proofErr w:type="spellEnd"/>
            <w:r w:rsidRPr="00664B6B">
              <w:t xml:space="preserve"> et al. </w:t>
            </w:r>
            <w:r>
              <w:fldChar w:fldCharType="begin"/>
            </w:r>
            <w:r>
              <w:instrText xml:space="preserve"> ADDIN ZOTERO_ITEM CSL_CITATION {"citationID":"Cce4A243","properties":{"formattedCitation":"(2014)","plainCitation":"(2014)","noteIndex":0},"citationItems":[{"id":29140,"uris":["http://zotero.org/users/1687755/items/2L8EHMKX"],"itemData":{"id":29140,"type":"article-journal","abstract":"An essential first step in planning a confirmatory or a replication study is to determine the sample size necessary to draw statistically reliable inferences using power analysis. A key problem, however, is that what is available is the sample-size estimate of the effect size, and its use can lead to severely underpowered studies when the effect size is overestimated. As a potential remedy, we introduce safeguard power analysis, which uses the uncertainty in the estimate of the effect size to achieve a better likelihood of correctly identifying the population effect size. Using a lower-bound estimate of the effect size, in turn, allows researchers to calculate a sample size for a replication study that helps protect it from being underpowered. We show that in most common instances, compared with nominal power, safeguard power is higher whereas standard power is lower. We additionally recommend the use of safeguard power analysis to evaluate the strength of the evidence provided by the original study.","container-title":"Perspectives on Psychological Science","DOI":"10.1177/1745691614528519","ISSN":"1745-6916","issue":"3","journalAbbreviation":"Perspect Psychol Sci","language":"en","note":"publisher: SAGE Publications Inc","page":"319-332","source":"SAGE Journals","title":"Safeguard Power as a Protection Against Imprecise Power Estimates","volume":"9","author":[{"family":"Perugini","given":"Marco"},{"family":"Gallucci","given":"Marcello"},{"family":"Costantini","given":"Giulio"}],"issued":{"date-parts":[["2014",5,1]]}},"label":"page","suppress-author":true}],"schema":"https://github.com/citation-style-language/schema/raw/master/csl-citation.json"} </w:instrText>
            </w:r>
            <w:r>
              <w:fldChar w:fldCharType="separate"/>
            </w:r>
            <w:r>
              <w:rPr>
                <w:noProof/>
              </w:rPr>
              <w:t>(2014)</w:t>
            </w:r>
            <w:r>
              <w:fldChar w:fldCharType="end"/>
            </w:r>
            <w:r>
              <w:t xml:space="preserve"> </w:t>
            </w:r>
            <w:r w:rsidRPr="00664B6B">
              <w:t>recommend</w:t>
            </w:r>
            <w:r>
              <w:t>ed</w:t>
            </w:r>
            <w:r w:rsidRPr="00664B6B">
              <w:t xml:space="preserve"> the lower bound of the 95% CI instead. Vahey et al. (2015) used both for power analyses</w:t>
            </w:r>
            <w:r>
              <w:t>.</w:t>
            </w:r>
            <w:r w:rsidRPr="00664B6B">
              <w:br/>
              <w:t>**</w:t>
            </w:r>
            <w:r>
              <w:t xml:space="preserve"> </w:t>
            </w:r>
            <w:r w:rsidRPr="00664B6B">
              <w:t xml:space="preserve">Necessary conversions from </w:t>
            </w:r>
            <w:r w:rsidRPr="004B71C5">
              <w:rPr>
                <w:i/>
                <w:iCs/>
              </w:rPr>
              <w:t>d</w:t>
            </w:r>
            <w:r w:rsidRPr="00664B6B">
              <w:t xml:space="preserve"> to </w:t>
            </w:r>
            <w:r w:rsidRPr="004B71C5">
              <w:rPr>
                <w:i/>
                <w:iCs/>
              </w:rPr>
              <w:t>r</w:t>
            </w:r>
            <w:r w:rsidRPr="00664B6B">
              <w:t xml:space="preserve"> were not reported in Vahey et al. (2015</w:t>
            </w:r>
            <w:proofErr w:type="gramStart"/>
            <w:r w:rsidRPr="00664B6B">
              <w:t>), but</w:t>
            </w:r>
            <w:proofErr w:type="gramEnd"/>
            <w:r w:rsidRPr="00664B6B">
              <w:t xml:space="preserve"> are recalculated here using the </w:t>
            </w:r>
            <w:proofErr w:type="spellStart"/>
            <w:r w:rsidRPr="00664B6B">
              <w:t>effectsize</w:t>
            </w:r>
            <w:proofErr w:type="spellEnd"/>
            <w:r w:rsidRPr="00664B6B">
              <w:t xml:space="preserve"> R package</w:t>
            </w:r>
            <w:r>
              <w:t>’</w:t>
            </w:r>
            <w:r w:rsidRPr="00664B6B">
              <w:t xml:space="preserve">s </w:t>
            </w:r>
            <w:r>
              <w:t>‘</w:t>
            </w:r>
            <w:proofErr w:type="spellStart"/>
            <w:r w:rsidRPr="00664B6B">
              <w:t>r_to_d</w:t>
            </w:r>
            <w:proofErr w:type="spellEnd"/>
            <w:r>
              <w:t>’</w:t>
            </w:r>
            <w:r w:rsidRPr="00664B6B">
              <w:t xml:space="preserve"> function.</w:t>
            </w:r>
          </w:p>
          <w:p w14:paraId="1FA7FD5E" w14:textId="77777777" w:rsidR="00A30DBD" w:rsidRPr="00D85791" w:rsidRDefault="00A30DBD" w:rsidP="002D69CC">
            <w:pPr>
              <w:pStyle w:val="table"/>
              <w:jc w:val="left"/>
            </w:pPr>
            <w:r>
              <w:t>*** Discrepancy between result reported in Vahey et al. (2015) and recalculated result</w:t>
            </w:r>
          </w:p>
        </w:tc>
      </w:tr>
    </w:tbl>
    <w:p w14:paraId="0C68371F" w14:textId="77777777" w:rsidR="00664B6B" w:rsidRDefault="00664B6B" w:rsidP="00EE79F9">
      <w:pPr>
        <w:ind w:firstLine="0"/>
      </w:pPr>
    </w:p>
    <w:p w14:paraId="76C6C995" w14:textId="77777777" w:rsidR="000967B0" w:rsidRDefault="000967B0" w:rsidP="00EE79F9">
      <w:pPr>
        <w:ind w:firstLine="0"/>
      </w:pPr>
    </w:p>
    <w:p w14:paraId="563F3F67" w14:textId="77777777" w:rsidR="000967B0" w:rsidRDefault="000967B0" w:rsidP="00034410">
      <w:pPr>
        <w:sectPr w:rsidR="000967B0" w:rsidSect="000967B0">
          <w:type w:val="continuous"/>
          <w:pgSz w:w="11900" w:h="16840"/>
          <w:pgMar w:top="1440" w:right="1440" w:bottom="1440" w:left="1440" w:header="709" w:footer="709" w:gutter="0"/>
          <w:cols w:space="340"/>
          <w:titlePg/>
          <w:docGrid w:linePitch="360"/>
          <w15:footnoteColumns w:val="1"/>
        </w:sectPr>
      </w:pPr>
    </w:p>
    <w:p w14:paraId="32F29273" w14:textId="7277AA02" w:rsidR="00C842F7" w:rsidRPr="00C842F7" w:rsidRDefault="00C842F7" w:rsidP="00C842F7">
      <w:pPr>
        <w:ind w:firstLine="0"/>
      </w:pPr>
      <w:r w:rsidRPr="00C842F7">
        <w:rPr>
          <w:b/>
          <w:bCs/>
        </w:rPr>
        <w:t xml:space="preserve">Transparency statement </w:t>
      </w:r>
    </w:p>
    <w:p w14:paraId="54687BCC" w14:textId="16F4541C" w:rsidR="00F940A0" w:rsidRPr="00034410" w:rsidRDefault="00C842F7" w:rsidP="000967B0">
      <w:pPr>
        <w:ind w:firstLine="0"/>
      </w:pPr>
      <w:r w:rsidRPr="00C842F7">
        <w:t>All data, code, and formulae (e.g., to convert effect sizes) to reproduce the verification and extension analyses can be found in the supplementary materials</w:t>
      </w:r>
      <w:r>
        <w:t xml:space="preserve"> (</w:t>
      </w:r>
      <w:r w:rsidR="00B33C2E" w:rsidRPr="00034410">
        <w:t xml:space="preserve">see </w:t>
      </w:r>
      <w:hyperlink r:id="rId11" w:history="1">
        <w:r w:rsidR="00A634B8" w:rsidRPr="00034410">
          <w:rPr>
            <w:rStyle w:val="Hyperlink"/>
          </w:rPr>
          <w:t>osf.io/jg8td</w:t>
        </w:r>
      </w:hyperlink>
      <w:r w:rsidR="00B33C2E" w:rsidRPr="00034410">
        <w:t xml:space="preserve">). </w:t>
      </w:r>
      <w:r w:rsidR="00380E3E" w:rsidRPr="00034410">
        <w:t xml:space="preserve">In the process of conducting this verification attempt, I contacted the corresponding author of Vahey et al. (2015) and requested that they share their code or further details of their </w:t>
      </w:r>
      <w:r w:rsidR="00586996" w:rsidRPr="00034410">
        <w:t>analytic approach</w:t>
      </w:r>
      <w:r w:rsidR="00380E3E" w:rsidRPr="00034410">
        <w:t xml:space="preserve">, who declined. </w:t>
      </w:r>
      <w:r w:rsidR="002D2566" w:rsidRPr="00034410">
        <w:t>I</w:t>
      </w:r>
      <w:r w:rsidR="002D2566" w:rsidRPr="00034410">
        <w:t>n July 201</w:t>
      </w:r>
      <w:r w:rsidR="002D2566" w:rsidRPr="00034410">
        <w:t xml:space="preserve">9, </w:t>
      </w:r>
      <w:r w:rsidR="00380E3E" w:rsidRPr="00034410">
        <w:t>I shared a copy of an earlier version of th</w:t>
      </w:r>
      <w:r w:rsidR="00F21238" w:rsidRPr="00034410">
        <w:t>ese</w:t>
      </w:r>
      <w:r w:rsidR="00380E3E" w:rsidRPr="00034410">
        <w:t xml:space="preserve"> verification attempt</w:t>
      </w:r>
      <w:r w:rsidR="00F21238" w:rsidRPr="00034410">
        <w:t>s with the corresponding author</w:t>
      </w:r>
      <w:r w:rsidR="00380E3E" w:rsidRPr="00034410">
        <w:t xml:space="preserve">, including code, data, and a set of slides outlining my concerns about </w:t>
      </w:r>
      <w:r w:rsidR="002D2566" w:rsidRPr="00034410">
        <w:t>the credibility of their findings</w:t>
      </w:r>
      <w:r w:rsidR="00380E3E" w:rsidRPr="00034410">
        <w:t xml:space="preserve">. </w:t>
      </w:r>
      <w:r w:rsidR="00F21238" w:rsidRPr="00034410">
        <w:t xml:space="preserve">I </w:t>
      </w:r>
      <w:r w:rsidR="007D4DD0" w:rsidRPr="00034410">
        <w:t xml:space="preserve">have </w:t>
      </w:r>
      <w:r w:rsidR="00F21238" w:rsidRPr="00034410">
        <w:t>received n</w:t>
      </w:r>
      <w:r w:rsidR="00380E3E" w:rsidRPr="00034410">
        <w:t xml:space="preserve">o contact from the </w:t>
      </w:r>
      <w:r w:rsidR="00E6539D" w:rsidRPr="00034410">
        <w:t xml:space="preserve">corresponding </w:t>
      </w:r>
      <w:r w:rsidR="00380E3E" w:rsidRPr="00034410">
        <w:t>author since then</w:t>
      </w:r>
      <w:r w:rsidR="00FC0551" w:rsidRPr="00034410">
        <w:t xml:space="preserve">. No corrections of Vahey et al. (2015) have been issued at time of writing (July 2024), and to the best of my knowledge the authors of Vahey et al. (2015) have made no public statements about these concerns about the credibility of their findings. </w:t>
      </w:r>
      <w:r w:rsidR="008D3041" w:rsidRPr="00034410">
        <w:t xml:space="preserve">Even three years after I initially raised these concerns, the senior author of Vahey et al. (2015) has continued to cite the article favourably as evidence for the IRAP’s validity </w:t>
      </w:r>
      <w:r w:rsidR="008D3041" w:rsidRPr="00034410">
        <w:fldChar w:fldCharType="begin"/>
      </w:r>
      <w:r w:rsidR="008D3041" w:rsidRPr="00034410">
        <w:instrText xml:space="preserve"> ADDIN ZOTERO_ITEM CSL_CITATION {"citationID":"OVMdbenp","properties":{"formattedCitation":"(e.g., Barnes-Holmes &amp; Harte, 2022a, 2022b)","plainCitation":"(e.g., Barnes-Holmes &amp; Harte, 2022a, 2022b)","noteIndex":0},"citationItems":[{"id":4707,"uris":["http://zotero.org/users/1687755/items/DJC2GMQM"],"itemData":{"id":4707,"type":"article-journal","abstract":"The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Cognition","URL":"https://doi.org/10.1007/s40614-022-00352-z","author":[{"family":"Barnes-Holmes","given":"Dermot"},{"family":"Harte","given":"Colin"}],"accessed":{"date-parts":[["2022",8,2]]},"issued":{"date-parts":[["2022",7,29]]}},"label":"page","prefix":"e.g., "},{"id":289,"uris":["http://zotero.org/users/1687755/items/QHEXTZI9"],"itemData":{"id":289,"type":"article-journal","abstract":"The seminal text on relational frame theory (RFT) was published 20 years ago and purported to offer a single overarching behavior-analytic account of human language and cognition. In the years thereafter, an increasing number of empirical and conceptual articles, book chapters in edited volumes, and whole volumes devoted to the account emerged. In recent years, RFT has experienced a period of intense empirical and conceptual development, facilitated in part by a research grant awarded by the Flanders Science Foundation, under its Odysseus program. This research program aimed to advance and extend the RFT account beyond the rendition presented in the seminal Hayes et al. (2001) volume. The current article aims to provide an overview of this research program, the empirical work and concepts it gave rise to, and their implications for an RFT account of human symbolic language and cognition. Overall, therefore, the article provides an account of relatively recent developments in RFT that extend beyond the 2001 volume and thus will, we hope, inform future research and critiques of the theory going forward.","container-title":"JOURNAL OF THE EXPERIMENTAL ANALYSIS OF BEHAVIOR","DOI":"10.1002/jeab.733","ISSN":"0022-5002","issue":"2","language":"English","note":"publisher-place: 111 RIVER ST, HOBOKEN 07030-5774, NJ USA\npublisher: WILEY\ntype: Article","page":"240-266","title":"Relational frame theory 20 years on: The Odysseus voyage and beyond","volume":"117","author":[{"family":"Barnes-Holmes","given":"Dermot"},{"family":"Harte","given":"Colin"}],"issued":{"date-parts":[["2022",3]]}}}],"schema":"https://github.com/citation-style-language/schema/raw/master/csl-citation.json"} </w:instrText>
      </w:r>
      <w:r w:rsidR="008D3041" w:rsidRPr="00034410">
        <w:fldChar w:fldCharType="separate"/>
      </w:r>
      <w:r w:rsidR="008D3041" w:rsidRPr="00034410">
        <w:rPr>
          <w:noProof/>
        </w:rPr>
        <w:t>(e.g., Barnes-Holmes &amp; Harte, 2022a, 2022b)</w:t>
      </w:r>
      <w:r w:rsidR="008D3041" w:rsidRPr="00034410">
        <w:fldChar w:fldCharType="end"/>
      </w:r>
      <w:r w:rsidR="008D3041" w:rsidRPr="00034410">
        <w:t>.</w:t>
      </w:r>
      <w:r w:rsidR="00366912" w:rsidRPr="00034410">
        <w:t xml:space="preserve"> </w:t>
      </w:r>
    </w:p>
    <w:p w14:paraId="7EE53CF5" w14:textId="1C4DB55D" w:rsidR="00B95E95" w:rsidRPr="00034410" w:rsidRDefault="005661DE" w:rsidP="00034410">
      <w:pPr>
        <w:pStyle w:val="Heading2"/>
      </w:pPr>
      <w:r w:rsidRPr="00034410">
        <w:t>P</w:t>
      </w:r>
      <w:r w:rsidR="00B95E95" w:rsidRPr="00034410">
        <w:t>ower analyses</w:t>
      </w:r>
    </w:p>
    <w:p w14:paraId="056C9609" w14:textId="4D3DE905" w:rsidR="00B63051" w:rsidRDefault="00DA2E35" w:rsidP="00F862D8">
      <w:r w:rsidRPr="00034410">
        <w:t xml:space="preserve">Details of the power analyses conducted by Vahey et al. (2015) were extracted. This included the meta-effect size used (i.e., using point estimate or lower bound </w:t>
      </w:r>
      <w:r w:rsidR="00BE42D5">
        <w:t>Confidence Interval</w:t>
      </w:r>
      <w:r w:rsidRPr="00034410">
        <w:t xml:space="preserve">, following </w:t>
      </w:r>
      <w:proofErr w:type="spellStart"/>
      <w:r w:rsidRPr="00034410">
        <w:t>Perugini</w:t>
      </w:r>
      <w:proofErr w:type="spellEnd"/>
      <w:r w:rsidRPr="00034410">
        <w:t xml:space="preserve"> et al.’s recommendation, as adopted in Vahey et al. 2015), test (Pearson’s </w:t>
      </w:r>
      <w:r w:rsidRPr="001B27B2">
        <w:rPr>
          <w:i/>
          <w:iCs/>
        </w:rPr>
        <w:t>r</w:t>
      </w:r>
      <w:r w:rsidRPr="00034410">
        <w:t xml:space="preserve"> correlation, independent </w:t>
      </w:r>
      <w:r w:rsidRPr="001B27B2">
        <w:rPr>
          <w:i/>
          <w:iCs/>
        </w:rPr>
        <w:t>t</w:t>
      </w:r>
      <w:r w:rsidRPr="00034410">
        <w:t xml:space="preserve">-test, dependent </w:t>
      </w:r>
      <w:r w:rsidRPr="001B27B2">
        <w:rPr>
          <w:i/>
          <w:iCs/>
        </w:rPr>
        <w:t>t</w:t>
      </w:r>
      <w:r w:rsidRPr="00034410">
        <w:t>-test), direction of hypothesis (one-sided vs. two sided)</w:t>
      </w:r>
      <w:r w:rsidR="009D6E04" w:rsidRPr="00034410">
        <w:t xml:space="preserve">, and the </w:t>
      </w:r>
      <w:r w:rsidR="00D566E1" w:rsidRPr="00034410">
        <w:t>recommended</w:t>
      </w:r>
      <w:r w:rsidR="009D6E04" w:rsidRPr="00034410">
        <w:t xml:space="preserve"> sample size (i.e., the result of the test).</w:t>
      </w:r>
      <w:r w:rsidRPr="00034410">
        <w:t xml:space="preserve"> Verification tests were </w:t>
      </w:r>
      <w:r w:rsidRPr="00B6073F">
        <w:t xml:space="preserve">performed using the </w:t>
      </w:r>
      <w:proofErr w:type="spellStart"/>
      <w:r w:rsidR="00D36B5A" w:rsidRPr="00B6073F">
        <w:t>pwr</w:t>
      </w:r>
      <w:proofErr w:type="spellEnd"/>
      <w:r w:rsidRPr="00B6073F">
        <w:t xml:space="preserve"> R library</w:t>
      </w:r>
      <w:r w:rsidR="003A49F2" w:rsidRPr="00B6073F">
        <w:t xml:space="preserve"> </w:t>
      </w:r>
      <w:r w:rsidR="00DE6104" w:rsidRPr="00B6073F">
        <w:fldChar w:fldCharType="begin"/>
      </w:r>
      <w:r w:rsidR="00DE6104" w:rsidRPr="00B6073F">
        <w:instrText xml:space="preserve"> ADDIN ZOTERO_ITEM CSL_CITATION {"citationID":"BYUIVsog","properties":{"formattedCitation":"(Champely, 2016)","plainCitation":"(Champely, 2016)","noteIndex":0},"citationItems":[{"id":2895,"uris":["http://zotero.org/users/1687755/items/H637UNSB"],"itemData":{"id":2895,"type":"software","note":"R package version 1.1-4","title":"pwr: Basic Functions for Power Analysis","URL":"https://CRAN.R-project.org/package=pwr","author":[{"family":"Champely","given":"Stephane"}],"issued":{"date-parts":[["2016"]]}}}],"schema":"https://github.com/citation-style-language/schema/raw/master/csl-citation.json"} </w:instrText>
      </w:r>
      <w:r w:rsidR="00DE6104" w:rsidRPr="00B6073F">
        <w:fldChar w:fldCharType="separate"/>
      </w:r>
      <w:r w:rsidR="00DE6104" w:rsidRPr="00B6073F">
        <w:rPr>
          <w:noProof/>
        </w:rPr>
        <w:t>(Champely, 2016)</w:t>
      </w:r>
      <w:r w:rsidR="00DE6104" w:rsidRPr="00B6073F">
        <w:fldChar w:fldCharType="end"/>
      </w:r>
      <w:r w:rsidRPr="00B6073F">
        <w:t xml:space="preserve">. </w:t>
      </w:r>
      <w:r w:rsidR="005151B9" w:rsidRPr="00B6073F">
        <w:t xml:space="preserve">Table </w:t>
      </w:r>
      <w:r w:rsidR="00D568BD" w:rsidRPr="00B6073F">
        <w:t>1</w:t>
      </w:r>
      <w:r w:rsidR="005151B9" w:rsidRPr="00B6073F">
        <w:t xml:space="preserve"> contains </w:t>
      </w:r>
      <w:r w:rsidR="000C5051" w:rsidRPr="00B6073F">
        <w:t>the</w:t>
      </w:r>
      <w:r w:rsidR="00AA6455" w:rsidRPr="00B6073F">
        <w:t xml:space="preserve"> </w:t>
      </w:r>
      <w:r w:rsidR="0011275B" w:rsidRPr="00B6073F">
        <w:t>results</w:t>
      </w:r>
      <w:r w:rsidR="00AA6455" w:rsidRPr="00B6073F">
        <w:t xml:space="preserve"> of </w:t>
      </w:r>
      <w:r w:rsidR="0011275B" w:rsidRPr="00B6073F">
        <w:t xml:space="preserve">both the </w:t>
      </w:r>
      <w:r w:rsidR="005151B9" w:rsidRPr="00B6073F">
        <w:t>power analyses reported</w:t>
      </w:r>
      <w:r w:rsidR="005151B9" w:rsidRPr="00034410">
        <w:t xml:space="preserve"> by Vahey et al. (2015) and </w:t>
      </w:r>
      <w:r w:rsidR="0011275B">
        <w:t xml:space="preserve">those of the </w:t>
      </w:r>
      <w:r w:rsidR="005151B9" w:rsidRPr="00034410">
        <w:t>verification analyses</w:t>
      </w:r>
      <w:r w:rsidR="00AA6455" w:rsidRPr="00034410">
        <w:t xml:space="preserve">. </w:t>
      </w:r>
      <w:r w:rsidR="00ED76E7" w:rsidRPr="00034410">
        <w:t xml:space="preserve">As can be seen in the table, </w:t>
      </w:r>
      <w:r w:rsidR="00ED5CE9" w:rsidRPr="00034410">
        <w:t>Vahey et al.’s (2015)</w:t>
      </w:r>
      <w:r w:rsidR="00ED76E7" w:rsidRPr="00034410">
        <w:t xml:space="preserve"> sample size recommendations </w:t>
      </w:r>
      <w:r w:rsidR="00DC3D10" w:rsidRPr="00034410">
        <w:t xml:space="preserve">were found to be </w:t>
      </w:r>
      <w:r w:rsidR="00ED76E7" w:rsidRPr="00034410">
        <w:t xml:space="preserve">computationally </w:t>
      </w:r>
      <w:r w:rsidR="00ED76E7" w:rsidRPr="00034410">
        <w:t>reproducible</w:t>
      </w:r>
      <w:r w:rsidR="00DC3D10" w:rsidRPr="00034410">
        <w:t xml:space="preserve"> when their meta-analytic effect size was used</w:t>
      </w:r>
      <w:r w:rsidR="00573174">
        <w:t xml:space="preserve">, with one exception (difference </w:t>
      </w:r>
      <w:r w:rsidR="00573174" w:rsidRPr="00573174">
        <w:rPr>
          <w:i/>
          <w:iCs/>
        </w:rPr>
        <w:t>N</w:t>
      </w:r>
      <w:r w:rsidR="009258DB">
        <w:t xml:space="preserve"> =</w:t>
      </w:r>
      <w:r w:rsidR="00573174">
        <w:t xml:space="preserve"> </w:t>
      </w:r>
      <w:r w:rsidR="00532F48">
        <w:t>36 vs. 34</w:t>
      </w:r>
      <w:r w:rsidR="00573174">
        <w:t>).</w:t>
      </w:r>
    </w:p>
    <w:p w14:paraId="00CA934C" w14:textId="77777777" w:rsidR="00FF5FBB" w:rsidRDefault="00FF5FBB" w:rsidP="00F862D8"/>
    <w:p w14:paraId="54FE1B8D" w14:textId="77777777" w:rsidR="00FF5FBB" w:rsidRDefault="00FF5FBB" w:rsidP="00FF5FBB">
      <w:pPr>
        <w:ind w:firstLine="0"/>
        <w:rPr>
          <w:b/>
          <w:bCs/>
        </w:rPr>
      </w:pPr>
      <w:r w:rsidRPr="005357A0">
        <w:rPr>
          <w:b/>
          <w:bCs/>
        </w:rPr>
        <w:t xml:space="preserve">Figure 1. Weighted-mean effect-sizes and their 95% </w:t>
      </w:r>
      <w:r>
        <w:rPr>
          <w:b/>
          <w:bCs/>
        </w:rPr>
        <w:t>Confidence Intervals</w:t>
      </w:r>
      <w:r w:rsidRPr="005357A0">
        <w:rPr>
          <w:b/>
          <w:bCs/>
        </w:rPr>
        <w:t xml:space="preserve"> extracted from Vahey et al.’s (2015) forest plot (Figure 1).</w:t>
      </w:r>
    </w:p>
    <w:p w14:paraId="3373E590" w14:textId="77777777" w:rsidR="00FF5FBB" w:rsidRPr="005357A0" w:rsidRDefault="00FF5FBB" w:rsidP="00FF5FBB">
      <w:pPr>
        <w:ind w:firstLine="0"/>
        <w:rPr>
          <w:b/>
          <w:bCs/>
        </w:rPr>
      </w:pPr>
      <w:r>
        <w:rPr>
          <w:b/>
          <w:bCs/>
          <w:noProof/>
        </w:rPr>
        <w:drawing>
          <wp:inline distT="0" distB="0" distL="0" distR="0" wp14:anchorId="60CDD14F" wp14:editId="52E3A854">
            <wp:extent cx="2755900" cy="1515745"/>
            <wp:effectExtent l="0" t="0" r="0" b="0"/>
            <wp:docPr id="17083853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534" name="Picture 1" descr="A graph with numbers and lines&#10;&#10;Description automatically generated"/>
                    <pic:cNvPicPr/>
                  </pic:nvPicPr>
                  <pic:blipFill>
                    <a:blip r:embed="rId12"/>
                    <a:stretch>
                      <a:fillRect/>
                    </a:stretch>
                  </pic:blipFill>
                  <pic:spPr>
                    <a:xfrm>
                      <a:off x="0" y="0"/>
                      <a:ext cx="2755900" cy="1515745"/>
                    </a:xfrm>
                    <a:prstGeom prst="rect">
                      <a:avLst/>
                    </a:prstGeom>
                  </pic:spPr>
                </pic:pic>
              </a:graphicData>
            </a:graphic>
          </wp:inline>
        </w:drawing>
      </w:r>
    </w:p>
    <w:p w14:paraId="5E8FFD87" w14:textId="77777777" w:rsidR="00FF5FBB" w:rsidRPr="00F862D8" w:rsidRDefault="00FF5FBB" w:rsidP="00FF5FBB">
      <w:pPr>
        <w:ind w:firstLine="0"/>
      </w:pPr>
    </w:p>
    <w:p w14:paraId="6BE646A6" w14:textId="6FEC0344" w:rsidR="00E40521" w:rsidRDefault="00E40521" w:rsidP="00034410">
      <w:pPr>
        <w:pStyle w:val="Heading2"/>
      </w:pPr>
      <w:r w:rsidRPr="00034410">
        <w:t>Meta-analysis</w:t>
      </w:r>
    </w:p>
    <w:p w14:paraId="0E9D0E64" w14:textId="109725BD" w:rsidR="0017243A" w:rsidRPr="0017243A" w:rsidRDefault="004755E3" w:rsidP="0017243A">
      <w:pPr>
        <w:pStyle w:val="Heading3"/>
      </w:pPr>
      <w:r>
        <w:t>Issues with the</w:t>
      </w:r>
      <w:r w:rsidR="0017243A">
        <w:t xml:space="preserve"> </w:t>
      </w:r>
      <w:r>
        <w:t>meta-analysis</w:t>
      </w:r>
      <w:r w:rsidR="00AA71D9">
        <w:t xml:space="preserve"> </w:t>
      </w:r>
      <w:r w:rsidR="000521C2">
        <w:t>results</w:t>
      </w:r>
    </w:p>
    <w:p w14:paraId="0AB7F4F4" w14:textId="77777777" w:rsidR="00E64BE8" w:rsidRDefault="00ED5CE9" w:rsidP="00034410">
      <w:r w:rsidRPr="00034410">
        <w:t>Vahey et al.’s (2015)</w:t>
      </w:r>
      <w:r w:rsidR="00637EF6" w:rsidRPr="00034410">
        <w:t xml:space="preserve"> reported a meta-analytic effect size, 95% </w:t>
      </w:r>
      <w:r w:rsidR="00BE42D5">
        <w:t>Confidence Interval</w:t>
      </w:r>
      <w:r w:rsidR="00637EF6" w:rsidRPr="00034410">
        <w:t xml:space="preserve">s, and 95% </w:t>
      </w:r>
      <w:r w:rsidR="00BE42D5">
        <w:t>Credibility Interval</w:t>
      </w:r>
      <w:r w:rsidR="00637EF6" w:rsidRPr="00034410">
        <w:t xml:space="preserve">s. These were extracted from Vahey et al.’s (2015) forest plot </w:t>
      </w:r>
      <w:r w:rsidR="00984B3D">
        <w:t xml:space="preserve">in their Figure 1 </w:t>
      </w:r>
      <w:r w:rsidR="00637EF6" w:rsidRPr="00034410">
        <w:t>(</w:t>
      </w:r>
      <w:r w:rsidR="00984B3D">
        <w:t xml:space="preserve">for </w:t>
      </w:r>
      <m:oMath>
        <m:acc>
          <m:accPr>
            <m:chr m:val="̅"/>
            <m:ctrlPr>
              <w:rPr>
                <w:rFonts w:ascii="Cambria Math" w:hAnsi="Cambria Math"/>
                <w:i/>
                <w:sz w:val="20"/>
                <w:szCs w:val="20"/>
              </w:rPr>
            </m:ctrlPr>
          </m:accPr>
          <m:e>
            <m:r>
              <w:rPr>
                <w:rFonts w:ascii="Cambria Math" w:hAnsi="Cambria Math"/>
              </w:rPr>
              <m:t>r</m:t>
            </m:r>
          </m:e>
        </m:acc>
      </m:oMath>
      <w:r w:rsidR="007953D8" w:rsidRPr="00034410">
        <w:t xml:space="preserve"> </w:t>
      </w:r>
      <w:r w:rsidR="00637EF6" w:rsidRPr="00034410">
        <w:t>and CR) and the text on page</w:t>
      </w:r>
      <w:r w:rsidR="00182CB6" w:rsidRPr="00034410">
        <w:t>s 62-63</w:t>
      </w:r>
      <w:r w:rsidR="00637EF6" w:rsidRPr="00034410">
        <w:t xml:space="preserve"> (</w:t>
      </w:r>
      <w:r w:rsidR="00984B3D">
        <w:t xml:space="preserve">for the </w:t>
      </w:r>
      <w:r w:rsidR="00637EF6" w:rsidRPr="00034410">
        <w:t>CI)</w:t>
      </w:r>
      <w:r w:rsidR="002001D3" w:rsidRPr="00034410">
        <w:t xml:space="preserve">: </w:t>
      </w:r>
      <m:oMath>
        <m:acc>
          <m:accPr>
            <m:chr m:val="̅"/>
            <m:ctrlPr>
              <w:rPr>
                <w:rFonts w:ascii="Cambria Math" w:hAnsi="Cambria Math"/>
                <w:i/>
                <w:sz w:val="20"/>
                <w:szCs w:val="20"/>
              </w:rPr>
            </m:ctrlPr>
          </m:accPr>
          <m:e>
            <m:r>
              <w:rPr>
                <w:rFonts w:ascii="Cambria Math" w:hAnsi="Cambria Math"/>
              </w:rPr>
              <m:t>r</m:t>
            </m:r>
          </m:e>
        </m:acc>
      </m:oMath>
      <w:r w:rsidR="002001D3" w:rsidRPr="00034410">
        <w:t xml:space="preserve"> = .45, 95% CI [.40, .54], 95% CR [.23, .67]</w:t>
      </w:r>
      <w:r w:rsidR="00637EF6" w:rsidRPr="00034410">
        <w:t xml:space="preserve">. </w:t>
      </w:r>
    </w:p>
    <w:p w14:paraId="76E8606D" w14:textId="02BD8492" w:rsidR="00867EEF" w:rsidRDefault="0047723B" w:rsidP="00FF5FBB">
      <w:r w:rsidRPr="00034410">
        <w:t xml:space="preserve">Prior to any attempt to reproduce these results, it is </w:t>
      </w:r>
      <w:r w:rsidR="00E64BE8">
        <w:t xml:space="preserve">important to note that the point estimate and confidence intervals are not possible: </w:t>
      </w:r>
      <w:r w:rsidRPr="00034410">
        <w:t xml:space="preserve">the upper bound </w:t>
      </w:r>
      <w:r w:rsidR="00631636">
        <w:t xml:space="preserve">Confidence Interval </w:t>
      </w:r>
      <w:r w:rsidRPr="00034410">
        <w:t>is +</w:t>
      </w:r>
      <w:r w:rsidR="00631636">
        <w:t>.0</w:t>
      </w:r>
      <w:r w:rsidRPr="00034410">
        <w:t xml:space="preserve">9 </w:t>
      </w:r>
      <w:r w:rsidR="00631636">
        <w:t xml:space="preserve">larger than the point estimate </w:t>
      </w:r>
      <m:oMath>
        <m:acc>
          <m:accPr>
            <m:chr m:val="̅"/>
            <m:ctrlPr>
              <w:rPr>
                <w:rFonts w:ascii="Cambria Math" w:hAnsi="Cambria Math"/>
                <w:i/>
                <w:sz w:val="20"/>
                <w:szCs w:val="20"/>
              </w:rPr>
            </m:ctrlPr>
          </m:accPr>
          <m:e>
            <m:r>
              <w:rPr>
                <w:rFonts w:ascii="Cambria Math" w:hAnsi="Cambria Math"/>
              </w:rPr>
              <m:t>r</m:t>
            </m:r>
          </m:e>
        </m:acc>
      </m:oMath>
      <w:r w:rsidRPr="00034410">
        <w:t xml:space="preserve">, whereas the lower bound </w:t>
      </w:r>
      <w:r w:rsidR="00631636">
        <w:t xml:space="preserve">Confidence Interval is </w:t>
      </w:r>
      <w:r w:rsidRPr="00034410">
        <w:t>-</w:t>
      </w:r>
      <w:r w:rsidR="00631636">
        <w:t>.0</w:t>
      </w:r>
      <w:r w:rsidRPr="00034410">
        <w:t xml:space="preserve">5 </w:t>
      </w:r>
      <w:r w:rsidR="00631636">
        <w:t>smaller</w:t>
      </w:r>
      <w:r w:rsidRPr="00034410">
        <w:t xml:space="preserve">. </w:t>
      </w:r>
      <w:r w:rsidR="000D1059" w:rsidRPr="00034410">
        <w:t xml:space="preserve">While asymmetric intervals are indeed possible (e.g., when using a transformation such as Fisher’s </w:t>
      </w:r>
      <w:r w:rsidR="000D1059" w:rsidRPr="00FE5D69">
        <w:rPr>
          <w:i/>
          <w:iCs/>
        </w:rPr>
        <w:t>r</w:t>
      </w:r>
      <w:r w:rsidR="000D1059" w:rsidRPr="00034410">
        <w:t>-to-</w:t>
      </w:r>
      <w:r w:rsidR="000D1059" w:rsidRPr="00FE5D69">
        <w:rPr>
          <w:i/>
          <w:iCs/>
        </w:rPr>
        <w:t>z</w:t>
      </w:r>
      <w:r w:rsidR="000D1059" w:rsidRPr="00034410">
        <w:t xml:space="preserve">), </w:t>
      </w:r>
      <w:r w:rsidR="00FE5D69">
        <w:t>such transformations would create an asymmetry in the opposite direction (i.e., a smaller upper interval and larger lower interval)</w:t>
      </w:r>
      <w:r w:rsidR="000D1059" w:rsidRPr="00034410">
        <w:t xml:space="preserve">. </w:t>
      </w:r>
      <w:r w:rsidR="00F23764">
        <w:t>I know of no legitimate way to produce a meta-analytic effect size with asymmetric Confidence Intervals of the type that Vahey et al. (2015) report</w:t>
      </w:r>
      <w:r w:rsidR="00F463F9">
        <w:t xml:space="preserve"> which are, to the best of my knowledge, mathematically impossible. </w:t>
      </w:r>
      <w:r w:rsidR="00CD380D">
        <w:t xml:space="preserve">One plausible </w:t>
      </w:r>
      <w:r w:rsidR="00CD380D">
        <w:lastRenderedPageBreak/>
        <w:t xml:space="preserve">explanation is that one or more values are the result of typos. Another plausible explanation is that the Confidence Intervals (reported in text) and the </w:t>
      </w:r>
      <m:oMath>
        <m:acc>
          <m:accPr>
            <m:chr m:val="̅"/>
            <m:ctrlPr>
              <w:rPr>
                <w:rFonts w:ascii="Cambria Math" w:hAnsi="Cambria Math"/>
                <w:i/>
                <w:sz w:val="20"/>
                <w:szCs w:val="20"/>
              </w:rPr>
            </m:ctrlPr>
          </m:accPr>
          <m:e>
            <m:r>
              <w:rPr>
                <w:rFonts w:ascii="Cambria Math" w:hAnsi="Cambria Math"/>
              </w:rPr>
              <m:t>r</m:t>
            </m:r>
          </m:e>
        </m:acc>
      </m:oMath>
      <w:r w:rsidR="00CD380D">
        <w:t xml:space="preserve"> and Credibility Intervals (reported in Figure 1) were obtained from different meta-analyses, employing different data and/or different modelling approaches.</w:t>
      </w:r>
    </w:p>
    <w:p w14:paraId="306B6C4C" w14:textId="76056403" w:rsidR="004755E3" w:rsidRPr="0017243A" w:rsidRDefault="004755E3" w:rsidP="004755E3">
      <w:pPr>
        <w:pStyle w:val="Heading3"/>
      </w:pPr>
      <w:r>
        <w:t>Issues with the original effect sizes</w:t>
      </w:r>
      <w:r w:rsidR="00AA71D9">
        <w:t>’ Confidence Intervals</w:t>
      </w:r>
    </w:p>
    <w:p w14:paraId="34FE15A3" w14:textId="6C2147CF" w:rsidR="00DB30E6" w:rsidRDefault="00CD380D" w:rsidP="00164FDF">
      <w:r>
        <w:t xml:space="preserve">Separately, it is </w:t>
      </w:r>
      <w:r w:rsidR="00064BCC">
        <w:t xml:space="preserve">also </w:t>
      </w:r>
      <w:r>
        <w:t>worth inspecting the weighted average effect sizes for each of the component studies</w:t>
      </w:r>
      <w:r w:rsidR="00064BCC">
        <w:t xml:space="preserve"> reported in Vahey et al.’s (2015) Figure 1</w:t>
      </w:r>
      <w:r>
        <w:t xml:space="preserve">. </w:t>
      </w:r>
      <w:r w:rsidR="00174134">
        <w:t xml:space="preserve">These numerical values were extracted and are reproduced in Figure 1 of this </w:t>
      </w:r>
      <w:proofErr w:type="gramStart"/>
      <w:r w:rsidR="00174134">
        <w:t>manuscript</w:t>
      </w:r>
      <w:r w:rsidR="00606E15">
        <w:t>, and</w:t>
      </w:r>
      <w:proofErr w:type="gramEnd"/>
      <w:r w:rsidR="00606E15">
        <w:t xml:space="preserve"> serve as the data for the verification attempts below.</w:t>
      </w:r>
      <w:r w:rsidR="0017243A">
        <w:t xml:space="preserve"> The </w:t>
      </w:r>
      <w:r w:rsidR="00DC4226">
        <w:t xml:space="preserve">individual effect sizes are labelled as representing weighted </w:t>
      </w:r>
      <w:r w:rsidR="00DC4226" w:rsidRPr="00DC4226">
        <w:rPr>
          <w:i/>
          <w:iCs/>
        </w:rPr>
        <w:t>r</w:t>
      </w:r>
      <w:r w:rsidR="00DC4226">
        <w:t xml:space="preserve"> values and its Confidence Intervals. </w:t>
      </w:r>
      <w:r w:rsidR="001A7C9D">
        <w:t xml:space="preserve">As such, the confidence intervals should be symmetrical, but they are not. </w:t>
      </w:r>
      <w:r w:rsidR="00BF200B">
        <w:t xml:space="preserve">For example, the effect size reported for Vahey et al. (2010) is </w:t>
      </w:r>
      <w:r w:rsidR="00BF200B" w:rsidRPr="00064BCC">
        <w:rPr>
          <w:i/>
          <w:iCs/>
        </w:rPr>
        <w:t>r</w:t>
      </w:r>
      <w:r w:rsidR="00BF200B">
        <w:t xml:space="preserve"> = .36, 95% CI [-.24, .76]. This makes </w:t>
      </w:r>
      <w:r w:rsidR="00BF200B" w:rsidRPr="009B2BE9">
        <w:t>the</w:t>
      </w:r>
      <w:r w:rsidR="00BF200B" w:rsidRPr="00034410">
        <w:t xml:space="preserve"> upper bound +</w:t>
      </w:r>
      <w:r w:rsidR="00BF200B">
        <w:t xml:space="preserve">.40 larger than the </w:t>
      </w:r>
      <w:r w:rsidR="00BF200B" w:rsidRPr="00034410">
        <w:t>point estimate whereas the lower bound is -</w:t>
      </w:r>
      <w:r w:rsidR="00BF200B">
        <w:t>.60</w:t>
      </w:r>
      <w:r w:rsidR="00BF200B" w:rsidRPr="00034410">
        <w:t xml:space="preserve"> from the point estimate. </w:t>
      </w:r>
      <w:r w:rsidR="001A7C9D">
        <w:t>The asymmetry is therefore in the opposite direction to that in the reported meta-analytic effect size’s Confidence Interval</w:t>
      </w:r>
      <w:r w:rsidR="00E047BD">
        <w:t xml:space="preserve">, and is </w:t>
      </w:r>
      <w:r w:rsidR="001A7C9D">
        <w:t xml:space="preserve">in principle compatible with </w:t>
      </w:r>
      <w:proofErr w:type="gramStart"/>
      <w:r w:rsidR="001A7C9D">
        <w:t>the a</w:t>
      </w:r>
      <w:proofErr w:type="gramEnd"/>
      <w:r w:rsidR="001A7C9D">
        <w:t xml:space="preserve"> transformation such as </w:t>
      </w:r>
      <w:r w:rsidR="00BF200B" w:rsidRPr="00034410">
        <w:t xml:space="preserve">Fisher’s </w:t>
      </w:r>
      <w:r w:rsidR="00BF200B" w:rsidRPr="00BF200B">
        <w:rPr>
          <w:i/>
          <w:iCs/>
        </w:rPr>
        <w:t>r</w:t>
      </w:r>
      <w:r w:rsidR="00BF200B" w:rsidRPr="00034410">
        <w:t>-to-</w:t>
      </w:r>
      <w:r w:rsidR="00BF200B" w:rsidRPr="00BF200B">
        <w:rPr>
          <w:i/>
          <w:iCs/>
        </w:rPr>
        <w:t>z</w:t>
      </w:r>
      <w:r w:rsidR="001A7C9D">
        <w:t xml:space="preserve"> having been applied</w:t>
      </w:r>
      <w:r w:rsidR="00FD7D4F">
        <w:t>.</w:t>
      </w:r>
      <w:r w:rsidR="00E91DD6">
        <w:t xml:space="preserve"> As I </w:t>
      </w:r>
      <w:r w:rsidR="00536F23">
        <w:t>discuss</w:t>
      </w:r>
      <w:r w:rsidR="00E91DD6">
        <w:t xml:space="preserve"> </w:t>
      </w:r>
      <w:proofErr w:type="gramStart"/>
      <w:r w:rsidR="00E91DD6">
        <w:t xml:space="preserve">later </w:t>
      </w:r>
      <w:r w:rsidR="00536F23">
        <w:t>on</w:t>
      </w:r>
      <w:proofErr w:type="gramEnd"/>
      <w:r w:rsidR="00536F23">
        <w:t xml:space="preserve"> </w:t>
      </w:r>
      <w:r w:rsidR="00E91DD6">
        <w:t xml:space="preserve">in meta-analysis reproduction attempt 4, it is likely that the original </w:t>
      </w:r>
      <w:r w:rsidR="00FD7D4F">
        <w:t>figure mislabel</w:t>
      </w:r>
      <w:r w:rsidR="00E91DD6">
        <w:t xml:space="preserve">s </w:t>
      </w:r>
      <w:r w:rsidR="00FD7D4F">
        <w:t xml:space="preserve">what are weighted average </w:t>
      </w:r>
      <w:r w:rsidR="00E91DD6">
        <w:t xml:space="preserve">Fisher’s </w:t>
      </w:r>
      <w:r w:rsidR="00E91DD6">
        <w:rPr>
          <w:i/>
          <w:iCs/>
        </w:rPr>
        <w:t>r</w:t>
      </w:r>
      <w:r w:rsidR="00E91DD6" w:rsidRPr="00E91DD6">
        <w:t>-to-</w:t>
      </w:r>
      <w:r w:rsidR="00E91DD6">
        <w:rPr>
          <w:i/>
          <w:iCs/>
        </w:rPr>
        <w:t>z</w:t>
      </w:r>
      <w:r w:rsidR="00E91DD6" w:rsidRPr="00E91DD6">
        <w:t xml:space="preserve"> transformed</w:t>
      </w:r>
      <w:r w:rsidR="00FD7D4F" w:rsidRPr="00E91DD6">
        <w:t xml:space="preserve"> </w:t>
      </w:r>
      <w:r w:rsidR="00FD7D4F" w:rsidRPr="00FD7D4F">
        <w:t>values as</w:t>
      </w:r>
      <w:r w:rsidR="00FD7D4F">
        <w:rPr>
          <w:i/>
          <w:iCs/>
        </w:rPr>
        <w:t xml:space="preserve"> </w:t>
      </w:r>
      <w:r w:rsidR="00FD7D4F" w:rsidRPr="00FD7D4F">
        <w:t>weighted average</w:t>
      </w:r>
      <w:r w:rsidR="00FD7D4F">
        <w:rPr>
          <w:i/>
          <w:iCs/>
        </w:rPr>
        <w:t xml:space="preserve"> r</w:t>
      </w:r>
      <w:r w:rsidR="00FD7D4F" w:rsidRPr="00FD7D4F">
        <w:t xml:space="preserve"> values.</w:t>
      </w:r>
      <w:r w:rsidR="00FD7D4F">
        <w:t xml:space="preserve"> </w:t>
      </w:r>
    </w:p>
    <w:p w14:paraId="6FC18E8A" w14:textId="77777777" w:rsidR="00F862D8" w:rsidRDefault="00F862D8" w:rsidP="00F862D8"/>
    <w:p w14:paraId="08411F4F" w14:textId="05CF46C2" w:rsidR="00F862D8" w:rsidRPr="00F862D8" w:rsidRDefault="00F862D8" w:rsidP="00F862D8">
      <w:pPr>
        <w:ind w:firstLine="0"/>
        <w:rPr>
          <w:b/>
          <w:bCs/>
        </w:rPr>
      </w:pPr>
      <w:r w:rsidRPr="00F862D8">
        <w:rPr>
          <w:b/>
          <w:bCs/>
        </w:rPr>
        <w:t xml:space="preserve">Figure </w:t>
      </w:r>
      <w:r w:rsidR="00157B0C">
        <w:rPr>
          <w:b/>
          <w:bCs/>
        </w:rPr>
        <w:t>2</w:t>
      </w:r>
      <w:r w:rsidRPr="00F862D8">
        <w:rPr>
          <w:b/>
          <w:bCs/>
        </w:rPr>
        <w:t xml:space="preserve">. </w:t>
      </w:r>
      <w:r w:rsidR="00B21A2E">
        <w:rPr>
          <w:b/>
          <w:bCs/>
        </w:rPr>
        <w:t>Discrepancies between the data in the original f</w:t>
      </w:r>
      <w:r>
        <w:rPr>
          <w:b/>
          <w:bCs/>
        </w:rPr>
        <w:t xml:space="preserve">unnel plot </w:t>
      </w:r>
      <w:r w:rsidR="00B21A2E">
        <w:rPr>
          <w:b/>
          <w:bCs/>
        </w:rPr>
        <w:t xml:space="preserve">vs. forest plot. </w:t>
      </w:r>
    </w:p>
    <w:p w14:paraId="2678D8AD" w14:textId="68ECBE03" w:rsidR="00F862D8" w:rsidRDefault="00F862D8" w:rsidP="00F862D8">
      <w:pPr>
        <w:ind w:firstLine="0"/>
      </w:pPr>
      <w:r>
        <w:rPr>
          <w:noProof/>
        </w:rPr>
        <w:drawing>
          <wp:inline distT="0" distB="0" distL="0" distR="0" wp14:anchorId="5D425EFE" wp14:editId="42BF3769">
            <wp:extent cx="2755900" cy="2379345"/>
            <wp:effectExtent l="0" t="0" r="0" b="0"/>
            <wp:docPr id="2015480290" name="Picture 5" descr="A diagram of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80290" name="Picture 5" descr="A diagram of a point&#10;&#10;Description automatically generated"/>
                    <pic:cNvPicPr/>
                  </pic:nvPicPr>
                  <pic:blipFill>
                    <a:blip r:embed="rId13"/>
                    <a:stretch>
                      <a:fillRect/>
                    </a:stretch>
                  </pic:blipFill>
                  <pic:spPr>
                    <a:xfrm>
                      <a:off x="0" y="0"/>
                      <a:ext cx="2755900" cy="2379345"/>
                    </a:xfrm>
                    <a:prstGeom prst="rect">
                      <a:avLst/>
                    </a:prstGeom>
                  </pic:spPr>
                </pic:pic>
              </a:graphicData>
            </a:graphic>
          </wp:inline>
        </w:drawing>
      </w:r>
    </w:p>
    <w:p w14:paraId="6B051684" w14:textId="565630BA" w:rsidR="00B21A2E" w:rsidRDefault="00B21A2E" w:rsidP="00F862D8">
      <w:pPr>
        <w:ind w:firstLine="0"/>
      </w:pPr>
      <w:r>
        <w:t xml:space="preserve">Note: </w:t>
      </w:r>
      <w:r w:rsidR="008B57B9">
        <w:t xml:space="preserve">This plot was </w:t>
      </w:r>
      <w:r w:rsidRPr="00B21A2E">
        <w:t>created from Vahey et al.’s (2015) results reported in their forest plot (their Figure 1) vs. their funnel plot</w:t>
      </w:r>
      <w:r w:rsidR="008B57B9">
        <w:t xml:space="preserve"> (their Figure 2)</w:t>
      </w:r>
      <w:r w:rsidRPr="00B21A2E">
        <w:t>. The black dot refers to the location of one weighted mean effect size according to their forest plot. The red dot asterisk refers to its approximate location in their funnel plot (their Figure 2).</w:t>
      </w:r>
      <w:r w:rsidR="00B53296">
        <w:t xml:space="preserve"> Circles refer to data points that matched between the two plots.</w:t>
      </w:r>
    </w:p>
    <w:p w14:paraId="2A205666" w14:textId="77777777" w:rsidR="00367018" w:rsidRDefault="00367018" w:rsidP="00F862D8">
      <w:pPr>
        <w:pStyle w:val="Heading3"/>
      </w:pPr>
    </w:p>
    <w:p w14:paraId="429E4E9B" w14:textId="77777777" w:rsidR="00B53296" w:rsidRDefault="00B53296" w:rsidP="00F862D8">
      <w:pPr>
        <w:pStyle w:val="Heading3"/>
      </w:pPr>
    </w:p>
    <w:p w14:paraId="41D42D8D" w14:textId="43983E64" w:rsidR="00F862D8" w:rsidRPr="00F862D8" w:rsidRDefault="003B75A5" w:rsidP="00F862D8">
      <w:pPr>
        <w:pStyle w:val="Heading3"/>
      </w:pPr>
      <w:r>
        <w:t>Data in the f</w:t>
      </w:r>
      <w:r w:rsidR="00F862D8" w:rsidRPr="00F862D8">
        <w:t>unnel plot</w:t>
      </w:r>
      <w:r>
        <w:t xml:space="preserve"> does not match the forest plot</w:t>
      </w:r>
    </w:p>
    <w:p w14:paraId="03E4418F" w14:textId="2FB44CDA" w:rsidR="00F862D8" w:rsidRDefault="00F862D8" w:rsidP="00F862D8">
      <w:r>
        <w:t xml:space="preserve">Vahey et al. (2015) also reported their weighted average effect size estimates in a funnel plot (see their Figure 2). However, when I created a funnel plot from the results reported in their forest plot, one of the data points did not match their funnel plot. See Figure </w:t>
      </w:r>
      <w:r w:rsidR="00B45F73">
        <w:t>2</w:t>
      </w:r>
      <w:r>
        <w:t xml:space="preserve"> which illustrates this discrepancy. This suggests that the funnel plot and the forest plot were created from slightly different data sets. It is unclear which one represents the ‘correct’ data set (especially </w:t>
      </w:r>
      <w:proofErr w:type="gramStart"/>
      <w:r>
        <w:t>in light of</w:t>
      </w:r>
      <w:proofErr w:type="gramEnd"/>
      <w:r>
        <w:t xml:space="preserve"> </w:t>
      </w:r>
      <w:r w:rsidR="00367018">
        <w:t>section on ‘a</w:t>
      </w:r>
      <w:r w:rsidR="00367018" w:rsidRPr="00367018">
        <w:t>verage effect sizes</w:t>
      </w:r>
      <w:r w:rsidR="00367018">
        <w:t>’ that I discuss later</w:t>
      </w:r>
      <w:r>
        <w:t xml:space="preserve">), but this speaks to the broader pattern of non-reproducibility and internal inconsistencies in Vahey et al.’s (2015) results. </w:t>
      </w:r>
    </w:p>
    <w:p w14:paraId="381C4B2C" w14:textId="77777777" w:rsidR="00F862D8" w:rsidRPr="00F862D8" w:rsidRDefault="00F862D8" w:rsidP="00F862D8">
      <w:pPr>
        <w:pStyle w:val="Heading3"/>
      </w:pPr>
      <w:r w:rsidRPr="00F862D8">
        <w:t>Implementation of the meta-analysis</w:t>
      </w:r>
    </w:p>
    <w:p w14:paraId="307CA4D6" w14:textId="77777777" w:rsidR="00F862D8" w:rsidRDefault="00F862D8" w:rsidP="00F862D8">
      <w:r w:rsidRPr="00034410">
        <w:t xml:space="preserve">Vahey et al. (2015) stated that they employed a Hunter &amp; Schmidt style meta-analysis and cited Field &amp; Gillett (2010). </w:t>
      </w:r>
      <w:r>
        <w:t xml:space="preserve">In personal correspondence with Vahey, he stated it should in principle be possible to reconstruct their analytic strategy and results from the code provided by Field &amp; Gillett (2010), but he declined to share the actual code used in Vahey et al. (2015). In practice, it was surprisingly difficult to reconstruct what was done because of multiple discrepancies both (a) between Field &amp; Gillett (2010) and Vahey et al. (2015) and (b) within Vahey et al. (2015) itself, as I will now discuss. </w:t>
      </w:r>
    </w:p>
    <w:p w14:paraId="38CC7504" w14:textId="77777777" w:rsidR="00F862D8" w:rsidRDefault="00F862D8" w:rsidP="00F862D8">
      <w:r>
        <w:t xml:space="preserve">Field &amp; Gillett (2010) describe and provide code for two different ways of conducting meta-analyses: a Hedges style “basic” meta-analysis and a Hunter and Schmidt style psychometric meta-analysis. Despite Vahey et al. (2015) stating that they applied the Hunter and Schmidt approach, multiple features of this approach are missing from their results (e.g., no correction for the reliability of the measures used to generate the correlation), and other features that are unique to the Hedges’ style meta-analysis were reported (e.g., calculation of Confidence Intervals, e.g., p. 63; apparent use of Fisher’s </w:t>
      </w:r>
      <w:r w:rsidRPr="00217015">
        <w:rPr>
          <w:i/>
          <w:iCs/>
        </w:rPr>
        <w:t>r</w:t>
      </w:r>
      <w:r>
        <w:t>-to-</w:t>
      </w:r>
      <w:r w:rsidRPr="00217015">
        <w:rPr>
          <w:i/>
          <w:iCs/>
        </w:rPr>
        <w:t>z</w:t>
      </w:r>
      <w:r>
        <w:t xml:space="preserve"> transformation, e.g., Figure 2).  </w:t>
      </w:r>
    </w:p>
    <w:p w14:paraId="16B1FB0A" w14:textId="77777777" w:rsidR="00F862D8" w:rsidRDefault="00F862D8" w:rsidP="00F862D8">
      <w:proofErr w:type="gramStart"/>
      <w:r>
        <w:t>In order to</w:t>
      </w:r>
      <w:proofErr w:type="gramEnd"/>
      <w:r>
        <w:t xml:space="preserve"> attempt to verify the original results, I downloaded the </w:t>
      </w:r>
      <w:r w:rsidRPr="00034410">
        <w:t xml:space="preserve">accompanying materials for Field &amp; Gillett (2010) </w:t>
      </w:r>
      <w:r>
        <w:t xml:space="preserve">from </w:t>
      </w:r>
      <w:r w:rsidRPr="00034410">
        <w:t>Field’s website. This contained two different SPSS scripts, “</w:t>
      </w:r>
      <w:proofErr w:type="spellStart"/>
      <w:r w:rsidRPr="00034410">
        <w:t>Meta_Basic_r.sps</w:t>
      </w:r>
      <w:proofErr w:type="spellEnd"/>
      <w:r w:rsidRPr="00034410">
        <w:t>” and “</w:t>
      </w:r>
      <w:proofErr w:type="spellStart"/>
      <w:r w:rsidRPr="00034410">
        <w:t>h_s</w:t>
      </w:r>
      <w:proofErr w:type="spellEnd"/>
      <w:r w:rsidRPr="00034410">
        <w:t xml:space="preserve"> </w:t>
      </w:r>
      <w:proofErr w:type="spellStart"/>
      <w:r w:rsidRPr="00034410">
        <w:t>syntax.sps</w:t>
      </w:r>
      <w:proofErr w:type="spellEnd"/>
      <w:r w:rsidRPr="00034410">
        <w:t>”.</w:t>
      </w:r>
      <w:r w:rsidRPr="009C5108">
        <w:t xml:space="preserve"> </w:t>
      </w:r>
      <w:r>
        <w:t>Confusingly, both scripts contain code to produce Hunter and Schmidt style meta-analyses, with the former also producing a Hedges style ‘basic’ meta-analysis.</w:t>
      </w:r>
    </w:p>
    <w:p w14:paraId="44F86747" w14:textId="77777777" w:rsidR="00F862D8" w:rsidRPr="00034410" w:rsidRDefault="00F862D8" w:rsidP="00F862D8">
      <w:r w:rsidRPr="00034410">
        <w:t xml:space="preserve">The code in these scripts was examined </w:t>
      </w:r>
      <w:proofErr w:type="gramStart"/>
      <w:r w:rsidRPr="00034410">
        <w:t>in order to</w:t>
      </w:r>
      <w:proofErr w:type="gramEnd"/>
      <w:r w:rsidRPr="00034410">
        <w:t xml:space="preserve"> determine whether they (individually or jointly) were capable of calculating the various values that were reported in Vahey et al. (2015). That is, agnostic to the numerical results </w:t>
      </w:r>
      <w:proofErr w:type="gramStart"/>
      <w:r w:rsidRPr="00034410">
        <w:t>actually produced</w:t>
      </w:r>
      <w:proofErr w:type="gramEnd"/>
      <w:r w:rsidRPr="00034410">
        <w:t xml:space="preserve"> by running the scripts, I first assessed whether these scripts were capable of producing (a) all of the variables that Vahey et al. (2015) reported and (b) producing them in an unambiguous way (i.e., only calculating a given variable via one method). Inspection of these two scripts showed </w:t>
      </w:r>
      <w:r w:rsidRPr="00034410">
        <w:lastRenderedPageBreak/>
        <w:t>that neither script was capable of computationally reproducing all four of</w:t>
      </w:r>
      <w:r>
        <w:t>:</w:t>
      </w:r>
      <w:r w:rsidRPr="00034410">
        <w:t xml:space="preserve"> the forest plot, the meta-analytic point estimate, the </w:t>
      </w:r>
      <w:r>
        <w:t>Confidence Interval</w:t>
      </w:r>
      <w:r w:rsidRPr="00034410">
        <w:t xml:space="preserve">s, and the </w:t>
      </w:r>
      <w:r>
        <w:t>Credibility Interval</w:t>
      </w:r>
      <w:r w:rsidRPr="00034410">
        <w:t xml:space="preserve">s. </w:t>
      </w:r>
      <w:r>
        <w:t>Additionally</w:t>
      </w:r>
      <w:r w:rsidRPr="00034410">
        <w:t xml:space="preserve">, </w:t>
      </w:r>
      <w:r>
        <w:t xml:space="preserve">and more problematically, </w:t>
      </w:r>
      <w:r w:rsidRPr="00034410">
        <w:t xml:space="preserve">the scripts were also not capable of jointly reproducing the variables reported in Vahey et al. (2015) in an unambiguous way, because they implemented slightly different methods. </w:t>
      </w:r>
    </w:p>
    <w:p w14:paraId="089EF4ED" w14:textId="77777777" w:rsidR="00F862D8" w:rsidRPr="00034410" w:rsidRDefault="00F862D8" w:rsidP="00F862D8">
      <w:r w:rsidRPr="00E32820">
        <w:rPr>
          <w:highlight w:val="yellow"/>
        </w:rPr>
        <w:t>Specifically, on the one hand, the “</w:t>
      </w:r>
      <w:proofErr w:type="spellStart"/>
      <w:r w:rsidRPr="00E32820">
        <w:rPr>
          <w:highlight w:val="yellow"/>
        </w:rPr>
        <w:t>Meta_Basic_R.sps</w:t>
      </w:r>
      <w:proofErr w:type="spellEnd"/>
      <w:r w:rsidRPr="00E32820">
        <w:rPr>
          <w:highlight w:val="yellow"/>
        </w:rPr>
        <w:t xml:space="preserve">” script applies an Overton transformation to the Pearson’s </w:t>
      </w:r>
      <w:r w:rsidRPr="00E32820">
        <w:rPr>
          <w:i/>
          <w:iCs/>
          <w:highlight w:val="yellow"/>
        </w:rPr>
        <w:t>r</w:t>
      </w:r>
      <w:r w:rsidRPr="00E32820">
        <w:rPr>
          <w:highlight w:val="yellow"/>
        </w:rPr>
        <w:t xml:space="preserve"> correlations prior to analysis, whereas “</w:t>
      </w:r>
      <w:proofErr w:type="spellStart"/>
      <w:r w:rsidRPr="00E32820">
        <w:rPr>
          <w:highlight w:val="yellow"/>
        </w:rPr>
        <w:t>h_s</w:t>
      </w:r>
      <w:proofErr w:type="spellEnd"/>
      <w:r w:rsidRPr="00E32820">
        <w:rPr>
          <w:highlight w:val="yellow"/>
        </w:rPr>
        <w:t xml:space="preserve"> </w:t>
      </w:r>
      <w:proofErr w:type="spellStart"/>
      <w:r w:rsidRPr="00E32820">
        <w:rPr>
          <w:highlight w:val="yellow"/>
        </w:rPr>
        <w:t>syntax.sps</w:t>
      </w:r>
      <w:proofErr w:type="spellEnd"/>
      <w:r w:rsidRPr="00E32820">
        <w:rPr>
          <w:highlight w:val="yellow"/>
        </w:rPr>
        <w:t>” did not. Field &amp; Gillett (2010) state that the Overton transformation should only be employed in a Hedges’ style meta-analysis and not the Hunter &amp; Schmidt method (i.e., this is Field &amp; Gillet’s incongruity and not Vahey et al.’s).</w:t>
      </w:r>
      <w:r w:rsidRPr="00034410">
        <w:t xml:space="preserve"> In addition to this, this script does not calculate </w:t>
      </w:r>
      <w:r>
        <w:t>Confidence Interval</w:t>
      </w:r>
      <w:r w:rsidRPr="00034410">
        <w:t>s for Hunter &amp; Schmidt style meta-analyses. On the other hand, the “</w:t>
      </w:r>
      <w:proofErr w:type="spellStart"/>
      <w:r w:rsidRPr="00034410">
        <w:t>h_s</w:t>
      </w:r>
      <w:proofErr w:type="spellEnd"/>
      <w:r w:rsidRPr="00034410">
        <w:t xml:space="preserve"> </w:t>
      </w:r>
      <w:proofErr w:type="spellStart"/>
      <w:r w:rsidRPr="00034410">
        <w:t>syntax.sps</w:t>
      </w:r>
      <w:proofErr w:type="spellEnd"/>
      <w:r w:rsidRPr="00034410">
        <w:t xml:space="preserve">” script requires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Pr="00034410">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Pr="00034410">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034410">
        <w:t xml:space="preserve">) </w:t>
      </w:r>
      <w:proofErr w:type="gramStart"/>
      <w:r w:rsidRPr="00034410">
        <w:t>in order to</w:t>
      </w:r>
      <w:proofErr w:type="gramEnd"/>
      <w:r w:rsidRPr="00034410">
        <w:t xml:space="preserve"> correct the meta-estimates for attenuation. Vahey et al. (2015) did not report extracting or using reliability estimates in this way in their </w:t>
      </w:r>
      <w:r>
        <w:t>article</w:t>
      </w:r>
      <w:r w:rsidRPr="00034410">
        <w:t xml:space="preserve"> or supplementary materials. </w:t>
      </w:r>
      <w:r w:rsidRPr="00F637FC">
        <w:rPr>
          <w:highlight w:val="green"/>
        </w:rPr>
        <w:t xml:space="preserve">This script does calculate </w:t>
      </w:r>
      <w:r>
        <w:rPr>
          <w:highlight w:val="green"/>
        </w:rPr>
        <w:t>Confidence Interval</w:t>
      </w:r>
      <w:r w:rsidRPr="00F637FC">
        <w:rPr>
          <w:highlight w:val="green"/>
        </w:rPr>
        <w:t>s on the meta-estimate but not the individual effect sizes, therefore the forest plot could not be reproduced from this script.</w:t>
      </w:r>
      <w:r w:rsidRPr="00034410">
        <w:t xml:space="preserve"> </w:t>
      </w:r>
    </w:p>
    <w:p w14:paraId="5526CB50" w14:textId="77777777" w:rsidR="00F862D8" w:rsidRPr="00034410" w:rsidRDefault="00F862D8" w:rsidP="00F862D8">
      <w:r w:rsidRPr="00034410">
        <w:t xml:space="preserve">Other than the above divergences, the code in each script was confirmed to accuracy implement the equations described in Field &amp; Gillett (2010; </w:t>
      </w:r>
      <w:r w:rsidRPr="00AA2823">
        <w:rPr>
          <w:highlight w:val="yellow"/>
        </w:rPr>
        <w:t>documentation of this validation is available in the supplementary materials</w:t>
      </w:r>
      <w:r w:rsidRPr="00034410">
        <w:t xml:space="preserve">). As such, in the absence of additional information, the two scripts provided by Field &amp; Gillett (2010) were therefore not capable of fully and unambiguously reproducing the same variables as those reported in Vahey et al. (2015) without further alternation. </w:t>
      </w:r>
      <w:proofErr w:type="gramStart"/>
      <w:r w:rsidRPr="00034410">
        <w:t>In light of</w:t>
      </w:r>
      <w:proofErr w:type="gramEnd"/>
      <w:r w:rsidRPr="00034410">
        <w:t xml:space="preserve"> this, I therefore altered the implementations in multiple ways in order to attempt to reproduce Vahey et al.’s (2015) results. </w:t>
      </w:r>
    </w:p>
    <w:p w14:paraId="4C52A423" w14:textId="77777777" w:rsidR="00F862D8" w:rsidRPr="00034410" w:rsidRDefault="00F862D8" w:rsidP="007170F9">
      <w:pPr>
        <w:pStyle w:val="Heading3"/>
      </w:pPr>
      <w:r w:rsidRPr="00034410">
        <w:t>Definition</w:t>
      </w:r>
      <w:r>
        <w:t>s</w:t>
      </w:r>
      <w:r w:rsidRPr="00034410">
        <w:t xml:space="preserve"> of </w:t>
      </w:r>
      <w:r>
        <w:t>different</w:t>
      </w:r>
      <w:r w:rsidRPr="00034410">
        <w:t xml:space="preserve"> intervals</w:t>
      </w:r>
    </w:p>
    <w:p w14:paraId="196FB805" w14:textId="77777777" w:rsidR="00F862D8" w:rsidRDefault="00F862D8" w:rsidP="00F862D8">
      <w:r w:rsidRPr="00034410">
        <w:t xml:space="preserve">Vahey et al. (2015) report </w:t>
      </w:r>
      <w:r>
        <w:t xml:space="preserve">both Confidence Intervals (CI) and Credibility Intervals (CR which </w:t>
      </w:r>
      <w:r w:rsidRPr="00034410">
        <w:t xml:space="preserve">attempt to estimate the generalizability of the meta-effect size </w:t>
      </w:r>
      <w:r>
        <w:fldChar w:fldCharType="begin"/>
      </w:r>
      <w:r>
        <w:instrText xml:space="preserve"> ADDIN ZOTERO_ITEM CSL_CITATION {"citationID":"7TL7OAQf","properties":{"formattedCitation":"(Field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fldChar w:fldCharType="separate"/>
      </w:r>
      <w:r>
        <w:rPr>
          <w:noProof/>
        </w:rPr>
        <w:t>(Field &amp; Gillett, 2010; Hunter &amp; Schmidt, 2004)</w:t>
      </w:r>
      <w:r>
        <w:fldChar w:fldCharType="end"/>
      </w:r>
      <w:r>
        <w:t xml:space="preserve">. </w:t>
      </w:r>
    </w:p>
    <w:p w14:paraId="6DF36178" w14:textId="77777777" w:rsidR="00F862D8" w:rsidRDefault="00F862D8" w:rsidP="00F862D8">
      <w:r w:rsidRPr="00034410">
        <w:t>Vahey et al. (2015) state that such “</w:t>
      </w:r>
      <w:r>
        <w:t>Credibility Interval</w:t>
      </w:r>
      <w:r w:rsidRPr="00034410">
        <w:t xml:space="preserve">s are generally wider and thus more conservative than corresponding </w:t>
      </w:r>
      <w:r>
        <w:t>Confidence Interval</w:t>
      </w:r>
      <w:r w:rsidRPr="00034410">
        <w:t>s” (p.61)</w:t>
      </w:r>
      <w:r>
        <w:t xml:space="preserve">, however this is not the case: Confidence Intervals and Credibility Intervals have different </w:t>
      </w:r>
      <w:proofErr w:type="spellStart"/>
      <w:r>
        <w:t>estimands</w:t>
      </w:r>
      <w:proofErr w:type="spellEnd"/>
      <w:r>
        <w:t xml:space="preserve"> and therefore the two have no correlation. Confidence Intervals quantify the precision of the estimate given sampling error (i.e., </w:t>
      </w:r>
      <w:r w:rsidRPr="00C41F31">
        <w:t xml:space="preserve">within-study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C41F31">
        <w:t xml:space="preserve">), whereas </w:t>
      </w:r>
      <w:r>
        <w:t>Credibility Intervals</w:t>
      </w:r>
      <w:r w:rsidRPr="00C41F31">
        <w:t xml:space="preserve"> are a function of between-study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C41F31">
        <w:t>: see Field &amp; Gillett, 2010, equations 2, 3, 4, and 5). A third type of interval, Prediction Intervals (PI) take both into account, and</w:t>
      </w:r>
      <w:r>
        <w:t xml:space="preserve"> are often reported for meta-analyses</w:t>
      </w:r>
      <w:r w:rsidRPr="00034410">
        <w:t xml:space="preserve"> </w:t>
      </w:r>
      <w:r>
        <w:t xml:space="preserve">(e.g., </w:t>
      </w:r>
      <w:r>
        <w:t xml:space="preserve">within the </w:t>
      </w:r>
      <w:proofErr w:type="spellStart"/>
      <w:r>
        <w:t>metafor</w:t>
      </w:r>
      <w:proofErr w:type="spellEnd"/>
      <w:r>
        <w:t xml:space="preserve"> R package). It is true that PIs are at least as wide as Confidence Intervals, and however this is not because they are more ‘conservative’ that Confidence Intervals but because they quantify a </w:t>
      </w:r>
      <w:proofErr w:type="gramStart"/>
      <w:r>
        <w:t>different properties</w:t>
      </w:r>
      <w:proofErr w:type="gramEnd"/>
      <w:r>
        <w:t xml:space="preserve"> under different assumptions. It is unclear whether this discrepancy in Vahey et al. (2015) was due to (a) a </w:t>
      </w:r>
      <w:proofErr w:type="gramStart"/>
      <w:r>
        <w:t>misinterpretations of Credibility Intervals</w:t>
      </w:r>
      <w:proofErr w:type="gramEnd"/>
      <w:r>
        <w:t xml:space="preserve">, or (b) whether they actually calculated PIs but mislabelled them as Credibility Intervals. </w:t>
      </w:r>
    </w:p>
    <w:p w14:paraId="2CEF27A4" w14:textId="77777777" w:rsidR="00F862D8" w:rsidRDefault="00F862D8" w:rsidP="00F862D8">
      <w:proofErr w:type="gramStart"/>
      <w:r>
        <w:t>In order to</w:t>
      </w:r>
      <w:proofErr w:type="gramEnd"/>
      <w:r>
        <w:t xml:space="preserve"> attempt to resolve this for the purpose of verification, it is useful to define all three to highlight the differences between them: </w:t>
      </w:r>
    </w:p>
    <w:p w14:paraId="6DD07965" w14:textId="77777777" w:rsidR="00F862D8" w:rsidRPr="00073AA3" w:rsidRDefault="00F862D8" w:rsidP="00F862D8"/>
    <w:p w14:paraId="71CE0815" w14:textId="77777777" w:rsidR="00F862D8" w:rsidRPr="00073AA3" w:rsidRDefault="00F862D8" w:rsidP="00F862D8">
      <m:oMathPara>
        <m:oMath>
          <m:eqArr>
            <m:eqArrPr>
              <m:maxDist m:val="1"/>
              <m:ctrlPr>
                <w:rPr>
                  <w:rFonts w:ascii="Cambria Math" w:hAnsi="Cambria Math"/>
                  <w:i/>
                  <w:sz w:val="20"/>
                  <w:szCs w:val="20"/>
                </w:rPr>
              </m:ctrlPr>
            </m:eqArrPr>
            <m:e>
              <m:r>
                <m:rPr>
                  <m:sty m:val="p"/>
                </m:rPr>
                <w:rPr>
                  <w:rFonts w:ascii="Cambria Math" w:hAnsi="Cambria Math"/>
                </w:rPr>
                <m:t xml:space="preserve">95% </m:t>
              </m:r>
              <m:r>
                <m:rPr>
                  <m:sty m:val="p"/>
                </m:rPr>
                <w:rPr>
                  <w:rFonts w:ascii="Cambria Math" w:hAnsi="Cambria Math"/>
                </w:rPr>
                <m:t>CI</m:t>
              </m:r>
              <m:r>
                <m:rPr>
                  <m:sty m:val="p"/>
                </m:rPr>
                <w:rPr>
                  <w:rFonts w:ascii="Cambria Math" w:hAnsi="Cambria Math"/>
                </w:rPr>
                <m:t>=</m:t>
              </m:r>
              <m:acc>
                <m:accPr>
                  <m:chr m:val="̅"/>
                  <m:ctrlPr>
                    <w:rPr>
                      <w:rFonts w:ascii="Cambria Math" w:hAnsi="Cambria Math"/>
                      <w:sz w:val="20"/>
                      <w:szCs w:val="20"/>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sz w:val="20"/>
                      <w:szCs w:val="20"/>
                    </w:rPr>
                  </m:ctrlPr>
                </m:radPr>
                <m:deg/>
                <m:e>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σ</m:t>
                          </m:r>
                        </m:e>
                      </m:acc>
                    </m:e>
                    <m:sup>
                      <m:r>
                        <m:rPr>
                          <m:sty m:val="p"/>
                        </m:rPr>
                        <w:rPr>
                          <w:rFonts w:ascii="Cambria Math" w:hAnsi="Cambria Math"/>
                        </w:rPr>
                        <m:t>2</m:t>
                      </m:r>
                    </m:sup>
                  </m:sSup>
                </m:e>
              </m:rad>
              <m:r>
                <w:rPr>
                  <w:rFonts w:ascii="Cambria Math" w:hAnsi="Cambria Math"/>
                  <w:sz w:val="20"/>
                  <w:szCs w:val="20"/>
                </w:rPr>
                <m:t xml:space="preserve"> </m:t>
              </m:r>
              <m:r>
                <w:rPr>
                  <w:rFonts w:ascii="Cambria Math" w:hAnsi="Cambria Math"/>
                </w:rPr>
                <m:t>#</m:t>
              </m:r>
              <m:d>
                <m:dPr>
                  <m:ctrlPr>
                    <w:rPr>
                      <w:rFonts w:ascii="Cambria Math" w:hAnsi="Cambria Math"/>
                      <w:i/>
                      <w:sz w:val="20"/>
                      <w:szCs w:val="20"/>
                    </w:rPr>
                  </m:ctrlPr>
                </m:dPr>
                <m:e>
                  <m:r>
                    <w:rPr>
                      <w:rFonts w:ascii="Cambria Math" w:hAnsi="Cambria Math"/>
                      <w:sz w:val="20"/>
                      <w:szCs w:val="20"/>
                    </w:rPr>
                    <m:t>2</m:t>
                  </m:r>
                </m:e>
              </m:d>
              <m:ctrlPr>
                <w:rPr>
                  <w:rFonts w:ascii="Cambria Math" w:hAnsi="Cambria Math"/>
                  <w:i/>
                </w:rPr>
              </m:ctrlPr>
            </m:e>
          </m:eqArr>
        </m:oMath>
      </m:oMathPara>
    </w:p>
    <w:p w14:paraId="0818F928" w14:textId="77777777" w:rsidR="00F862D8" w:rsidRPr="00073AA3" w:rsidRDefault="00F862D8" w:rsidP="00F862D8">
      <w:pPr>
        <w:ind w:firstLine="0"/>
      </w:pPr>
    </w:p>
    <w:p w14:paraId="411B19D2" w14:textId="77777777" w:rsidR="00F862D8" w:rsidRPr="00073AA3" w:rsidRDefault="00F862D8" w:rsidP="00F862D8">
      <m:oMathPara>
        <m:oMath>
          <m:eqArr>
            <m:eqArrPr>
              <m:maxDist m:val="1"/>
              <m:ctrlPr>
                <w:rPr>
                  <w:rFonts w:ascii="Cambria Math" w:hAnsi="Cambria Math"/>
                  <w:i/>
                  <w:sz w:val="20"/>
                  <w:szCs w:val="20"/>
                </w:rPr>
              </m:ctrlPr>
            </m:eqArrPr>
            <m:e>
              <m:r>
                <m:rPr>
                  <m:sty m:val="p"/>
                </m:rPr>
                <w:rPr>
                  <w:rFonts w:ascii="Cambria Math" w:hAnsi="Cambria Math"/>
                </w:rPr>
                <m:t xml:space="preserve">95% </m:t>
              </m:r>
              <m:r>
                <m:rPr>
                  <m:sty m:val="p"/>
                </m:rPr>
                <w:rPr>
                  <w:rFonts w:ascii="Cambria Math" w:hAnsi="Cambria Math"/>
                </w:rPr>
                <m:t>CR</m:t>
              </m:r>
              <m:r>
                <m:rPr>
                  <m:sty m:val="p"/>
                </m:rPr>
                <w:rPr>
                  <w:rFonts w:ascii="Cambria Math" w:hAnsi="Cambria Math"/>
                </w:rPr>
                <m:t>=</m:t>
              </m:r>
              <m:acc>
                <m:accPr>
                  <m:chr m:val="̅"/>
                  <m:ctrlPr>
                    <w:rPr>
                      <w:rFonts w:ascii="Cambria Math" w:hAnsi="Cambria Math"/>
                      <w:sz w:val="20"/>
                      <w:szCs w:val="20"/>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sz w:val="20"/>
                      <w:szCs w:val="20"/>
                    </w:rPr>
                  </m:ctrlPr>
                </m:radPr>
                <m:deg/>
                <m:e>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τ</m:t>
                          </m:r>
                        </m:e>
                      </m:acc>
                    </m:e>
                    <m:sup>
                      <m:r>
                        <m:rPr>
                          <m:sty m:val="p"/>
                        </m:rPr>
                        <w:rPr>
                          <w:rFonts w:ascii="Cambria Math" w:hAnsi="Cambria Math"/>
                        </w:rPr>
                        <m:t>2</m:t>
                      </m:r>
                    </m:sup>
                  </m:sSup>
                </m:e>
              </m:rad>
              <m:r>
                <w:rPr>
                  <w:rFonts w:ascii="Cambria Math" w:hAnsi="Cambria Math"/>
                  <w:sz w:val="20"/>
                  <w:szCs w:val="20"/>
                </w:rPr>
                <m:t xml:space="preserve"> </m:t>
              </m:r>
              <m:r>
                <w:rPr>
                  <w:rFonts w:ascii="Cambria Math" w:hAnsi="Cambria Math"/>
                </w:rPr>
                <m:t>#</m:t>
              </m:r>
              <m:d>
                <m:dPr>
                  <m:ctrlPr>
                    <w:rPr>
                      <w:rFonts w:ascii="Cambria Math" w:hAnsi="Cambria Math"/>
                      <w:i/>
                      <w:sz w:val="20"/>
                      <w:szCs w:val="20"/>
                    </w:rPr>
                  </m:ctrlPr>
                </m:dPr>
                <m:e>
                  <m:r>
                    <w:rPr>
                      <w:rFonts w:ascii="Cambria Math" w:hAnsi="Cambria Math"/>
                      <w:sz w:val="20"/>
                      <w:szCs w:val="20"/>
                    </w:rPr>
                    <m:t>3</m:t>
                  </m:r>
                </m:e>
              </m:d>
              <m:ctrlPr>
                <w:rPr>
                  <w:rFonts w:ascii="Cambria Math" w:hAnsi="Cambria Math"/>
                  <w:i/>
                </w:rPr>
              </m:ctrlPr>
            </m:e>
          </m:eqArr>
        </m:oMath>
      </m:oMathPara>
    </w:p>
    <w:p w14:paraId="47BA6029" w14:textId="77777777" w:rsidR="00F862D8" w:rsidRPr="00073AA3" w:rsidRDefault="00F862D8" w:rsidP="00F862D8">
      <w:pPr>
        <w:ind w:firstLine="0"/>
      </w:pPr>
    </w:p>
    <w:p w14:paraId="5407DAB0" w14:textId="77777777" w:rsidR="00F862D8" w:rsidRPr="00073AA3" w:rsidRDefault="00F862D8" w:rsidP="00F862D8">
      <m:oMathPara>
        <m:oMath>
          <m:eqArr>
            <m:eqArrPr>
              <m:maxDist m:val="1"/>
              <m:ctrlPr>
                <w:rPr>
                  <w:rFonts w:ascii="Cambria Math" w:hAnsi="Cambria Math"/>
                  <w:i/>
                  <w:sz w:val="20"/>
                  <w:szCs w:val="20"/>
                </w:rPr>
              </m:ctrlPr>
            </m:eqArrPr>
            <m:e>
              <m:r>
                <m:rPr>
                  <m:sty m:val="p"/>
                </m:rPr>
                <w:rPr>
                  <w:rFonts w:ascii="Cambria Math" w:hAnsi="Cambria Math"/>
                </w:rPr>
                <m:t xml:space="preserve">95% </m:t>
              </m:r>
              <m:r>
                <m:rPr>
                  <m:sty m:val="p"/>
                </m:rPr>
                <w:rPr>
                  <w:rFonts w:ascii="Cambria Math" w:hAnsi="Cambria Math"/>
                </w:rPr>
                <m:t>PI</m:t>
              </m:r>
              <m:r>
                <m:rPr>
                  <m:sty m:val="p"/>
                </m:rPr>
                <w:rPr>
                  <w:rFonts w:ascii="Cambria Math" w:hAnsi="Cambria Math"/>
                </w:rPr>
                <m:t>=</m:t>
              </m:r>
              <m:acc>
                <m:accPr>
                  <m:chr m:val="̅"/>
                  <m:ctrlPr>
                    <w:rPr>
                      <w:rFonts w:ascii="Cambria Math" w:hAnsi="Cambria Math"/>
                      <w:sz w:val="20"/>
                      <w:szCs w:val="20"/>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sz w:val="20"/>
                      <w:szCs w:val="20"/>
                    </w:rPr>
                  </m:ctrlPr>
                </m:radPr>
                <m:deg/>
                <m:e>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τ</m:t>
                          </m:r>
                        </m:e>
                      </m:acc>
                    </m:e>
                    <m:sup>
                      <m:r>
                        <m:rPr>
                          <m:sty m:val="p"/>
                        </m:rPr>
                        <w:rPr>
                          <w:rFonts w:ascii="Cambria Math" w:hAnsi="Cambria Math"/>
                        </w:rPr>
                        <m:t>2</m:t>
                      </m:r>
                    </m:sup>
                  </m:sSup>
                  <m:r>
                    <m:rPr>
                      <m:sty m:val="p"/>
                    </m:rPr>
                    <w:rPr>
                      <w:rFonts w:ascii="Cambria Math" w:hAnsi="Cambria Math"/>
                    </w:rPr>
                    <m:t>+</m:t>
                  </m:r>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σ</m:t>
                          </m:r>
                        </m:e>
                      </m:acc>
                    </m:e>
                    <m:sup>
                      <m:r>
                        <m:rPr>
                          <m:sty m:val="p"/>
                        </m:rPr>
                        <w:rPr>
                          <w:rFonts w:ascii="Cambria Math" w:hAnsi="Cambria Math"/>
                        </w:rPr>
                        <m:t>2</m:t>
                      </m:r>
                    </m:sup>
                  </m:sSup>
                </m:e>
              </m:rad>
              <m:r>
                <w:rPr>
                  <w:rFonts w:ascii="Cambria Math" w:hAnsi="Cambria Math"/>
                  <w:sz w:val="20"/>
                  <w:szCs w:val="20"/>
                </w:rPr>
                <m:t xml:space="preserve"> </m:t>
              </m:r>
              <m:r>
                <w:rPr>
                  <w:rFonts w:ascii="Cambria Math" w:hAnsi="Cambria Math"/>
                </w:rPr>
                <m:t>#</m:t>
              </m:r>
              <m:d>
                <m:dPr>
                  <m:ctrlPr>
                    <w:rPr>
                      <w:rFonts w:ascii="Cambria Math" w:hAnsi="Cambria Math"/>
                      <w:i/>
                      <w:sz w:val="20"/>
                      <w:szCs w:val="20"/>
                    </w:rPr>
                  </m:ctrlPr>
                </m:dPr>
                <m:e>
                  <m:r>
                    <w:rPr>
                      <w:rFonts w:ascii="Cambria Math" w:hAnsi="Cambria Math"/>
                      <w:sz w:val="20"/>
                      <w:szCs w:val="20"/>
                    </w:rPr>
                    <m:t>4</m:t>
                  </m:r>
                </m:e>
              </m:d>
              <m:ctrlPr>
                <w:rPr>
                  <w:rFonts w:ascii="Cambria Math" w:hAnsi="Cambria Math"/>
                  <w:i/>
                </w:rPr>
              </m:ctrlPr>
            </m:e>
          </m:eqArr>
        </m:oMath>
      </m:oMathPara>
    </w:p>
    <w:p w14:paraId="4C5D6AF4" w14:textId="77777777" w:rsidR="00F862D8" w:rsidRPr="00073AA3" w:rsidRDefault="00F862D8" w:rsidP="00F862D8">
      <w:pPr>
        <w:ind w:firstLine="0"/>
      </w:pPr>
    </w:p>
    <w:p w14:paraId="36DCE463" w14:textId="77777777" w:rsidR="00F862D8" w:rsidRPr="005A385D" w:rsidRDefault="00F862D8" w:rsidP="00F862D8">
      <w:r w:rsidRPr="00073AA3">
        <w:t xml:space="preserve">Where </w:t>
      </w:r>
      <m:oMath>
        <m:acc>
          <m:accPr>
            <m:chr m:val="̅"/>
            <m:ctrlPr>
              <w:rPr>
                <w:rFonts w:ascii="Cambria Math" w:hAnsi="Cambria Math"/>
                <w:i/>
              </w:rPr>
            </m:ctrlPr>
          </m:accPr>
          <m:e>
            <m:r>
              <w:rPr>
                <w:rFonts w:ascii="Cambria Math" w:hAnsi="Cambria Math"/>
              </w:rPr>
              <m:t>r</m:t>
            </m:r>
          </m:e>
        </m:acc>
      </m:oMath>
      <w:r w:rsidRPr="00073AA3">
        <w:t xml:space="preserve"> is the weighted</w:t>
      </w:r>
      <w:r w:rsidRPr="005A385D">
        <w:t xml:space="preserve"> average effect size,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5A385D">
        <w:t xml:space="preserve"> is the estimated within-study variance (i.e., the square of the Standard Error of </w:t>
      </w:r>
      <m:oMath>
        <m:acc>
          <m:accPr>
            <m:chr m:val="̅"/>
            <m:ctrlPr>
              <w:rPr>
                <w:rFonts w:ascii="Cambria Math" w:hAnsi="Cambria Math"/>
                <w:i/>
              </w:rPr>
            </m:ctrlPr>
          </m:accPr>
          <m:e>
            <m:r>
              <w:rPr>
                <w:rFonts w:ascii="Cambria Math" w:hAnsi="Cambria Math"/>
              </w:rPr>
              <m:t>r</m:t>
            </m:r>
          </m:e>
        </m:acc>
      </m:oMath>
      <w:r w:rsidRPr="005A385D">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5A385D">
        <w:t xml:space="preserve"> is the estimated between-study variance (heterogeneity). </w:t>
      </w:r>
    </w:p>
    <w:p w14:paraId="4DF7D7BD" w14:textId="53328A52" w:rsidR="00F862D8" w:rsidRDefault="00F862D8" w:rsidP="00F862D8">
      <w:pPr>
        <w:ind w:firstLine="0"/>
      </w:pPr>
      <w:r w:rsidRPr="005A385D">
        <w:t xml:space="preserve">An important point to appreciate regarding </w:t>
      </w:r>
      <w:r>
        <w:t>Credibility Intervals</w:t>
      </w:r>
      <w:r w:rsidRPr="005A385D">
        <w:t xml:space="preserve"> is that when between study heterogeneity is zero (</w:t>
      </w:r>
      <m:oMath>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oMath>
      <w:r w:rsidRPr="005A385D">
        <w:t xml:space="preserve"> = 0), the CR interval width will also be zero</w:t>
      </w:r>
      <w:r>
        <w:t xml:space="preserve">, as is the case in the results of the verification attempts reported </w:t>
      </w:r>
      <w:proofErr w:type="gramStart"/>
      <w:r>
        <w:t>later on</w:t>
      </w:r>
      <w:proofErr w:type="gramEnd"/>
      <w:r>
        <w:t xml:space="preserve">. </w:t>
      </w:r>
      <w:r w:rsidRPr="005A385D">
        <w:t xml:space="preserve">This also follows from Field &amp; Gillet’s (2010) equations 2, 3, 4 and 5 (note that they use slightly different notation), which define the variance in the estimate of population correlations as the variance of sample effect sizes (which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Pr="005A385D">
        <w:t xml:space="preserve">) minus the sampling error variance. As such, if the sampling error variance is found to be larger than the variance in the sample effect sizes, then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5A385D">
        <w:rPr>
          <w:iCs/>
        </w:rPr>
        <w:t xml:space="preserve"> will be negative, and </w:t>
      </w:r>
      <w:r>
        <w:t>Credibility Interval</w:t>
      </w:r>
      <w:r w:rsidRPr="005A385D">
        <w:t xml:space="preserve">s cannot be calculated, as the square root of a negative number is non-real. Although Field and Gillett (2010) do not discuss this possibility in their article, they cover this case in their code by setting negative values of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5A385D">
        <w:rPr>
          <w:iCs/>
        </w:rPr>
        <w:t xml:space="preserve"> to zero (see </w:t>
      </w:r>
      <w:r w:rsidRPr="005A385D">
        <w:t>“</w:t>
      </w:r>
      <w:proofErr w:type="spellStart"/>
      <w:r w:rsidRPr="005A385D">
        <w:t>h_s</w:t>
      </w:r>
      <w:proofErr w:type="spellEnd"/>
      <w:r w:rsidRPr="005A385D">
        <w:t xml:space="preserve"> </w:t>
      </w:r>
      <w:proofErr w:type="spellStart"/>
      <w:r w:rsidRPr="005A385D">
        <w:t>syntax.sps</w:t>
      </w:r>
      <w:proofErr w:type="spellEnd"/>
      <w:r w:rsidRPr="005A385D">
        <w:t xml:space="preserve">” script). In such cases, both the lower and upper bound of the </w:t>
      </w:r>
      <w:r>
        <w:t>Credibility Interval</w:t>
      </w:r>
      <w:r w:rsidRPr="005A385D">
        <w:t xml:space="preserve">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 xml:space="preserve"> ±1.96×0=[</m:t>
        </m:r>
        <m:acc>
          <m:accPr>
            <m:chr m:val="̅"/>
            <m:ctrlPr>
              <w:rPr>
                <w:rFonts w:ascii="Cambria Math" w:hAnsi="Cambria Math"/>
                <w:iCs/>
              </w:rPr>
            </m:ctrlPr>
          </m:accPr>
          <m:e>
            <m:r>
              <w:rPr>
                <w:rFonts w:ascii="Cambria Math" w:hAnsi="Cambria Math"/>
              </w:rPr>
              <m:t>r</m:t>
            </m:r>
          </m:e>
        </m:acc>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m:t>
        </m:r>
      </m:oMath>
      <w:r w:rsidRPr="005A385D">
        <w:rPr>
          <w:iCs/>
        </w:rPr>
        <w:t xml:space="preserve">). This would represent an important case in which </w:t>
      </w:r>
      <w:r>
        <w:rPr>
          <w:iCs/>
        </w:rPr>
        <w:t>Confidence Interval</w:t>
      </w:r>
      <w:r w:rsidRPr="005A385D">
        <w:rPr>
          <w:iCs/>
        </w:rPr>
        <w:t xml:space="preserve">s are </w:t>
      </w:r>
      <w:r>
        <w:rPr>
          <w:iCs/>
        </w:rPr>
        <w:t xml:space="preserve">both </w:t>
      </w:r>
      <w:r w:rsidRPr="005A385D">
        <w:rPr>
          <w:iCs/>
        </w:rPr>
        <w:t xml:space="preserve">wider than </w:t>
      </w:r>
      <w:r>
        <w:rPr>
          <w:iCs/>
        </w:rPr>
        <w:t>Credibility Interval</w:t>
      </w:r>
      <w:r w:rsidRPr="005A385D">
        <w:rPr>
          <w:iCs/>
        </w:rPr>
        <w:t>s,</w:t>
      </w:r>
      <w:r>
        <w:rPr>
          <w:iCs/>
        </w:rPr>
        <w:t xml:space="preserve"> contrary to Vahey et al.’s (2015) claim,</w:t>
      </w:r>
      <w:r w:rsidRPr="005A385D">
        <w:rPr>
          <w:iCs/>
        </w:rPr>
        <w:t xml:space="preserve"> and indeed </w:t>
      </w:r>
      <w:r>
        <w:rPr>
          <w:iCs/>
        </w:rPr>
        <w:t>where the Credibility Interval</w:t>
      </w:r>
      <w:r w:rsidRPr="005A385D">
        <w:rPr>
          <w:iCs/>
        </w:rPr>
        <w:t xml:space="preserve">s are implausibly </w:t>
      </w:r>
      <w:r>
        <w:rPr>
          <w:iCs/>
        </w:rPr>
        <w:t>narrow (i.e., 0)</w:t>
      </w:r>
      <w:r w:rsidRPr="005A385D">
        <w:rPr>
          <w:iCs/>
        </w:rPr>
        <w:t>.</w:t>
      </w:r>
    </w:p>
    <w:p w14:paraId="6EFF8411" w14:textId="6D096FF8" w:rsidR="00EA0AA1" w:rsidRDefault="00EA0AA1" w:rsidP="00EA0AA1"/>
    <w:p w14:paraId="47D3C8B8" w14:textId="77777777" w:rsidR="00EA0AA1" w:rsidRPr="002601DC" w:rsidRDefault="00EA0AA1" w:rsidP="00EA0AA1">
      <w:pPr>
        <w:rPr>
          <w:iCs/>
        </w:rPr>
      </w:pPr>
    </w:p>
    <w:p w14:paraId="142664F4" w14:textId="77777777" w:rsidR="00EA0AA1" w:rsidRPr="001B6144" w:rsidRDefault="00EA0AA1" w:rsidP="001B6144"/>
    <w:p w14:paraId="16D55EFF" w14:textId="12B2B2F5" w:rsidR="00056983" w:rsidRDefault="00056983" w:rsidP="00EA0AA1">
      <w:pPr>
        <w:ind w:firstLine="0"/>
        <w:rPr>
          <w:iCs/>
        </w:rPr>
        <w:sectPr w:rsidR="00056983" w:rsidSect="008153E3">
          <w:type w:val="continuous"/>
          <w:pgSz w:w="11900" w:h="16840"/>
          <w:pgMar w:top="1440" w:right="1440" w:bottom="1440" w:left="1440" w:header="709" w:footer="709" w:gutter="0"/>
          <w:cols w:num="2" w:space="340"/>
          <w:titlePg/>
          <w:docGrid w:linePitch="360"/>
          <w15:footnoteColumns w:val="1"/>
        </w:sectPr>
      </w:pPr>
    </w:p>
    <w:p w14:paraId="3A6C8DB0" w14:textId="0A00FD5E" w:rsidR="00601B7B" w:rsidRPr="00601B7B" w:rsidRDefault="00601B7B" w:rsidP="00601B7B">
      <w:pPr>
        <w:ind w:firstLine="0"/>
        <w:jc w:val="left"/>
        <w:rPr>
          <w:rFonts w:eastAsia="MS Mincho"/>
          <w:b/>
          <w:bCs/>
          <w:color w:val="auto"/>
          <w:kern w:val="2"/>
          <w:sz w:val="16"/>
          <w:szCs w:val="16"/>
          <w:lang w:val="en-CH"/>
          <w14:ligatures w14:val="standardContextual"/>
        </w:rPr>
      </w:pPr>
      <w:r w:rsidRPr="00601B7B">
        <w:rPr>
          <w:rFonts w:eastAsia="MS Mincho"/>
          <w:b/>
          <w:bCs/>
          <w:color w:val="auto"/>
          <w:kern w:val="2"/>
          <w:sz w:val="16"/>
          <w:szCs w:val="16"/>
          <w:lang w:val="en-CH"/>
          <w14:ligatures w14:val="standardContextual"/>
        </w:rPr>
        <w:lastRenderedPageBreak/>
        <w:t>Table 2. Verification attempts for the meta-analysis</w:t>
      </w:r>
    </w:p>
    <w:p w14:paraId="718474B9" w14:textId="77777777" w:rsidR="00601B7B" w:rsidRPr="00601B7B" w:rsidRDefault="00601B7B" w:rsidP="00601B7B">
      <w:pPr>
        <w:ind w:firstLine="0"/>
        <w:jc w:val="left"/>
        <w:rPr>
          <w:rFonts w:eastAsia="MS Mincho"/>
          <w:color w:val="auto"/>
          <w:kern w:val="2"/>
          <w:sz w:val="16"/>
          <w:szCs w:val="16"/>
          <w:lang w:val="en-CH"/>
          <w14:ligatures w14:val="standardContextual"/>
        </w:rPr>
      </w:pPr>
    </w:p>
    <w:tbl>
      <w:tblPr>
        <w:tblStyle w:val="TableGrid1"/>
        <w:tblW w:w="0" w:type="auto"/>
        <w:tblLook w:val="04A0" w:firstRow="1" w:lastRow="0" w:firstColumn="1" w:lastColumn="0" w:noHBand="0" w:noVBand="1"/>
      </w:tblPr>
      <w:tblGrid>
        <w:gridCol w:w="1546"/>
        <w:gridCol w:w="3332"/>
        <w:gridCol w:w="3684"/>
        <w:gridCol w:w="501"/>
        <w:gridCol w:w="698"/>
        <w:gridCol w:w="652"/>
        <w:gridCol w:w="720"/>
        <w:gridCol w:w="723"/>
        <w:gridCol w:w="1051"/>
        <w:gridCol w:w="1051"/>
      </w:tblGrid>
      <w:tr w:rsidR="00601B7B" w:rsidRPr="00601B7B" w14:paraId="098EC126" w14:textId="77777777" w:rsidTr="002D69CC">
        <w:trPr>
          <w:trHeight w:val="287"/>
        </w:trPr>
        <w:tc>
          <w:tcPr>
            <w:tcW w:w="1546" w:type="dxa"/>
            <w:tcBorders>
              <w:top w:val="single" w:sz="4" w:space="0" w:color="auto"/>
              <w:left w:val="nil"/>
              <w:bottom w:val="nil"/>
              <w:right w:val="nil"/>
            </w:tcBorders>
            <w:vAlign w:val="center"/>
            <w:hideMark/>
          </w:tcPr>
          <w:p w14:paraId="017ECA9B" w14:textId="77777777" w:rsidR="00601B7B" w:rsidRPr="00601B7B" w:rsidRDefault="00601B7B" w:rsidP="00601B7B">
            <w:pPr>
              <w:ind w:firstLine="0"/>
              <w:jc w:val="center"/>
              <w:rPr>
                <w:rFonts w:eastAsia="MS Mincho"/>
                <w:color w:val="auto"/>
                <w:sz w:val="16"/>
                <w:szCs w:val="16"/>
              </w:rPr>
            </w:pPr>
          </w:p>
        </w:tc>
        <w:tc>
          <w:tcPr>
            <w:tcW w:w="3332" w:type="dxa"/>
            <w:tcBorders>
              <w:top w:val="single" w:sz="4" w:space="0" w:color="auto"/>
              <w:left w:val="nil"/>
              <w:bottom w:val="nil"/>
              <w:right w:val="nil"/>
            </w:tcBorders>
            <w:vAlign w:val="center"/>
            <w:hideMark/>
          </w:tcPr>
          <w:p w14:paraId="782F5746" w14:textId="77777777" w:rsidR="00601B7B" w:rsidRPr="00601B7B" w:rsidRDefault="00601B7B" w:rsidP="00601B7B">
            <w:pPr>
              <w:ind w:firstLine="0"/>
              <w:jc w:val="center"/>
              <w:rPr>
                <w:rFonts w:eastAsia="MS Mincho"/>
                <w:color w:val="auto"/>
                <w:sz w:val="16"/>
                <w:szCs w:val="16"/>
              </w:rPr>
            </w:pPr>
          </w:p>
        </w:tc>
        <w:tc>
          <w:tcPr>
            <w:tcW w:w="3684" w:type="dxa"/>
            <w:tcBorders>
              <w:top w:val="single" w:sz="4" w:space="0" w:color="auto"/>
              <w:left w:val="nil"/>
              <w:bottom w:val="nil"/>
              <w:right w:val="nil"/>
            </w:tcBorders>
            <w:vAlign w:val="center"/>
            <w:hideMark/>
          </w:tcPr>
          <w:p w14:paraId="4B3416C2" w14:textId="77777777" w:rsidR="00601B7B" w:rsidRPr="00601B7B" w:rsidRDefault="00601B7B" w:rsidP="00601B7B">
            <w:pPr>
              <w:ind w:firstLine="0"/>
              <w:jc w:val="center"/>
              <w:rPr>
                <w:rFonts w:eastAsia="MS Mincho"/>
                <w:color w:val="auto"/>
                <w:sz w:val="16"/>
                <w:szCs w:val="16"/>
              </w:rPr>
            </w:pPr>
          </w:p>
        </w:tc>
        <w:tc>
          <w:tcPr>
            <w:tcW w:w="501" w:type="dxa"/>
            <w:tcBorders>
              <w:top w:val="single" w:sz="4" w:space="0" w:color="auto"/>
              <w:left w:val="nil"/>
              <w:bottom w:val="nil"/>
              <w:right w:val="nil"/>
            </w:tcBorders>
            <w:noWrap/>
            <w:vAlign w:val="center"/>
            <w:hideMark/>
          </w:tcPr>
          <w:p w14:paraId="2859FF4C" w14:textId="77777777" w:rsidR="00601B7B" w:rsidRPr="00601B7B" w:rsidRDefault="00601B7B" w:rsidP="00601B7B">
            <w:pPr>
              <w:ind w:firstLine="0"/>
              <w:jc w:val="center"/>
              <w:rPr>
                <w:rFonts w:eastAsia="MS Mincho"/>
                <w:color w:val="auto"/>
                <w:sz w:val="16"/>
                <w:szCs w:val="16"/>
              </w:rPr>
            </w:pPr>
          </w:p>
        </w:tc>
        <w:tc>
          <w:tcPr>
            <w:tcW w:w="1350" w:type="dxa"/>
            <w:gridSpan w:val="2"/>
            <w:tcBorders>
              <w:top w:val="single" w:sz="4" w:space="0" w:color="auto"/>
              <w:left w:val="nil"/>
              <w:bottom w:val="single" w:sz="4" w:space="0" w:color="auto"/>
              <w:right w:val="nil"/>
            </w:tcBorders>
            <w:noWrap/>
            <w:vAlign w:val="center"/>
            <w:hideMark/>
          </w:tcPr>
          <w:p w14:paraId="1FA3D2E4"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95% CI</w:t>
            </w:r>
          </w:p>
        </w:tc>
        <w:tc>
          <w:tcPr>
            <w:tcW w:w="1443" w:type="dxa"/>
            <w:gridSpan w:val="2"/>
            <w:tcBorders>
              <w:top w:val="single" w:sz="4" w:space="0" w:color="auto"/>
              <w:left w:val="nil"/>
              <w:bottom w:val="single" w:sz="4" w:space="0" w:color="auto"/>
              <w:right w:val="nil"/>
            </w:tcBorders>
            <w:noWrap/>
            <w:vAlign w:val="center"/>
            <w:hideMark/>
          </w:tcPr>
          <w:p w14:paraId="6ADE24DB"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95% CR</w:t>
            </w:r>
          </w:p>
        </w:tc>
        <w:tc>
          <w:tcPr>
            <w:tcW w:w="2102" w:type="dxa"/>
            <w:gridSpan w:val="2"/>
            <w:tcBorders>
              <w:top w:val="single" w:sz="4" w:space="0" w:color="auto"/>
              <w:left w:val="nil"/>
              <w:bottom w:val="single" w:sz="4" w:space="0" w:color="auto"/>
              <w:right w:val="nil"/>
            </w:tcBorders>
            <w:vAlign w:val="center"/>
          </w:tcPr>
          <w:p w14:paraId="6738CFF4"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95% PI</w:t>
            </w:r>
          </w:p>
        </w:tc>
      </w:tr>
      <w:tr w:rsidR="00601B7B" w:rsidRPr="00601B7B" w14:paraId="3A703A39" w14:textId="77777777" w:rsidTr="002D69CC">
        <w:trPr>
          <w:trHeight w:val="269"/>
        </w:trPr>
        <w:tc>
          <w:tcPr>
            <w:tcW w:w="1546" w:type="dxa"/>
            <w:tcBorders>
              <w:top w:val="nil"/>
              <w:left w:val="nil"/>
              <w:bottom w:val="single" w:sz="4" w:space="0" w:color="auto"/>
              <w:right w:val="nil"/>
            </w:tcBorders>
            <w:vAlign w:val="center"/>
            <w:hideMark/>
          </w:tcPr>
          <w:p w14:paraId="44948BCC"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Label</w:t>
            </w:r>
          </w:p>
        </w:tc>
        <w:tc>
          <w:tcPr>
            <w:tcW w:w="3332" w:type="dxa"/>
            <w:tcBorders>
              <w:top w:val="nil"/>
              <w:left w:val="nil"/>
              <w:bottom w:val="single" w:sz="4" w:space="0" w:color="auto"/>
              <w:right w:val="nil"/>
            </w:tcBorders>
            <w:vAlign w:val="center"/>
            <w:hideMark/>
          </w:tcPr>
          <w:p w14:paraId="11C3E568"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Implementation</w:t>
            </w:r>
          </w:p>
        </w:tc>
        <w:tc>
          <w:tcPr>
            <w:tcW w:w="3684" w:type="dxa"/>
            <w:tcBorders>
              <w:top w:val="nil"/>
              <w:left w:val="nil"/>
              <w:bottom w:val="single" w:sz="4" w:space="0" w:color="auto"/>
              <w:right w:val="nil"/>
            </w:tcBorders>
            <w:vAlign w:val="center"/>
            <w:hideMark/>
          </w:tcPr>
          <w:p w14:paraId="23448785"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Modifications from original code</w:t>
            </w:r>
          </w:p>
        </w:tc>
        <w:tc>
          <w:tcPr>
            <w:tcW w:w="501" w:type="dxa"/>
            <w:tcBorders>
              <w:top w:val="nil"/>
              <w:left w:val="nil"/>
              <w:bottom w:val="single" w:sz="4" w:space="0" w:color="auto"/>
              <w:right w:val="nil"/>
            </w:tcBorders>
            <w:noWrap/>
            <w:vAlign w:val="center"/>
            <w:hideMark/>
          </w:tcPr>
          <w:p w14:paraId="170FD0C3" w14:textId="77777777" w:rsidR="00601B7B" w:rsidRPr="00601B7B" w:rsidRDefault="00000000" w:rsidP="00601B7B">
            <w:pPr>
              <w:ind w:firstLine="0"/>
              <w:jc w:val="center"/>
              <w:rPr>
                <w:rFonts w:eastAsia="MS Mincho"/>
                <w:color w:val="auto"/>
                <w:sz w:val="16"/>
                <w:szCs w:val="16"/>
              </w:rPr>
            </w:pPr>
            <m:oMathPara>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oMath>
            </m:oMathPara>
          </w:p>
        </w:tc>
        <w:tc>
          <w:tcPr>
            <w:tcW w:w="698" w:type="dxa"/>
            <w:tcBorders>
              <w:top w:val="single" w:sz="4" w:space="0" w:color="auto"/>
              <w:left w:val="nil"/>
              <w:bottom w:val="single" w:sz="4" w:space="0" w:color="auto"/>
              <w:right w:val="nil"/>
            </w:tcBorders>
            <w:noWrap/>
            <w:vAlign w:val="center"/>
            <w:hideMark/>
          </w:tcPr>
          <w:p w14:paraId="54C87B57"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Lower</w:t>
            </w:r>
          </w:p>
        </w:tc>
        <w:tc>
          <w:tcPr>
            <w:tcW w:w="652" w:type="dxa"/>
            <w:tcBorders>
              <w:top w:val="single" w:sz="4" w:space="0" w:color="auto"/>
              <w:left w:val="nil"/>
              <w:bottom w:val="single" w:sz="4" w:space="0" w:color="auto"/>
              <w:right w:val="nil"/>
            </w:tcBorders>
            <w:noWrap/>
            <w:vAlign w:val="center"/>
            <w:hideMark/>
          </w:tcPr>
          <w:p w14:paraId="2A30A2C8"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Upper</w:t>
            </w:r>
          </w:p>
        </w:tc>
        <w:tc>
          <w:tcPr>
            <w:tcW w:w="720" w:type="dxa"/>
            <w:tcBorders>
              <w:top w:val="single" w:sz="4" w:space="0" w:color="auto"/>
              <w:left w:val="nil"/>
              <w:bottom w:val="single" w:sz="4" w:space="0" w:color="auto"/>
              <w:right w:val="nil"/>
            </w:tcBorders>
            <w:noWrap/>
            <w:vAlign w:val="center"/>
            <w:hideMark/>
          </w:tcPr>
          <w:p w14:paraId="26E194E5"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Lower</w:t>
            </w:r>
          </w:p>
        </w:tc>
        <w:tc>
          <w:tcPr>
            <w:tcW w:w="723" w:type="dxa"/>
            <w:tcBorders>
              <w:top w:val="single" w:sz="4" w:space="0" w:color="auto"/>
              <w:left w:val="nil"/>
              <w:bottom w:val="single" w:sz="4" w:space="0" w:color="auto"/>
              <w:right w:val="nil"/>
            </w:tcBorders>
            <w:noWrap/>
            <w:vAlign w:val="center"/>
            <w:hideMark/>
          </w:tcPr>
          <w:p w14:paraId="3719DE8C"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Upper</w:t>
            </w:r>
          </w:p>
        </w:tc>
        <w:tc>
          <w:tcPr>
            <w:tcW w:w="1051" w:type="dxa"/>
            <w:tcBorders>
              <w:top w:val="single" w:sz="4" w:space="0" w:color="auto"/>
              <w:left w:val="nil"/>
              <w:bottom w:val="single" w:sz="4" w:space="0" w:color="auto"/>
              <w:right w:val="nil"/>
            </w:tcBorders>
            <w:vAlign w:val="center"/>
          </w:tcPr>
          <w:p w14:paraId="767B7407"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Lower</w:t>
            </w:r>
          </w:p>
        </w:tc>
        <w:tc>
          <w:tcPr>
            <w:tcW w:w="1051" w:type="dxa"/>
            <w:tcBorders>
              <w:top w:val="single" w:sz="4" w:space="0" w:color="auto"/>
              <w:left w:val="nil"/>
              <w:bottom w:val="single" w:sz="4" w:space="0" w:color="auto"/>
              <w:right w:val="nil"/>
            </w:tcBorders>
            <w:vAlign w:val="center"/>
          </w:tcPr>
          <w:p w14:paraId="791F2235"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Upper</w:t>
            </w:r>
          </w:p>
        </w:tc>
      </w:tr>
      <w:tr w:rsidR="00601B7B" w:rsidRPr="00601B7B" w14:paraId="1014E44C" w14:textId="77777777" w:rsidTr="00601B7B">
        <w:trPr>
          <w:trHeight w:val="521"/>
        </w:trPr>
        <w:tc>
          <w:tcPr>
            <w:tcW w:w="1546" w:type="dxa"/>
            <w:tcBorders>
              <w:top w:val="single" w:sz="4" w:space="0" w:color="auto"/>
              <w:left w:val="nil"/>
              <w:bottom w:val="nil"/>
              <w:right w:val="nil"/>
            </w:tcBorders>
            <w:vAlign w:val="center"/>
            <w:hideMark/>
          </w:tcPr>
          <w:p w14:paraId="7E7676FE"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Vahey et al. (2015)</w:t>
            </w:r>
          </w:p>
        </w:tc>
        <w:tc>
          <w:tcPr>
            <w:tcW w:w="3332" w:type="dxa"/>
            <w:tcBorders>
              <w:top w:val="single" w:sz="4" w:space="0" w:color="auto"/>
              <w:left w:val="nil"/>
              <w:bottom w:val="nil"/>
              <w:right w:val="nil"/>
            </w:tcBorders>
            <w:vAlign w:val="center"/>
            <w:hideMark/>
          </w:tcPr>
          <w:p w14:paraId="21BFE9C2"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Vahey stated in personal corrispondance that they employed Field &amp; Gillett’s code.</w:t>
            </w:r>
          </w:p>
        </w:tc>
        <w:tc>
          <w:tcPr>
            <w:tcW w:w="3684" w:type="dxa"/>
            <w:tcBorders>
              <w:top w:val="single" w:sz="4" w:space="0" w:color="auto"/>
              <w:left w:val="nil"/>
              <w:bottom w:val="nil"/>
              <w:right w:val="nil"/>
            </w:tcBorders>
            <w:vAlign w:val="center"/>
            <w:hideMark/>
          </w:tcPr>
          <w:p w14:paraId="5A777823"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Unkown.</w:t>
            </w:r>
          </w:p>
        </w:tc>
        <w:tc>
          <w:tcPr>
            <w:tcW w:w="501" w:type="dxa"/>
            <w:tcBorders>
              <w:top w:val="single" w:sz="4" w:space="0" w:color="auto"/>
              <w:left w:val="nil"/>
              <w:bottom w:val="nil"/>
              <w:right w:val="nil"/>
            </w:tcBorders>
            <w:shd w:val="clear" w:color="auto" w:fill="D9D9D9"/>
            <w:noWrap/>
            <w:vAlign w:val="center"/>
            <w:hideMark/>
          </w:tcPr>
          <w:p w14:paraId="3448CD8D"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.45</w:t>
            </w:r>
          </w:p>
        </w:tc>
        <w:tc>
          <w:tcPr>
            <w:tcW w:w="698" w:type="dxa"/>
            <w:tcBorders>
              <w:top w:val="single" w:sz="4" w:space="0" w:color="auto"/>
              <w:left w:val="nil"/>
              <w:bottom w:val="nil"/>
              <w:right w:val="nil"/>
            </w:tcBorders>
            <w:shd w:val="clear" w:color="auto" w:fill="D9D9D9"/>
            <w:noWrap/>
            <w:vAlign w:val="center"/>
            <w:hideMark/>
          </w:tcPr>
          <w:p w14:paraId="68027735"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.40</w:t>
            </w:r>
          </w:p>
        </w:tc>
        <w:tc>
          <w:tcPr>
            <w:tcW w:w="652" w:type="dxa"/>
            <w:tcBorders>
              <w:top w:val="single" w:sz="4" w:space="0" w:color="auto"/>
              <w:left w:val="nil"/>
              <w:bottom w:val="nil"/>
              <w:right w:val="nil"/>
            </w:tcBorders>
            <w:shd w:val="clear" w:color="auto" w:fill="D9D9D9"/>
            <w:noWrap/>
            <w:vAlign w:val="center"/>
            <w:hideMark/>
          </w:tcPr>
          <w:p w14:paraId="41A4160E"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.54</w:t>
            </w:r>
          </w:p>
        </w:tc>
        <w:tc>
          <w:tcPr>
            <w:tcW w:w="720" w:type="dxa"/>
            <w:tcBorders>
              <w:top w:val="single" w:sz="4" w:space="0" w:color="auto"/>
              <w:left w:val="nil"/>
              <w:bottom w:val="nil"/>
              <w:right w:val="nil"/>
            </w:tcBorders>
            <w:shd w:val="clear" w:color="auto" w:fill="D9D9D9"/>
            <w:noWrap/>
            <w:vAlign w:val="center"/>
            <w:hideMark/>
          </w:tcPr>
          <w:p w14:paraId="4EEEDCD8"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.23</w:t>
            </w:r>
          </w:p>
        </w:tc>
        <w:tc>
          <w:tcPr>
            <w:tcW w:w="723" w:type="dxa"/>
            <w:tcBorders>
              <w:top w:val="single" w:sz="4" w:space="0" w:color="auto"/>
              <w:left w:val="nil"/>
              <w:bottom w:val="nil"/>
              <w:right w:val="nil"/>
            </w:tcBorders>
            <w:shd w:val="clear" w:color="auto" w:fill="D9D9D9"/>
            <w:noWrap/>
            <w:vAlign w:val="center"/>
            <w:hideMark/>
          </w:tcPr>
          <w:p w14:paraId="3C9B286E"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.67</w:t>
            </w:r>
          </w:p>
        </w:tc>
        <w:tc>
          <w:tcPr>
            <w:tcW w:w="1051" w:type="dxa"/>
            <w:tcBorders>
              <w:top w:val="single" w:sz="4" w:space="0" w:color="auto"/>
              <w:left w:val="nil"/>
              <w:bottom w:val="nil"/>
              <w:right w:val="nil"/>
            </w:tcBorders>
            <w:shd w:val="clear" w:color="auto" w:fill="D9D9D9"/>
            <w:vAlign w:val="center"/>
          </w:tcPr>
          <w:p w14:paraId="276AD543"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w:t>
            </w:r>
          </w:p>
        </w:tc>
        <w:tc>
          <w:tcPr>
            <w:tcW w:w="1051" w:type="dxa"/>
            <w:tcBorders>
              <w:top w:val="single" w:sz="4" w:space="0" w:color="auto"/>
              <w:left w:val="nil"/>
              <w:bottom w:val="nil"/>
              <w:right w:val="nil"/>
            </w:tcBorders>
            <w:shd w:val="clear" w:color="auto" w:fill="D9D9D9"/>
            <w:vAlign w:val="center"/>
          </w:tcPr>
          <w:p w14:paraId="488421E3"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w:t>
            </w:r>
          </w:p>
        </w:tc>
      </w:tr>
      <w:tr w:rsidR="00601B7B" w:rsidRPr="00601B7B" w14:paraId="176EF797" w14:textId="77777777" w:rsidTr="002D69CC">
        <w:trPr>
          <w:trHeight w:val="540"/>
        </w:trPr>
        <w:tc>
          <w:tcPr>
            <w:tcW w:w="1546" w:type="dxa"/>
            <w:tcBorders>
              <w:top w:val="nil"/>
              <w:left w:val="nil"/>
              <w:bottom w:val="nil"/>
              <w:right w:val="nil"/>
            </w:tcBorders>
            <w:vAlign w:val="center"/>
            <w:hideMark/>
          </w:tcPr>
          <w:p w14:paraId="0C87017E"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Verification attempt 1</w:t>
            </w:r>
          </w:p>
        </w:tc>
        <w:tc>
          <w:tcPr>
            <w:tcW w:w="3332" w:type="dxa"/>
            <w:tcBorders>
              <w:top w:val="nil"/>
              <w:left w:val="nil"/>
              <w:bottom w:val="nil"/>
              <w:right w:val="nil"/>
            </w:tcBorders>
            <w:vAlign w:val="center"/>
            <w:hideMark/>
          </w:tcPr>
          <w:p w14:paraId="3250F5FF"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Hunter &amp; Schmidt method using Field &amp; Gillett’s (2010) "h_s_syntax.sps"</w:t>
            </w:r>
          </w:p>
        </w:tc>
        <w:tc>
          <w:tcPr>
            <w:tcW w:w="3684" w:type="dxa"/>
            <w:tcBorders>
              <w:top w:val="nil"/>
              <w:left w:val="nil"/>
              <w:bottom w:val="nil"/>
              <w:right w:val="nil"/>
            </w:tcBorders>
            <w:vAlign w:val="center"/>
            <w:hideMark/>
          </w:tcPr>
          <w:p w14:paraId="66FA0C74"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All reliabilities set to 0.</w:t>
            </w:r>
          </w:p>
        </w:tc>
        <w:tc>
          <w:tcPr>
            <w:tcW w:w="501" w:type="dxa"/>
            <w:tcBorders>
              <w:top w:val="nil"/>
              <w:left w:val="nil"/>
              <w:bottom w:val="nil"/>
              <w:right w:val="nil"/>
            </w:tcBorders>
            <w:noWrap/>
            <w:vAlign w:val="center"/>
            <w:hideMark/>
          </w:tcPr>
          <w:p w14:paraId="21BCAFA9"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.47</w:t>
            </w:r>
          </w:p>
        </w:tc>
        <w:tc>
          <w:tcPr>
            <w:tcW w:w="698" w:type="dxa"/>
            <w:tcBorders>
              <w:top w:val="nil"/>
              <w:left w:val="nil"/>
              <w:bottom w:val="nil"/>
              <w:right w:val="nil"/>
            </w:tcBorders>
            <w:noWrap/>
            <w:vAlign w:val="center"/>
            <w:hideMark/>
          </w:tcPr>
          <w:p w14:paraId="5EABA0FD"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.20</w:t>
            </w:r>
          </w:p>
        </w:tc>
        <w:tc>
          <w:tcPr>
            <w:tcW w:w="652" w:type="dxa"/>
            <w:tcBorders>
              <w:top w:val="nil"/>
              <w:left w:val="nil"/>
              <w:bottom w:val="nil"/>
              <w:right w:val="nil"/>
            </w:tcBorders>
            <w:noWrap/>
            <w:vAlign w:val="center"/>
            <w:hideMark/>
          </w:tcPr>
          <w:p w14:paraId="794BE565"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.74</w:t>
            </w:r>
          </w:p>
        </w:tc>
        <w:tc>
          <w:tcPr>
            <w:tcW w:w="720" w:type="dxa"/>
            <w:tcBorders>
              <w:top w:val="nil"/>
              <w:left w:val="nil"/>
              <w:bottom w:val="nil"/>
              <w:right w:val="nil"/>
            </w:tcBorders>
            <w:noWrap/>
            <w:vAlign w:val="center"/>
            <w:hideMark/>
          </w:tcPr>
          <w:p w14:paraId="6FAC4B93"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.47</w:t>
            </w:r>
          </w:p>
        </w:tc>
        <w:tc>
          <w:tcPr>
            <w:tcW w:w="723" w:type="dxa"/>
            <w:tcBorders>
              <w:top w:val="nil"/>
              <w:left w:val="nil"/>
              <w:bottom w:val="nil"/>
              <w:right w:val="nil"/>
            </w:tcBorders>
            <w:noWrap/>
            <w:vAlign w:val="center"/>
            <w:hideMark/>
          </w:tcPr>
          <w:p w14:paraId="3FDC3838"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.47</w:t>
            </w:r>
          </w:p>
        </w:tc>
        <w:tc>
          <w:tcPr>
            <w:tcW w:w="1051" w:type="dxa"/>
            <w:tcBorders>
              <w:top w:val="nil"/>
              <w:left w:val="nil"/>
              <w:bottom w:val="nil"/>
              <w:right w:val="nil"/>
            </w:tcBorders>
            <w:vAlign w:val="center"/>
          </w:tcPr>
          <w:p w14:paraId="7E6592E2"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w:t>
            </w:r>
          </w:p>
        </w:tc>
        <w:tc>
          <w:tcPr>
            <w:tcW w:w="1051" w:type="dxa"/>
            <w:tcBorders>
              <w:top w:val="nil"/>
              <w:left w:val="nil"/>
              <w:bottom w:val="nil"/>
              <w:right w:val="nil"/>
            </w:tcBorders>
            <w:vAlign w:val="center"/>
          </w:tcPr>
          <w:p w14:paraId="19C0E070"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w:t>
            </w:r>
          </w:p>
        </w:tc>
      </w:tr>
      <w:tr w:rsidR="00601B7B" w:rsidRPr="00601B7B" w14:paraId="450EE58B" w14:textId="77777777" w:rsidTr="00601B7B">
        <w:trPr>
          <w:trHeight w:val="549"/>
        </w:trPr>
        <w:tc>
          <w:tcPr>
            <w:tcW w:w="1546" w:type="dxa"/>
            <w:tcBorders>
              <w:top w:val="nil"/>
              <w:left w:val="nil"/>
              <w:bottom w:val="nil"/>
              <w:right w:val="nil"/>
            </w:tcBorders>
            <w:vAlign w:val="center"/>
            <w:hideMark/>
          </w:tcPr>
          <w:p w14:paraId="171D1999"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Verification attempt 2</w:t>
            </w:r>
          </w:p>
        </w:tc>
        <w:tc>
          <w:tcPr>
            <w:tcW w:w="3332" w:type="dxa"/>
            <w:tcBorders>
              <w:top w:val="nil"/>
              <w:left w:val="nil"/>
              <w:bottom w:val="nil"/>
              <w:right w:val="nil"/>
            </w:tcBorders>
            <w:vAlign w:val="center"/>
            <w:hideMark/>
          </w:tcPr>
          <w:p w14:paraId="526BCFD5"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Hunter &amp; Schmidt method using Field &amp; Gillett’s (2010) “Meta_Basic_r.sps”</w:t>
            </w:r>
          </w:p>
        </w:tc>
        <w:tc>
          <w:tcPr>
            <w:tcW w:w="3684" w:type="dxa"/>
            <w:tcBorders>
              <w:top w:val="nil"/>
              <w:left w:val="nil"/>
              <w:bottom w:val="nil"/>
              <w:right w:val="nil"/>
            </w:tcBorders>
            <w:vAlign w:val="center"/>
            <w:hideMark/>
          </w:tcPr>
          <w:p w14:paraId="0D1102A3"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Set variance in population correlations to zero if it is negative, as in "h_s_syntax.sps"</w:t>
            </w:r>
          </w:p>
        </w:tc>
        <w:tc>
          <w:tcPr>
            <w:tcW w:w="501" w:type="dxa"/>
            <w:tcBorders>
              <w:top w:val="nil"/>
              <w:left w:val="nil"/>
              <w:bottom w:val="nil"/>
              <w:right w:val="nil"/>
            </w:tcBorders>
            <w:shd w:val="clear" w:color="auto" w:fill="D9D9D9"/>
            <w:noWrap/>
            <w:vAlign w:val="center"/>
            <w:hideMark/>
          </w:tcPr>
          <w:p w14:paraId="609EDC0A"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.46</w:t>
            </w:r>
          </w:p>
        </w:tc>
        <w:tc>
          <w:tcPr>
            <w:tcW w:w="698" w:type="dxa"/>
            <w:tcBorders>
              <w:top w:val="nil"/>
              <w:left w:val="nil"/>
              <w:bottom w:val="nil"/>
              <w:right w:val="nil"/>
            </w:tcBorders>
            <w:noWrap/>
            <w:vAlign w:val="center"/>
            <w:hideMark/>
          </w:tcPr>
          <w:p w14:paraId="496C47A5"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w:t>
            </w:r>
          </w:p>
        </w:tc>
        <w:tc>
          <w:tcPr>
            <w:tcW w:w="652" w:type="dxa"/>
            <w:tcBorders>
              <w:top w:val="nil"/>
              <w:left w:val="nil"/>
              <w:bottom w:val="nil"/>
              <w:right w:val="nil"/>
            </w:tcBorders>
            <w:noWrap/>
            <w:vAlign w:val="center"/>
            <w:hideMark/>
          </w:tcPr>
          <w:p w14:paraId="5A0560E1"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w:t>
            </w:r>
          </w:p>
        </w:tc>
        <w:tc>
          <w:tcPr>
            <w:tcW w:w="720" w:type="dxa"/>
            <w:tcBorders>
              <w:top w:val="nil"/>
              <w:left w:val="nil"/>
              <w:bottom w:val="nil"/>
              <w:right w:val="nil"/>
            </w:tcBorders>
            <w:noWrap/>
            <w:vAlign w:val="center"/>
            <w:hideMark/>
          </w:tcPr>
          <w:p w14:paraId="1B626CB6"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.46</w:t>
            </w:r>
          </w:p>
        </w:tc>
        <w:tc>
          <w:tcPr>
            <w:tcW w:w="723" w:type="dxa"/>
            <w:tcBorders>
              <w:top w:val="nil"/>
              <w:left w:val="nil"/>
              <w:bottom w:val="nil"/>
              <w:right w:val="nil"/>
            </w:tcBorders>
            <w:noWrap/>
            <w:vAlign w:val="center"/>
            <w:hideMark/>
          </w:tcPr>
          <w:p w14:paraId="29F134D8"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.46</w:t>
            </w:r>
          </w:p>
        </w:tc>
        <w:tc>
          <w:tcPr>
            <w:tcW w:w="1051" w:type="dxa"/>
            <w:tcBorders>
              <w:top w:val="nil"/>
              <w:left w:val="nil"/>
              <w:bottom w:val="nil"/>
              <w:right w:val="nil"/>
            </w:tcBorders>
            <w:vAlign w:val="center"/>
          </w:tcPr>
          <w:p w14:paraId="25851B30"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w:t>
            </w:r>
          </w:p>
        </w:tc>
        <w:tc>
          <w:tcPr>
            <w:tcW w:w="1051" w:type="dxa"/>
            <w:tcBorders>
              <w:top w:val="nil"/>
              <w:left w:val="nil"/>
              <w:bottom w:val="nil"/>
              <w:right w:val="nil"/>
            </w:tcBorders>
            <w:vAlign w:val="center"/>
          </w:tcPr>
          <w:p w14:paraId="7E70B64F"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w:t>
            </w:r>
          </w:p>
        </w:tc>
      </w:tr>
      <w:tr w:rsidR="00601B7B" w:rsidRPr="00601B7B" w14:paraId="53603C7E" w14:textId="77777777" w:rsidTr="00601B7B">
        <w:trPr>
          <w:trHeight w:val="801"/>
        </w:trPr>
        <w:tc>
          <w:tcPr>
            <w:tcW w:w="1546" w:type="dxa"/>
            <w:tcBorders>
              <w:top w:val="nil"/>
              <w:left w:val="nil"/>
              <w:bottom w:val="nil"/>
              <w:right w:val="nil"/>
            </w:tcBorders>
            <w:vAlign w:val="center"/>
            <w:hideMark/>
          </w:tcPr>
          <w:p w14:paraId="6788CE19"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Verification attempt 3</w:t>
            </w:r>
          </w:p>
        </w:tc>
        <w:tc>
          <w:tcPr>
            <w:tcW w:w="3332" w:type="dxa"/>
            <w:tcBorders>
              <w:top w:val="nil"/>
              <w:left w:val="nil"/>
              <w:bottom w:val="nil"/>
              <w:right w:val="nil"/>
            </w:tcBorders>
            <w:vAlign w:val="center"/>
            <w:hideMark/>
          </w:tcPr>
          <w:p w14:paraId="065795AA"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Hunter &amp; Schmidt method using Viechtbauer’s (2022) implementation in R and metafor.</w:t>
            </w:r>
          </w:p>
        </w:tc>
        <w:tc>
          <w:tcPr>
            <w:tcW w:w="3684" w:type="dxa"/>
            <w:tcBorders>
              <w:top w:val="nil"/>
              <w:left w:val="nil"/>
              <w:bottom w:val="nil"/>
              <w:right w:val="nil"/>
            </w:tcBorders>
            <w:vAlign w:val="center"/>
            <w:hideMark/>
          </w:tcPr>
          <w:p w14:paraId="6915428B"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Credibility intervals implemented using Field &amp; Gillett’s (2010) equations 2 to 5.</w:t>
            </w:r>
          </w:p>
        </w:tc>
        <w:tc>
          <w:tcPr>
            <w:tcW w:w="501" w:type="dxa"/>
            <w:tcBorders>
              <w:top w:val="nil"/>
              <w:left w:val="nil"/>
              <w:bottom w:val="nil"/>
              <w:right w:val="nil"/>
            </w:tcBorders>
            <w:noWrap/>
            <w:vAlign w:val="center"/>
            <w:hideMark/>
          </w:tcPr>
          <w:p w14:paraId="6FA6B9A4"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.47</w:t>
            </w:r>
          </w:p>
        </w:tc>
        <w:tc>
          <w:tcPr>
            <w:tcW w:w="698" w:type="dxa"/>
            <w:tcBorders>
              <w:top w:val="nil"/>
              <w:left w:val="nil"/>
              <w:bottom w:val="nil"/>
              <w:right w:val="nil"/>
            </w:tcBorders>
            <w:shd w:val="clear" w:color="auto" w:fill="D9D9D9"/>
            <w:noWrap/>
            <w:vAlign w:val="center"/>
            <w:hideMark/>
          </w:tcPr>
          <w:p w14:paraId="6A2CBF0A"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.40</w:t>
            </w:r>
          </w:p>
        </w:tc>
        <w:tc>
          <w:tcPr>
            <w:tcW w:w="652" w:type="dxa"/>
            <w:tcBorders>
              <w:top w:val="nil"/>
              <w:left w:val="nil"/>
              <w:bottom w:val="nil"/>
              <w:right w:val="nil"/>
            </w:tcBorders>
            <w:shd w:val="clear" w:color="auto" w:fill="D9D9D9"/>
            <w:noWrap/>
            <w:vAlign w:val="center"/>
            <w:hideMark/>
          </w:tcPr>
          <w:p w14:paraId="51A9C337"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.54</w:t>
            </w:r>
          </w:p>
        </w:tc>
        <w:tc>
          <w:tcPr>
            <w:tcW w:w="720" w:type="dxa"/>
            <w:tcBorders>
              <w:top w:val="nil"/>
              <w:left w:val="nil"/>
              <w:bottom w:val="nil"/>
              <w:right w:val="nil"/>
            </w:tcBorders>
            <w:noWrap/>
            <w:vAlign w:val="center"/>
            <w:hideMark/>
          </w:tcPr>
          <w:p w14:paraId="78B2F3FD"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.47</w:t>
            </w:r>
          </w:p>
        </w:tc>
        <w:tc>
          <w:tcPr>
            <w:tcW w:w="723" w:type="dxa"/>
            <w:tcBorders>
              <w:top w:val="nil"/>
              <w:left w:val="nil"/>
              <w:bottom w:val="nil"/>
              <w:right w:val="nil"/>
            </w:tcBorders>
            <w:noWrap/>
            <w:vAlign w:val="center"/>
            <w:hideMark/>
          </w:tcPr>
          <w:p w14:paraId="0447170B"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.47</w:t>
            </w:r>
          </w:p>
        </w:tc>
        <w:tc>
          <w:tcPr>
            <w:tcW w:w="1051" w:type="dxa"/>
            <w:tcBorders>
              <w:top w:val="nil"/>
              <w:left w:val="nil"/>
              <w:bottom w:val="nil"/>
              <w:right w:val="nil"/>
            </w:tcBorders>
            <w:vAlign w:val="center"/>
          </w:tcPr>
          <w:p w14:paraId="364BA44A"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.40</w:t>
            </w:r>
          </w:p>
        </w:tc>
        <w:tc>
          <w:tcPr>
            <w:tcW w:w="1051" w:type="dxa"/>
            <w:tcBorders>
              <w:top w:val="nil"/>
              <w:left w:val="nil"/>
              <w:bottom w:val="nil"/>
              <w:right w:val="nil"/>
            </w:tcBorders>
            <w:vAlign w:val="center"/>
          </w:tcPr>
          <w:p w14:paraId="0EEA7391"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.54</w:t>
            </w:r>
          </w:p>
        </w:tc>
      </w:tr>
      <w:tr w:rsidR="00601B7B" w:rsidRPr="00601B7B" w14:paraId="3F926F73" w14:textId="77777777" w:rsidTr="00601B7B">
        <w:trPr>
          <w:trHeight w:val="729"/>
        </w:trPr>
        <w:tc>
          <w:tcPr>
            <w:tcW w:w="1546" w:type="dxa"/>
            <w:tcBorders>
              <w:top w:val="nil"/>
              <w:left w:val="nil"/>
              <w:bottom w:val="single" w:sz="4" w:space="0" w:color="auto"/>
              <w:right w:val="nil"/>
            </w:tcBorders>
            <w:vAlign w:val="center"/>
            <w:hideMark/>
          </w:tcPr>
          <w:p w14:paraId="2DFD9E2B"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Verification attempt 4</w:t>
            </w:r>
          </w:p>
        </w:tc>
        <w:tc>
          <w:tcPr>
            <w:tcW w:w="3332" w:type="dxa"/>
            <w:tcBorders>
              <w:top w:val="nil"/>
              <w:left w:val="nil"/>
              <w:bottom w:val="single" w:sz="4" w:space="0" w:color="auto"/>
              <w:right w:val="nil"/>
            </w:tcBorders>
            <w:vAlign w:val="center"/>
            <w:hideMark/>
          </w:tcPr>
          <w:p w14:paraId="75A99CC7"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Mix of Hunter &amp; Schmidt and Hedges methods using Viechtbauer’s (2022) implementation in R and metafor.</w:t>
            </w:r>
          </w:p>
        </w:tc>
        <w:tc>
          <w:tcPr>
            <w:tcW w:w="3684" w:type="dxa"/>
            <w:tcBorders>
              <w:top w:val="nil"/>
              <w:left w:val="nil"/>
              <w:bottom w:val="single" w:sz="4" w:space="0" w:color="auto"/>
              <w:right w:val="nil"/>
            </w:tcBorders>
            <w:vAlign w:val="center"/>
            <w:hideMark/>
          </w:tcPr>
          <w:p w14:paraId="06F0713D" w14:textId="77777777" w:rsidR="00601B7B" w:rsidRPr="00601B7B" w:rsidRDefault="00601B7B" w:rsidP="00601B7B">
            <w:pPr>
              <w:ind w:firstLine="0"/>
              <w:jc w:val="left"/>
              <w:rPr>
                <w:rFonts w:eastAsia="MS Mincho"/>
                <w:color w:val="auto"/>
                <w:sz w:val="16"/>
                <w:szCs w:val="16"/>
              </w:rPr>
            </w:pPr>
            <w:r w:rsidRPr="00601B7B">
              <w:rPr>
                <w:rFonts w:eastAsia="MS Mincho"/>
                <w:color w:val="auto"/>
                <w:sz w:val="16"/>
                <w:szCs w:val="16"/>
              </w:rPr>
              <w:t xml:space="preserve">Credibility intervals implemented using Field &amp; Gillett’s (2010) equations 2 to 5. Fisher’s </w:t>
            </w:r>
            <w:r w:rsidRPr="00601B7B">
              <w:rPr>
                <w:rFonts w:eastAsia="MS Mincho"/>
                <w:i/>
                <w:iCs/>
                <w:color w:val="auto"/>
                <w:sz w:val="16"/>
                <w:szCs w:val="16"/>
              </w:rPr>
              <w:t>r</w:t>
            </w:r>
            <w:r w:rsidRPr="00601B7B">
              <w:rPr>
                <w:rFonts w:eastAsia="MS Mincho"/>
                <w:color w:val="auto"/>
                <w:sz w:val="16"/>
                <w:szCs w:val="16"/>
              </w:rPr>
              <w:t>-to-</w:t>
            </w:r>
            <w:r w:rsidRPr="00601B7B">
              <w:rPr>
                <w:rFonts w:eastAsia="MS Mincho"/>
                <w:i/>
                <w:iCs/>
                <w:color w:val="auto"/>
                <w:sz w:val="16"/>
                <w:szCs w:val="16"/>
              </w:rPr>
              <w:t>z</w:t>
            </w:r>
            <w:r w:rsidRPr="00601B7B">
              <w:rPr>
                <w:rFonts w:eastAsia="MS Mincho"/>
                <w:color w:val="auto"/>
                <w:sz w:val="16"/>
                <w:szCs w:val="16"/>
              </w:rPr>
              <w:t xml:space="preserve"> transformations and </w:t>
            </w:r>
            <w:r w:rsidRPr="00601B7B">
              <w:rPr>
                <w:rFonts w:eastAsia="MS Mincho"/>
                <w:i/>
                <w:iCs/>
                <w:color w:val="auto"/>
                <w:sz w:val="16"/>
                <w:szCs w:val="16"/>
              </w:rPr>
              <w:t>z</w:t>
            </w:r>
            <w:r w:rsidRPr="00601B7B">
              <w:rPr>
                <w:rFonts w:eastAsia="MS Mincho"/>
                <w:color w:val="auto"/>
                <w:sz w:val="16"/>
                <w:szCs w:val="16"/>
              </w:rPr>
              <w:t>-to-</w:t>
            </w:r>
            <w:r w:rsidRPr="00601B7B">
              <w:rPr>
                <w:rFonts w:eastAsia="MS Mincho"/>
                <w:i/>
                <w:iCs/>
                <w:color w:val="auto"/>
                <w:sz w:val="16"/>
                <w:szCs w:val="16"/>
              </w:rPr>
              <w:t>r</w:t>
            </w:r>
            <w:r w:rsidRPr="00601B7B">
              <w:rPr>
                <w:rFonts w:eastAsia="MS Mincho"/>
                <w:color w:val="auto"/>
                <w:sz w:val="16"/>
                <w:szCs w:val="16"/>
              </w:rPr>
              <w:t xml:space="preserve"> back transformations.</w:t>
            </w:r>
          </w:p>
        </w:tc>
        <w:tc>
          <w:tcPr>
            <w:tcW w:w="501" w:type="dxa"/>
            <w:tcBorders>
              <w:top w:val="nil"/>
              <w:left w:val="nil"/>
              <w:bottom w:val="single" w:sz="4" w:space="0" w:color="auto"/>
              <w:right w:val="nil"/>
            </w:tcBorders>
            <w:noWrap/>
            <w:vAlign w:val="center"/>
            <w:hideMark/>
          </w:tcPr>
          <w:p w14:paraId="5134D6B3"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.47</w:t>
            </w:r>
          </w:p>
        </w:tc>
        <w:tc>
          <w:tcPr>
            <w:tcW w:w="698" w:type="dxa"/>
            <w:tcBorders>
              <w:top w:val="nil"/>
              <w:left w:val="nil"/>
              <w:bottom w:val="single" w:sz="4" w:space="0" w:color="auto"/>
              <w:right w:val="nil"/>
            </w:tcBorders>
            <w:shd w:val="clear" w:color="auto" w:fill="D9D9D9"/>
            <w:noWrap/>
            <w:vAlign w:val="center"/>
            <w:hideMark/>
          </w:tcPr>
          <w:p w14:paraId="731D6AF0"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.40</w:t>
            </w:r>
          </w:p>
        </w:tc>
        <w:tc>
          <w:tcPr>
            <w:tcW w:w="652" w:type="dxa"/>
            <w:tcBorders>
              <w:top w:val="nil"/>
              <w:left w:val="nil"/>
              <w:bottom w:val="single" w:sz="4" w:space="0" w:color="auto"/>
              <w:right w:val="nil"/>
            </w:tcBorders>
            <w:shd w:val="clear" w:color="auto" w:fill="D9D9D9"/>
            <w:noWrap/>
            <w:vAlign w:val="center"/>
            <w:hideMark/>
          </w:tcPr>
          <w:p w14:paraId="4A9C7831"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.54</w:t>
            </w:r>
          </w:p>
        </w:tc>
        <w:tc>
          <w:tcPr>
            <w:tcW w:w="720" w:type="dxa"/>
            <w:tcBorders>
              <w:top w:val="nil"/>
              <w:left w:val="nil"/>
              <w:bottom w:val="single" w:sz="4" w:space="0" w:color="auto"/>
              <w:right w:val="nil"/>
            </w:tcBorders>
            <w:noWrap/>
            <w:vAlign w:val="center"/>
            <w:hideMark/>
          </w:tcPr>
          <w:p w14:paraId="6FBBC524"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.47</w:t>
            </w:r>
          </w:p>
        </w:tc>
        <w:tc>
          <w:tcPr>
            <w:tcW w:w="723" w:type="dxa"/>
            <w:tcBorders>
              <w:top w:val="nil"/>
              <w:left w:val="nil"/>
              <w:bottom w:val="single" w:sz="4" w:space="0" w:color="auto"/>
              <w:right w:val="nil"/>
            </w:tcBorders>
            <w:noWrap/>
            <w:vAlign w:val="center"/>
            <w:hideMark/>
          </w:tcPr>
          <w:p w14:paraId="1186F203"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.47</w:t>
            </w:r>
          </w:p>
        </w:tc>
        <w:tc>
          <w:tcPr>
            <w:tcW w:w="1051" w:type="dxa"/>
            <w:tcBorders>
              <w:top w:val="nil"/>
              <w:left w:val="nil"/>
              <w:bottom w:val="single" w:sz="4" w:space="0" w:color="auto"/>
              <w:right w:val="nil"/>
            </w:tcBorders>
            <w:vAlign w:val="center"/>
          </w:tcPr>
          <w:p w14:paraId="00FF2134"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.40</w:t>
            </w:r>
          </w:p>
        </w:tc>
        <w:tc>
          <w:tcPr>
            <w:tcW w:w="1051" w:type="dxa"/>
            <w:tcBorders>
              <w:top w:val="nil"/>
              <w:left w:val="nil"/>
              <w:bottom w:val="single" w:sz="4" w:space="0" w:color="auto"/>
              <w:right w:val="nil"/>
            </w:tcBorders>
            <w:vAlign w:val="center"/>
          </w:tcPr>
          <w:p w14:paraId="56A97FA3" w14:textId="77777777" w:rsidR="00601B7B" w:rsidRPr="00601B7B" w:rsidRDefault="00601B7B" w:rsidP="00601B7B">
            <w:pPr>
              <w:ind w:firstLine="0"/>
              <w:jc w:val="center"/>
              <w:rPr>
                <w:rFonts w:eastAsia="MS Mincho"/>
                <w:color w:val="auto"/>
                <w:sz w:val="16"/>
                <w:szCs w:val="16"/>
              </w:rPr>
            </w:pPr>
            <w:r w:rsidRPr="00601B7B">
              <w:rPr>
                <w:rFonts w:eastAsia="MS Mincho"/>
                <w:color w:val="auto"/>
                <w:sz w:val="16"/>
                <w:szCs w:val="16"/>
              </w:rPr>
              <w:t>.54</w:t>
            </w:r>
          </w:p>
        </w:tc>
      </w:tr>
      <w:tr w:rsidR="00601B7B" w:rsidRPr="00601B7B" w14:paraId="440DBC35" w14:textId="77777777" w:rsidTr="002D69CC">
        <w:trPr>
          <w:trHeight w:val="701"/>
        </w:trPr>
        <w:tc>
          <w:tcPr>
            <w:tcW w:w="13958" w:type="dxa"/>
            <w:gridSpan w:val="10"/>
            <w:tcBorders>
              <w:top w:val="single" w:sz="4" w:space="0" w:color="auto"/>
              <w:left w:val="nil"/>
              <w:bottom w:val="nil"/>
              <w:right w:val="nil"/>
            </w:tcBorders>
            <w:vAlign w:val="center"/>
          </w:tcPr>
          <w:p w14:paraId="6FCA6EE8" w14:textId="77777777" w:rsidR="00601B7B" w:rsidRPr="00601B7B" w:rsidRDefault="00601B7B" w:rsidP="00601B7B">
            <w:pPr>
              <w:ind w:firstLine="0"/>
              <w:jc w:val="left"/>
              <w:rPr>
                <w:rFonts w:eastAsia="MS Mincho"/>
                <w:i/>
                <w:iCs/>
                <w:color w:val="auto"/>
                <w:sz w:val="16"/>
                <w:szCs w:val="16"/>
              </w:rPr>
            </w:pPr>
            <w:r w:rsidRPr="00601B7B">
              <w:rPr>
                <w:rFonts w:eastAsia="MS Mincho"/>
                <w:i/>
                <w:iCs/>
                <w:color w:val="auto"/>
                <w:sz w:val="16"/>
                <w:szCs w:val="16"/>
              </w:rPr>
              <w:t>Notes:</w:t>
            </w:r>
            <w:r w:rsidRPr="00601B7B">
              <w:rPr>
                <w:rFonts w:eastAsia="MS Mincho"/>
                <w:color w:val="auto"/>
                <w:sz w:val="16"/>
                <w:szCs w:val="16"/>
              </w:rPr>
              <w:t xml:space="preserve"> CI = Confidence Interval. CR = Credibility Interval. PI = Prediction Interval. Although PIs were not reported in Vahey et al. (2015), they are were calculated where possible in the verification attempts to see if they corrisponded with the original CRs on the basis that the CRs could have been mislabelled. Cells shaded in grey match those reported in Vahey et al. (2015) within ±.01. </w:t>
            </w:r>
          </w:p>
        </w:tc>
      </w:tr>
    </w:tbl>
    <w:p w14:paraId="5DFA15BE" w14:textId="77777777" w:rsidR="00601B7B" w:rsidRPr="00601B7B" w:rsidRDefault="00601B7B" w:rsidP="00601B7B">
      <w:pPr>
        <w:ind w:firstLine="0"/>
        <w:jc w:val="left"/>
        <w:rPr>
          <w:rFonts w:eastAsia="MS Mincho"/>
          <w:color w:val="auto"/>
          <w:kern w:val="2"/>
          <w:sz w:val="16"/>
          <w:szCs w:val="16"/>
          <w:lang w:val="en-CH"/>
          <w14:ligatures w14:val="standardContextual"/>
        </w:rPr>
      </w:pPr>
    </w:p>
    <w:p w14:paraId="590125DB" w14:textId="77777777" w:rsidR="00056983" w:rsidRDefault="00056983" w:rsidP="00056983">
      <w:pPr>
        <w:ind w:firstLine="0"/>
        <w:rPr>
          <w:iCs/>
        </w:rPr>
        <w:sectPr w:rsidR="00056983" w:rsidSect="00601B7B">
          <w:pgSz w:w="16840" w:h="11900" w:orient="landscape"/>
          <w:pgMar w:top="1440" w:right="1440" w:bottom="1440" w:left="1440" w:header="709" w:footer="709" w:gutter="0"/>
          <w:cols w:space="340"/>
          <w:titlePg/>
          <w:docGrid w:linePitch="360"/>
          <w15:footnoteColumns w:val="1"/>
        </w:sectPr>
      </w:pPr>
    </w:p>
    <w:p w14:paraId="78F4CECB" w14:textId="77777777" w:rsidR="00601B7B" w:rsidRDefault="00601B7B" w:rsidP="00056983">
      <w:pPr>
        <w:ind w:firstLine="0"/>
        <w:rPr>
          <w:iCs/>
        </w:rPr>
        <w:sectPr w:rsidR="00601B7B" w:rsidSect="00056983">
          <w:pgSz w:w="11900" w:h="16840"/>
          <w:pgMar w:top="1440" w:right="1440" w:bottom="1440" w:left="1440" w:header="709" w:footer="709" w:gutter="0"/>
          <w:cols w:num="2" w:space="340"/>
          <w:titlePg/>
          <w:docGrid w:linePitch="360"/>
          <w15:footnoteColumns w:val="1"/>
        </w:sectPr>
      </w:pPr>
    </w:p>
    <w:p w14:paraId="3DB66E94" w14:textId="77777777" w:rsidR="00057A7F" w:rsidRPr="00034410" w:rsidRDefault="00057A7F" w:rsidP="00057A7F">
      <w:pPr>
        <w:pStyle w:val="Heading3"/>
      </w:pPr>
      <w:r w:rsidRPr="00034410">
        <w:t xml:space="preserve">Verification </w:t>
      </w:r>
      <w:proofErr w:type="gramStart"/>
      <w:r w:rsidRPr="00034410">
        <w:t>attempt</w:t>
      </w:r>
      <w:proofErr w:type="gramEnd"/>
      <w:r w:rsidRPr="00034410">
        <w:t xml:space="preserve"> 1</w:t>
      </w:r>
    </w:p>
    <w:p w14:paraId="1ABCF12B" w14:textId="77777777" w:rsidR="00057A7F" w:rsidRDefault="00057A7F" w:rsidP="00057A7F">
      <w:r w:rsidRPr="00034410">
        <w:t>The first verification attempt employed Field’s “</w:t>
      </w:r>
      <w:proofErr w:type="spellStart"/>
      <w:r w:rsidRPr="00034410">
        <w:t>h_s</w:t>
      </w:r>
      <w:proofErr w:type="spellEnd"/>
      <w:r w:rsidRPr="00034410">
        <w:t xml:space="preserve"> </w:t>
      </w:r>
      <w:proofErr w:type="spellStart"/>
      <w:r w:rsidRPr="00034410">
        <w:t>syntax.sps</w:t>
      </w:r>
      <w:proofErr w:type="spellEnd"/>
      <w:r w:rsidRPr="00034410">
        <w:t>” script</w:t>
      </w:r>
      <w:r>
        <w:t xml:space="preserve"> which implements the Hunter &amp; Schmidt style meta-analysis that Vahey et al. (2015) cite and which Vahey stated in personal correspondence that they used. </w:t>
      </w:r>
      <w:r w:rsidRPr="00034410">
        <w:t xml:space="preserve">Copies of all original and altered scripts are available in the supplementary materials. The </w:t>
      </w:r>
      <w:r>
        <w:t xml:space="preserve">default </w:t>
      </w:r>
      <w:r w:rsidRPr="00034410">
        <w:t xml:space="preserve">80% </w:t>
      </w:r>
      <w:r>
        <w:t>Credibility Interval</w:t>
      </w:r>
      <w:r w:rsidRPr="00034410">
        <w:t xml:space="preserve"> widths were changed to 95%, as Vahey et al. (2015) reported using the latter</w:t>
      </w:r>
      <w:r>
        <w:t xml:space="preserve"> width</w:t>
      </w:r>
      <w:r w:rsidRPr="00034410">
        <w:t xml:space="preserve">. </w:t>
      </w:r>
    </w:p>
    <w:p w14:paraId="5D7CCA72" w14:textId="77777777" w:rsidR="00057A7F" w:rsidRDefault="00057A7F" w:rsidP="00057A7F">
      <w:r w:rsidRPr="00034410">
        <w:t xml:space="preserve">One other key assumption was made </w:t>
      </w:r>
      <w:proofErr w:type="gramStart"/>
      <w:r w:rsidRPr="00034410">
        <w:t>in order to</w:t>
      </w:r>
      <w:proofErr w:type="gramEnd"/>
      <w:r w:rsidRPr="00034410">
        <w:t xml:space="preserve"> allow the script to run. To take a step back, a Hunter &amp; Schmidt style meta-analysis is sometimes referred to as a form of psychometric meta-analysis because it typically involves de-attenuating the effect sizes based on the reliability of the measures that produced them </w:t>
      </w:r>
      <w:r>
        <w:fldChar w:fldCharType="begin"/>
      </w:r>
      <w:r>
        <w:instrText xml:space="preserve"> ADDIN ZOTERO_ITEM CSL_CITATION {"citationID":"DLZY0oSP","properties":{"formattedCitation":"(Field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fldChar w:fldCharType="separate"/>
      </w:r>
      <w:r>
        <w:rPr>
          <w:noProof/>
        </w:rPr>
        <w:t>(Field &amp; Gillett, 2010; Hunter &amp; Schmidt, 2004)</w:t>
      </w:r>
      <w:r>
        <w:fldChar w:fldCharType="end"/>
      </w:r>
      <w:r w:rsidRPr="00034410">
        <w:t xml:space="preserve">. Although Hunter &amp; Schmidt </w:t>
      </w:r>
      <w:r>
        <w:t xml:space="preserve">(2004) </w:t>
      </w:r>
      <w:r w:rsidRPr="00034410">
        <w:t>did describe what they referred to as a “</w:t>
      </w:r>
      <w:proofErr w:type="gramStart"/>
      <w:r w:rsidRPr="00034410">
        <w:t>bare-bones</w:t>
      </w:r>
      <w:proofErr w:type="gramEnd"/>
      <w:r w:rsidRPr="00034410">
        <w:t xml:space="preserve">” meta-analysis that did not perform this </w:t>
      </w:r>
      <w:proofErr w:type="spellStart"/>
      <w:r w:rsidRPr="00034410">
        <w:t>deattentuation</w:t>
      </w:r>
      <w:proofErr w:type="spellEnd"/>
      <w:r w:rsidRPr="00034410">
        <w:t xml:space="preserve"> based on reliability, </w:t>
      </w:r>
      <w:r>
        <w:t xml:space="preserve">for </w:t>
      </w:r>
      <w:r w:rsidRPr="00034410">
        <w:t>Field’s “</w:t>
      </w:r>
      <w:proofErr w:type="spellStart"/>
      <w:r w:rsidRPr="00034410">
        <w:t>h_s</w:t>
      </w:r>
      <w:proofErr w:type="spellEnd"/>
      <w:r w:rsidRPr="00034410">
        <w:t xml:space="preserve"> </w:t>
      </w:r>
      <w:proofErr w:type="spellStart"/>
      <w:r w:rsidRPr="00034410">
        <w:t>syntax.sps</w:t>
      </w:r>
      <w:proofErr w:type="spellEnd"/>
      <w:r w:rsidRPr="00034410">
        <w:t xml:space="preserve">” script </w:t>
      </w:r>
      <w:r>
        <w:t xml:space="preserve">to run it </w:t>
      </w:r>
      <w:r w:rsidRPr="00034410">
        <w:t xml:space="preserve">requires the researcher to provide reliability values for </w:t>
      </w:r>
      <w:r>
        <w:t xml:space="preserve">both of the measures that produced </w:t>
      </w:r>
      <w:r w:rsidRPr="00034410">
        <w:t>each effect size. Vahey et al. (2015) do not report any extracting or estimating reliabilities or deattenuating the effect</w:t>
      </w:r>
      <w:r>
        <w:t xml:space="preserve"> sizes</w:t>
      </w:r>
      <w:r w:rsidRPr="00034410">
        <w:t xml:space="preserve"> based on them, and no reliability data is available in their manuscript or supplementary materials. In the absence of other information, I set reliability for all variables to 1 </w:t>
      </w:r>
      <w:proofErr w:type="gramStart"/>
      <w:r w:rsidRPr="00034410">
        <w:t>in order to</w:t>
      </w:r>
      <w:proofErr w:type="gramEnd"/>
      <w:r w:rsidRPr="00034410">
        <w:t xml:space="preserve"> allow the script </w:t>
      </w:r>
      <w:r w:rsidRPr="00F31252">
        <w:t>to run. Table 2 presents the meta-analysis effect sizes estimates reported by Vahey et al. (2015) as well</w:t>
      </w:r>
      <w:r w:rsidRPr="00034410">
        <w:t xml:space="preserve"> as the results of all verification analyses conducted here. </w:t>
      </w:r>
    </w:p>
    <w:p w14:paraId="176F70BA" w14:textId="77777777" w:rsidR="00057A7F" w:rsidRDefault="00057A7F" w:rsidP="00057A7F">
      <w:r>
        <w:t>T</w:t>
      </w:r>
      <w:r w:rsidRPr="00034410">
        <w:t xml:space="preserve">his verification attempt did not reproduce the original results for any estimate (point estimate, </w:t>
      </w:r>
      <w:r>
        <w:t>Confidence Interval</w:t>
      </w:r>
      <w:r w:rsidRPr="00034410">
        <w:t xml:space="preserve">, or </w:t>
      </w:r>
      <w:r>
        <w:t>Credibility Interval</w:t>
      </w:r>
      <w:r w:rsidRPr="00034410">
        <w:t>). The point estimate was off by a small amount (</w:t>
      </w:r>
      <m:oMath>
        <m:acc>
          <m:accPr>
            <m:chr m:val="̅"/>
            <m:ctrlPr>
              <w:rPr>
                <w:rFonts w:ascii="Cambria Math" w:hAnsi="Cambria Math"/>
                <w:i/>
                <w:sz w:val="20"/>
                <w:szCs w:val="20"/>
              </w:rPr>
            </m:ctrlPr>
          </m:accPr>
          <m:e>
            <m:r>
              <w:rPr>
                <w:rFonts w:ascii="Cambria Math" w:hAnsi="Cambria Math"/>
              </w:rPr>
              <m:t>r</m:t>
            </m:r>
          </m:e>
        </m:acc>
      </m:oMath>
      <w:r w:rsidRPr="00034410">
        <w:t xml:space="preserve">  = 0.02), but more than could be accounted for by rounding</w:t>
      </w:r>
      <w:r>
        <w:t xml:space="preserve"> or other erroneous methods such as truncation</w:t>
      </w:r>
      <w:r w:rsidRPr="00034410">
        <w:t xml:space="preserve">. </w:t>
      </w:r>
      <w:r>
        <w:t>Confidence Interval</w:t>
      </w:r>
      <w:r w:rsidRPr="00034410">
        <w:t xml:space="preserve">s were nearly four times wider in the verification analysis than the original results. </w:t>
      </w:r>
      <w:r>
        <w:t>Credibility Interval</w:t>
      </w:r>
      <w:r w:rsidRPr="00034410">
        <w:t xml:space="preserve">s were </w:t>
      </w:r>
      <w:r>
        <w:t xml:space="preserve">had zero width </w:t>
      </w:r>
      <w:r w:rsidRPr="00034410">
        <w:t xml:space="preserve">(i.e.,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w:t>
      </w:r>
      <w:r>
        <w:rPr>
          <w:iCs/>
        </w:rPr>
        <w:t xml:space="preserve">, </w:t>
      </w:r>
      <w:r w:rsidRPr="00034410">
        <w:rPr>
          <w:iCs/>
        </w:rPr>
        <w:t xml:space="preserve">interval width was therefore set to zero), whereas they were wider than the </w:t>
      </w:r>
      <w:r>
        <w:rPr>
          <w:iCs/>
        </w:rPr>
        <w:t>Confidence Interval</w:t>
      </w:r>
      <w:r w:rsidRPr="00034410">
        <w:rPr>
          <w:iCs/>
        </w:rPr>
        <w:t xml:space="preserve">s in the original analysis. </w:t>
      </w:r>
      <w:r>
        <w:rPr>
          <w:iCs/>
        </w:rPr>
        <w:t xml:space="preserve">Note that </w:t>
      </w:r>
      <w:r>
        <w:t>setting the reliabilities to other values (e.g., the common reliability thresholds such as .70 or otherwise), would serve to inflate both the meta-analysis effect size and intervals. As such, additional verifications using alternative reliability values were not useful to explore.</w:t>
      </w:r>
    </w:p>
    <w:p w14:paraId="294445F8" w14:textId="77777777" w:rsidR="00057A7F" w:rsidRPr="00034410" w:rsidRDefault="00057A7F" w:rsidP="00057A7F">
      <w:pPr>
        <w:pStyle w:val="Heading3"/>
      </w:pPr>
      <w:r w:rsidRPr="00034410">
        <w:t xml:space="preserve">Verification </w:t>
      </w:r>
      <w:proofErr w:type="gramStart"/>
      <w:r w:rsidRPr="00034410">
        <w:t>attempt</w:t>
      </w:r>
      <w:proofErr w:type="gramEnd"/>
      <w:r w:rsidRPr="00034410">
        <w:t xml:space="preserve"> 2</w:t>
      </w:r>
    </w:p>
    <w:p w14:paraId="3B3D0FFD" w14:textId="77777777" w:rsidR="00057A7F" w:rsidRDefault="00057A7F" w:rsidP="00057A7F">
      <w:pPr>
        <w:rPr>
          <w:iCs/>
        </w:rPr>
      </w:pPr>
      <w:r w:rsidRPr="00034410">
        <w:t>The second verification attempt employed Field’s “</w:t>
      </w:r>
      <w:proofErr w:type="spellStart"/>
      <w:r w:rsidRPr="00034410">
        <w:t>Meta_Basic_r.sps</w:t>
      </w:r>
      <w:proofErr w:type="spellEnd"/>
      <w:r w:rsidRPr="00034410">
        <w:t>” script</w:t>
      </w:r>
      <w:r>
        <w:t>, which implements a Hedges’ style “basic” meta-</w:t>
      </w:r>
      <w:proofErr w:type="spellStart"/>
      <w:r>
        <w:t>anlysis</w:t>
      </w:r>
      <w:proofErr w:type="spellEnd"/>
      <w:r>
        <w:t>.</w:t>
      </w:r>
      <w:r w:rsidRPr="00034410">
        <w:t xml:space="preserve"> </w:t>
      </w:r>
      <w:r w:rsidRPr="00034410">
        <w:rPr>
          <w:iCs/>
        </w:rPr>
        <w:t xml:space="preserve">Note that, unlike the </w:t>
      </w:r>
      <w:r w:rsidRPr="00034410">
        <w:t>“</w:t>
      </w:r>
      <w:proofErr w:type="spellStart"/>
      <w:r w:rsidRPr="00034410">
        <w:t>h_s</w:t>
      </w:r>
      <w:proofErr w:type="spellEnd"/>
      <w:r w:rsidRPr="00034410">
        <w:t xml:space="preserve"> </w:t>
      </w:r>
      <w:proofErr w:type="spellStart"/>
      <w:r w:rsidRPr="00034410">
        <w:t>syntax.sps</w:t>
      </w:r>
      <w:proofErr w:type="spellEnd"/>
      <w:r w:rsidRPr="00034410">
        <w:t>” script</w:t>
      </w:r>
      <w:r w:rsidRPr="00034410">
        <w:rPr>
          <w:iCs/>
        </w:rPr>
        <w:t xml:space="preserve">, this script does not contain </w:t>
      </w:r>
      <w:r w:rsidRPr="00034410">
        <w:rPr>
          <w:iCs/>
        </w:rPr>
        <w:t xml:space="preserve">code to calculate </w:t>
      </w:r>
      <w:r>
        <w:rPr>
          <w:iCs/>
        </w:rPr>
        <w:t>Confidence Interval</w:t>
      </w:r>
      <w:r w:rsidRPr="00034410">
        <w:rPr>
          <w:iCs/>
        </w:rPr>
        <w:t xml:space="preserve">s. </w:t>
      </w:r>
      <w:r w:rsidRPr="00034410">
        <w:t xml:space="preserve">One </w:t>
      </w:r>
      <w:r>
        <w:t xml:space="preserve">necessary </w:t>
      </w:r>
      <w:r w:rsidRPr="00034410">
        <w:t xml:space="preserve">alteration was made to the </w:t>
      </w:r>
      <w:r>
        <w:t>code</w:t>
      </w:r>
      <w:r w:rsidRPr="00034410">
        <w:t xml:space="preserve">: 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it was set to zero</w:t>
      </w:r>
      <w:r>
        <w:rPr>
          <w:iCs/>
        </w:rPr>
        <w:t xml:space="preserve"> to produce a Credibility Interval width of 0, </w:t>
      </w:r>
      <w:r w:rsidRPr="00034410">
        <w:rPr>
          <w:iCs/>
        </w:rPr>
        <w:t xml:space="preserve">as in the </w:t>
      </w:r>
      <w:r w:rsidRPr="00034410">
        <w:t>“</w:t>
      </w:r>
      <w:proofErr w:type="spellStart"/>
      <w:r w:rsidRPr="00034410">
        <w:t>h_s</w:t>
      </w:r>
      <w:proofErr w:type="spellEnd"/>
      <w:r w:rsidRPr="00034410">
        <w:t xml:space="preserve"> </w:t>
      </w:r>
      <w:proofErr w:type="spellStart"/>
      <w:r w:rsidRPr="00034410">
        <w:t>syntax.sps</w:t>
      </w:r>
      <w:proofErr w:type="spellEnd"/>
      <w:r w:rsidRPr="00034410">
        <w:t>” script</w:t>
      </w:r>
      <w:r w:rsidRPr="00034410">
        <w:rPr>
          <w:iCs/>
        </w:rPr>
        <w:t xml:space="preserve">. Without this alternation, if </w:t>
      </w:r>
      <w:r w:rsidRPr="00034410">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the script would fail to run. </w:t>
      </w:r>
    </w:p>
    <w:p w14:paraId="309B2F08" w14:textId="77777777" w:rsidR="00057A7F" w:rsidRDefault="00057A7F" w:rsidP="00057A7F">
      <w:pPr>
        <w:rPr>
          <w:iCs/>
        </w:rPr>
      </w:pPr>
      <w:r>
        <w:t>T</w:t>
      </w:r>
      <w:r w:rsidRPr="00034410">
        <w:t xml:space="preserve">his verification </w:t>
      </w:r>
      <w:proofErr w:type="gramStart"/>
      <w:r w:rsidRPr="00034410">
        <w:t>attempt</w:t>
      </w:r>
      <w:proofErr w:type="gramEnd"/>
      <w:r w:rsidRPr="00034410">
        <w:t xml:space="preserve"> also did not reproduce the original results. The point estimate was off by a small amount (</w:t>
      </w:r>
      <m:oMath>
        <m:acc>
          <m:accPr>
            <m:chr m:val="̅"/>
            <m:ctrlPr>
              <w:rPr>
                <w:rFonts w:ascii="Cambria Math" w:hAnsi="Cambria Math"/>
                <w:i/>
                <w:sz w:val="20"/>
                <w:szCs w:val="20"/>
              </w:rPr>
            </m:ctrlPr>
          </m:accPr>
          <m:e>
            <m:r>
              <w:rPr>
                <w:rFonts w:ascii="Cambria Math" w:hAnsi="Cambria Math"/>
              </w:rPr>
              <m:t>r</m:t>
            </m:r>
          </m:e>
        </m:acc>
      </m:oMath>
      <w:r w:rsidRPr="00034410">
        <w:t xml:space="preserve"> = 0.01)</w:t>
      </w:r>
      <w:r>
        <w:t xml:space="preserve">. This is </w:t>
      </w:r>
      <w:r w:rsidRPr="00034410">
        <w:t xml:space="preserve">more than could be accounted for by </w:t>
      </w:r>
      <w:r>
        <w:t xml:space="preserve">common methods of </w:t>
      </w:r>
      <w:proofErr w:type="gramStart"/>
      <w:r w:rsidRPr="00034410">
        <w:t>rounding</w:t>
      </w:r>
      <w:r>
        <w:t>, but</w:t>
      </w:r>
      <w:proofErr w:type="gramEnd"/>
      <w:r>
        <w:t xml:space="preserve"> could be obtained via (erroneous) truncation</w:t>
      </w:r>
      <w:r w:rsidRPr="00034410">
        <w:t xml:space="preserve">. </w:t>
      </w:r>
      <w:r>
        <w:t>Nonetheless, this value was the closed I could achieve across attempts and, in the grand scheme of things, is close to the reported value. However, the Confidence Intervals were nearly four times wider than the original results. In addition, the Credibility Interval</w:t>
      </w:r>
      <w:r w:rsidRPr="00034410">
        <w:t xml:space="preserve">s again </w:t>
      </w:r>
      <w:r>
        <w:t xml:space="preserve">had zero width </w:t>
      </w:r>
      <w:r w:rsidRPr="00034410">
        <w:t xml:space="preserve">(i.e.,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and interval width was therefore set to zero)</w:t>
      </w:r>
      <w:r>
        <w:rPr>
          <w:iCs/>
        </w:rPr>
        <w:t xml:space="preserve"> and therefore greatly differed from the original results.</w:t>
      </w:r>
    </w:p>
    <w:p w14:paraId="4C6822BE" w14:textId="77777777" w:rsidR="00057A7F" w:rsidRPr="00034410" w:rsidRDefault="00057A7F" w:rsidP="00057A7F">
      <w:pPr>
        <w:pStyle w:val="Heading3"/>
      </w:pPr>
      <w:r w:rsidRPr="00034410">
        <w:t xml:space="preserve">Verification </w:t>
      </w:r>
      <w:proofErr w:type="gramStart"/>
      <w:r w:rsidRPr="00034410">
        <w:t>attempt</w:t>
      </w:r>
      <w:proofErr w:type="gramEnd"/>
      <w:r w:rsidRPr="00034410">
        <w:t xml:space="preserve"> </w:t>
      </w:r>
      <w:r>
        <w:t>3</w:t>
      </w:r>
    </w:p>
    <w:p w14:paraId="5209AEE2" w14:textId="77777777" w:rsidR="00057A7F" w:rsidRPr="00034410" w:rsidRDefault="00057A7F" w:rsidP="00057A7F">
      <w:pPr>
        <w:ind w:firstLine="0"/>
      </w:pPr>
      <w:r w:rsidRPr="00034410">
        <w:t xml:space="preserve">In a </w:t>
      </w:r>
      <w:r>
        <w:t>third</w:t>
      </w:r>
      <w:r w:rsidRPr="00034410">
        <w:t xml:space="preserve"> verification attempt, I switched from using Field</w:t>
      </w:r>
      <w:r>
        <w:t xml:space="preserve"> and Gillett’s</w:t>
      </w:r>
      <w:r w:rsidRPr="00034410">
        <w:t xml:space="preserve"> SPSS </w:t>
      </w:r>
      <w:r>
        <w:t xml:space="preserve">code </w:t>
      </w:r>
      <w:r w:rsidRPr="00034410">
        <w:t xml:space="preserve">to </w:t>
      </w:r>
      <w:proofErr w:type="spellStart"/>
      <w:r w:rsidRPr="00034410">
        <w:t>Vichtbauer’s</w:t>
      </w:r>
      <w:proofErr w:type="spellEnd"/>
      <w:r w:rsidRPr="00034410">
        <w:t xml:space="preserve"> </w:t>
      </w:r>
      <w:r w:rsidRPr="00034410">
        <w:fldChar w:fldCharType="begin"/>
      </w:r>
      <w:r>
        <w:instrText xml:space="preserve"> ADDIN ZOTERO_ITEM CSL_CITATION {"citationID":"MKTdnzPc","properties":{"formattedCitation":"(2022)","plainCitation":"(2022)","noteIndex":0},"citationItems":[{"id":29101,"uris":["http://zotero.org/users/1687755/items/AXENKNNK"],"itemData":{"id":29101,"type":"webpage","title":"Hunter and Schmidt Method","URL":"https://www.metafor-project.org/doku.php/tips:hunter_schmidt_method","author":[{"family":"Viechtbauer","given":"Wolfgang"}],"accessed":{"date-parts":[["2024",7,30]]},"issued":{"date-parts":[["2022"]]}},"label":"page","suppress-author":true}],"schema":"https://github.com/citation-style-language/schema/raw/master/csl-citation.json"} </w:instrText>
      </w:r>
      <w:r w:rsidRPr="00034410">
        <w:fldChar w:fldCharType="separate"/>
      </w:r>
      <w:r>
        <w:t>(2022)</w:t>
      </w:r>
      <w:r w:rsidRPr="00034410">
        <w:fldChar w:fldCharType="end"/>
      </w:r>
      <w:r w:rsidRPr="00034410">
        <w:t xml:space="preserve"> implementation </w:t>
      </w:r>
      <w:r>
        <w:t xml:space="preserve">of a </w:t>
      </w:r>
      <w:r w:rsidRPr="00034410">
        <w:t xml:space="preserve">Hunter &amp; Schmidt </w:t>
      </w:r>
      <w:r>
        <w:t xml:space="preserve">style meta-analysis that was written </w:t>
      </w:r>
      <w:r w:rsidRPr="00034410">
        <w:t xml:space="preserve">in R </w:t>
      </w:r>
      <w:r>
        <w:t>and</w:t>
      </w:r>
      <w:r w:rsidRPr="00034410">
        <w:t xml:space="preserve"> the </w:t>
      </w:r>
      <w:proofErr w:type="spellStart"/>
      <w:r w:rsidRPr="00034410">
        <w:t>metafor</w:t>
      </w:r>
      <w:proofErr w:type="spellEnd"/>
      <w:r w:rsidRPr="00034410">
        <w:t xml:space="preserve"> package </w:t>
      </w:r>
      <w:r w:rsidRPr="00034410">
        <w:fldChar w:fldCharType="begin"/>
      </w:r>
      <w:r w:rsidRPr="00034410">
        <w:instrText xml:space="preserve"> ADDIN ZOTERO_ITEM CSL_CITATION {"citationID":"XzGoTILX","properties":{"formattedCitation":"(Viechtbauer, 2010, 2024)","plainCitation":"(Viechtbauer, 2010, 2024)","noteIndex":0},"citationItems":[{"id":3775,"uris":["http://zotero.org/users/1687755/items/H4RMVYAU"],"itemData":{"id":3775,"type":"article-journal","abstract":"The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w:instrText>
      </w:r>
      <w:r w:rsidRPr="00034410">
        <w:rPr>
          <w:rFonts w:ascii="Cambria" w:hAnsi="Cambria" w:cs="Cambria"/>
        </w:rPr>
        <w:instrText>×</w:instrText>
      </w:r>
      <w:r w:rsidRPr="00034410">
        <w:instrText xml:space="preserve">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id":29100,"uris":["http://zotero.org/users/1687755/items/TUUVMC32"],"itemData":{"id":29100,"type":"software","abstract":"A comprehensive collection of functions for conducting meta-analyses in R. The package includes functions to calculate various effect sizes or outcome measures, fit equal-, fixed-, random-, and mixed-effects models to such data, carry out moderator and meta-regression analyses, and create various types of meta-analytical plots (e.g., forest, funnel, radial, L'Abbe, Baujat, bubble, and GOSH plots). For meta-analyses of binomial and person-time data, the package also provides functions that implement specialized methods, including the Mantel-Haenszel method, Peto's method, and a variety of suitable generalized linear (mixed-effects) models (i.e., mixed-effects logistic and Poisson regression models). Finally, the package provides functionality for fitting meta-analytic multivariate/multilevel models that account for non-independent sampling errors and/or true effects (e.g., due to the inclusion of multiple treatment studies, multiple endpoints, or other forms of clustering). Network meta-analyses and meta-analyses accounting for known correlation structures (e.g., due to phylogenetic relatedness) can also be conducted. An introduction to the package can be found in Viechtbauer (2010) &lt;doi:10.18637/jss.v036.i03&gt;.","license":"GPL-2 | GPL-3 [expanded from: GPL (</w:instrText>
      </w:r>
      <w:r w:rsidRPr="00034410">
        <w:rPr>
          <w:rFonts w:ascii="Cambria Math" w:hAnsi="Cambria Math" w:cs="Cambria Math"/>
        </w:rPr>
        <w:instrText>≥</w:instrText>
      </w:r>
      <w:r w:rsidRPr="00034410">
        <w:instrText xml:space="preserve"> 2)]","source":"R-Packages","title":"metafor: Meta-Analysis Package for R","title-short":"metafor","URL":"https://CRAN.R-project.org/package=metafor","version":"4.6-0","author":[{"family":"Viechtbauer","given":"Wolfgang"}],"accessed":{"date-parts":[["2024",7,30]]},"issued":{"date-parts":[["2024",3,28]]}}}],"schema":"https://github.com/citation-style-language/schema/raw/master/csl-citation.json"} </w:instrText>
      </w:r>
      <w:r w:rsidRPr="00034410">
        <w:fldChar w:fldCharType="separate"/>
      </w:r>
      <w:r w:rsidRPr="00034410">
        <w:rPr>
          <w:noProof/>
        </w:rPr>
        <w:t>(Viechtbauer, 2010, 2024)</w:t>
      </w:r>
      <w:r w:rsidRPr="00034410">
        <w:fldChar w:fldCharType="end"/>
      </w:r>
      <w:r w:rsidRPr="00034410">
        <w:t>. This provided new avenue</w:t>
      </w:r>
      <w:r>
        <w:t>s</w:t>
      </w:r>
      <w:r w:rsidRPr="00034410">
        <w:t xml:space="preserve"> to attempt to reproduce the original results in a programming language I was more familiar with</w:t>
      </w:r>
      <w:r>
        <w:t xml:space="preserve">, allowing me to more quickly try a wide variety of variations on a given attempt. However, this also </w:t>
      </w:r>
      <w:proofErr w:type="gramStart"/>
      <w:r>
        <w:t>opened up</w:t>
      </w:r>
      <w:proofErr w:type="gramEnd"/>
      <w:r>
        <w:t xml:space="preserve"> the possibility that non-reproduction was due to implementational differences between languages.</w:t>
      </w:r>
      <w:r w:rsidRPr="00034410">
        <w:t xml:space="preserve"> Field &amp; Gillett’s (2010) equations </w:t>
      </w:r>
      <w:r>
        <w:t xml:space="preserve">2-5 </w:t>
      </w:r>
      <w:r w:rsidRPr="00034410">
        <w:t xml:space="preserve">were </w:t>
      </w:r>
      <w:r>
        <w:t xml:space="preserve">used to </w:t>
      </w:r>
      <w:r w:rsidRPr="00034410">
        <w:t>implement</w:t>
      </w:r>
      <w:r>
        <w:t xml:space="preserve"> Credibility Intervals</w:t>
      </w:r>
      <w:r w:rsidRPr="00034410">
        <w:t xml:space="preserve">. </w:t>
      </w:r>
      <w:r>
        <w:t>In this attempt,</w:t>
      </w:r>
      <w:r w:rsidRPr="00034410">
        <w:t xml:space="preserve"> the </w:t>
      </w:r>
      <w:r>
        <w:t>Confidence Interval</w:t>
      </w:r>
      <w:r w:rsidRPr="00034410">
        <w:t xml:space="preserve">s reported in Vahey et al. (2015) were reproduced. However, the point estimate and </w:t>
      </w:r>
      <w:r>
        <w:t>Credibility Interval</w:t>
      </w:r>
      <w:r w:rsidRPr="00034410">
        <w:t>s again did not reproduce the original results, and matched the results found in verification analyses 1 and 3.</w:t>
      </w:r>
    </w:p>
    <w:p w14:paraId="58870877" w14:textId="77777777" w:rsidR="00057A7F" w:rsidRPr="00034410" w:rsidRDefault="00057A7F" w:rsidP="00057A7F">
      <w:r w:rsidRPr="00034410">
        <w:t xml:space="preserve">This verification </w:t>
      </w:r>
      <w:proofErr w:type="gramStart"/>
      <w:r w:rsidRPr="00034410">
        <w:t>attempt</w:t>
      </w:r>
      <w:proofErr w:type="gramEnd"/>
      <w:r w:rsidRPr="00034410">
        <w:t xml:space="preserve"> also attempted to reproduce the original forest plot (Vahey et al.’s, 2015, Figure 1), which was more feasible in R. It is useful to note that the original forest plot reported asymmetric </w:t>
      </w:r>
      <w:r>
        <w:t>Confidence Interval</w:t>
      </w:r>
      <w:r w:rsidRPr="00034410">
        <w:t xml:space="preserve">s around individual effect sizes. That is, the lower bounds are typically further from the point estimate than the upper bounds. This implies that some form of non-linear transformation was employed, such as a Fisher’s </w:t>
      </w:r>
      <w:r w:rsidRPr="00034410">
        <w:rPr>
          <w:i/>
          <w:iCs/>
        </w:rPr>
        <w:t>r</w:t>
      </w:r>
      <w:r w:rsidRPr="00034410">
        <w:t>-to-</w:t>
      </w:r>
      <w:r w:rsidRPr="00034410">
        <w:rPr>
          <w:i/>
          <w:iCs/>
        </w:rPr>
        <w:t>z</w:t>
      </w:r>
      <w:r w:rsidRPr="00034410">
        <w:t xml:space="preserve"> transformation. However, Vahey et al. (2015) do not report employing any transformations in their meta-analysis or forest plot. The forest </w:t>
      </w:r>
      <w:r w:rsidRPr="00095EF1">
        <w:t xml:space="preserve">plot associated with this verification attempt can be seen in Figure </w:t>
      </w:r>
      <w:r>
        <w:t>3</w:t>
      </w:r>
      <w:r w:rsidRPr="00095EF1">
        <w:t>. Confidence</w:t>
      </w:r>
      <w:r>
        <w:t xml:space="preserve"> Interval</w:t>
      </w:r>
      <w:r w:rsidRPr="00034410">
        <w:t>s around individual effect sizes were symmetric and therefore did not reproduce the original plot.</w:t>
      </w:r>
    </w:p>
    <w:p w14:paraId="4F5C9A71" w14:textId="77777777" w:rsidR="00057A7F" w:rsidRDefault="00057A7F">
      <w:pPr>
        <w:ind w:firstLine="0"/>
        <w:jc w:val="left"/>
        <w:rPr>
          <w:b/>
          <w:bCs/>
          <w:iCs/>
        </w:rPr>
        <w:sectPr w:rsidR="00057A7F" w:rsidSect="00057A7F">
          <w:type w:val="continuous"/>
          <w:pgSz w:w="11900" w:h="16840"/>
          <w:pgMar w:top="1440" w:right="1440" w:bottom="1440" w:left="1440" w:header="709" w:footer="709" w:gutter="0"/>
          <w:cols w:num="2" w:space="340"/>
          <w:titlePg/>
          <w:docGrid w:linePitch="360"/>
          <w15:footnoteColumns w:val="1"/>
        </w:sectPr>
      </w:pPr>
    </w:p>
    <w:p w14:paraId="6CAC1CB7" w14:textId="3E78DCAB" w:rsidR="00057A7F" w:rsidRDefault="00057A7F">
      <w:pPr>
        <w:ind w:firstLine="0"/>
        <w:jc w:val="left"/>
        <w:rPr>
          <w:b/>
          <w:bCs/>
          <w:iCs/>
        </w:rPr>
      </w:pPr>
      <w:r>
        <w:rPr>
          <w:b/>
          <w:bCs/>
          <w:iCs/>
        </w:rPr>
        <w:br w:type="page"/>
      </w:r>
    </w:p>
    <w:p w14:paraId="5C369A50" w14:textId="4253A1E3" w:rsidR="00D0718D" w:rsidRPr="00D0718D" w:rsidRDefault="00D0718D" w:rsidP="00056983">
      <w:pPr>
        <w:ind w:firstLine="0"/>
        <w:rPr>
          <w:b/>
          <w:bCs/>
          <w:iCs/>
        </w:rPr>
      </w:pPr>
      <w:r w:rsidRPr="00D0718D">
        <w:rPr>
          <w:b/>
          <w:bCs/>
          <w:iCs/>
        </w:rPr>
        <w:lastRenderedPageBreak/>
        <w:t xml:space="preserve">Figure </w:t>
      </w:r>
      <w:r w:rsidR="00B21A2E">
        <w:rPr>
          <w:b/>
          <w:bCs/>
          <w:iCs/>
        </w:rPr>
        <w:t>3</w:t>
      </w:r>
      <w:r w:rsidRPr="00D0718D">
        <w:rPr>
          <w:b/>
          <w:bCs/>
          <w:iCs/>
        </w:rPr>
        <w:t xml:space="preserve">. Forest plot for </w:t>
      </w:r>
      <w:r w:rsidR="001A4627">
        <w:rPr>
          <w:b/>
          <w:bCs/>
          <w:iCs/>
        </w:rPr>
        <w:t xml:space="preserve">meta-analysis </w:t>
      </w:r>
      <w:r w:rsidRPr="00D0718D">
        <w:rPr>
          <w:b/>
          <w:bCs/>
          <w:iCs/>
        </w:rPr>
        <w:t>verification attempt 3.</w:t>
      </w:r>
    </w:p>
    <w:p w14:paraId="53BC1A49" w14:textId="72494AF8" w:rsidR="00D0718D" w:rsidRDefault="00D0718D" w:rsidP="00FF1884">
      <w:pPr>
        <w:ind w:firstLine="0"/>
        <w:jc w:val="center"/>
        <w:rPr>
          <w:iCs/>
        </w:rPr>
      </w:pPr>
      <w:r>
        <w:rPr>
          <w:iCs/>
          <w:noProof/>
        </w:rPr>
        <w:drawing>
          <wp:inline distT="0" distB="0" distL="0" distR="0" wp14:anchorId="00CDEDE1" wp14:editId="621DD381">
            <wp:extent cx="4572000" cy="2743200"/>
            <wp:effectExtent l="0" t="0" r="0" b="0"/>
            <wp:docPr id="1715519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9359" name="Picture 1715519359"/>
                    <pic:cNvPicPr/>
                  </pic:nvPicPr>
                  <pic:blipFill>
                    <a:blip r:embed="rId14"/>
                    <a:stretch>
                      <a:fillRect/>
                    </a:stretch>
                  </pic:blipFill>
                  <pic:spPr>
                    <a:xfrm>
                      <a:off x="0" y="0"/>
                      <a:ext cx="4621825" cy="2773095"/>
                    </a:xfrm>
                    <a:prstGeom prst="rect">
                      <a:avLst/>
                    </a:prstGeom>
                  </pic:spPr>
                </pic:pic>
              </a:graphicData>
            </a:graphic>
          </wp:inline>
        </w:drawing>
      </w:r>
    </w:p>
    <w:p w14:paraId="2FC62C7D" w14:textId="77777777" w:rsidR="00D736B9" w:rsidRDefault="00D736B9" w:rsidP="00056983">
      <w:pPr>
        <w:ind w:firstLine="0"/>
        <w:rPr>
          <w:iCs/>
        </w:rPr>
      </w:pPr>
    </w:p>
    <w:p w14:paraId="57B236E1" w14:textId="62A79957" w:rsidR="00D736B9" w:rsidRDefault="00D736B9" w:rsidP="00D736B9">
      <w:pPr>
        <w:ind w:firstLine="0"/>
        <w:rPr>
          <w:b/>
          <w:bCs/>
          <w:iCs/>
        </w:rPr>
      </w:pPr>
      <w:r w:rsidRPr="00D0718D">
        <w:rPr>
          <w:b/>
          <w:bCs/>
          <w:iCs/>
        </w:rPr>
        <w:t xml:space="preserve">Figure </w:t>
      </w:r>
      <w:r w:rsidR="00B21A2E">
        <w:rPr>
          <w:b/>
          <w:bCs/>
          <w:iCs/>
        </w:rPr>
        <w:t>4</w:t>
      </w:r>
      <w:r w:rsidRPr="00D0718D">
        <w:rPr>
          <w:b/>
          <w:bCs/>
          <w:iCs/>
        </w:rPr>
        <w:t xml:space="preserve">. Forest plot for </w:t>
      </w:r>
      <w:r>
        <w:rPr>
          <w:b/>
          <w:bCs/>
          <w:iCs/>
        </w:rPr>
        <w:t xml:space="preserve">meta-analysis </w:t>
      </w:r>
      <w:r w:rsidRPr="00D0718D">
        <w:rPr>
          <w:b/>
          <w:bCs/>
          <w:iCs/>
        </w:rPr>
        <w:t xml:space="preserve">verification attempt </w:t>
      </w:r>
      <w:r>
        <w:rPr>
          <w:b/>
          <w:bCs/>
          <w:iCs/>
        </w:rPr>
        <w:t>4</w:t>
      </w:r>
      <w:r w:rsidRPr="00D0718D">
        <w:rPr>
          <w:b/>
          <w:bCs/>
          <w:iCs/>
        </w:rPr>
        <w:t>.</w:t>
      </w:r>
    </w:p>
    <w:p w14:paraId="480A8C39" w14:textId="733F2763" w:rsidR="00D736B9" w:rsidRPr="00EA0AA1" w:rsidRDefault="00FF1884" w:rsidP="00EA0AA1">
      <w:pPr>
        <w:ind w:firstLine="0"/>
        <w:jc w:val="center"/>
        <w:rPr>
          <w:b/>
          <w:bCs/>
          <w:iCs/>
        </w:rPr>
      </w:pPr>
      <w:r>
        <w:rPr>
          <w:b/>
          <w:bCs/>
          <w:iCs/>
          <w:noProof/>
        </w:rPr>
        <w:drawing>
          <wp:inline distT="0" distB="0" distL="0" distR="0" wp14:anchorId="4DC77E88" wp14:editId="28015770">
            <wp:extent cx="4572000" cy="2743200"/>
            <wp:effectExtent l="0" t="0" r="0" b="0"/>
            <wp:docPr id="105417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76775" name="Picture 1054176775"/>
                    <pic:cNvPicPr/>
                  </pic:nvPicPr>
                  <pic:blipFill>
                    <a:blip r:embed="rId15"/>
                    <a:stretch>
                      <a:fillRect/>
                    </a:stretch>
                  </pic:blipFill>
                  <pic:spPr>
                    <a:xfrm>
                      <a:off x="0" y="0"/>
                      <a:ext cx="4623325" cy="2773995"/>
                    </a:xfrm>
                    <a:prstGeom prst="rect">
                      <a:avLst/>
                    </a:prstGeom>
                  </pic:spPr>
                </pic:pic>
              </a:graphicData>
            </a:graphic>
          </wp:inline>
        </w:drawing>
      </w:r>
    </w:p>
    <w:p w14:paraId="681F30A7" w14:textId="77777777" w:rsidR="00D0718D" w:rsidRDefault="00D0718D" w:rsidP="00056983">
      <w:pPr>
        <w:ind w:firstLine="0"/>
        <w:rPr>
          <w:iCs/>
        </w:rPr>
        <w:sectPr w:rsidR="00D0718D" w:rsidSect="00D0718D">
          <w:type w:val="continuous"/>
          <w:pgSz w:w="11900" w:h="16840"/>
          <w:pgMar w:top="1440" w:right="1440" w:bottom="1440" w:left="1440" w:header="709" w:footer="709" w:gutter="0"/>
          <w:cols w:space="340"/>
          <w:titlePg/>
          <w:docGrid w:linePitch="360"/>
          <w15:footnoteColumns w:val="1"/>
        </w:sectPr>
      </w:pPr>
    </w:p>
    <w:p w14:paraId="514A80E2" w14:textId="77777777" w:rsidR="00093F1F" w:rsidRDefault="00093F1F" w:rsidP="00EA0AA1">
      <w:pPr>
        <w:ind w:firstLine="0"/>
        <w:sectPr w:rsidR="00093F1F" w:rsidSect="00601B7B">
          <w:type w:val="continuous"/>
          <w:pgSz w:w="11900" w:h="16840"/>
          <w:pgMar w:top="1440" w:right="1440" w:bottom="1440" w:left="1440" w:header="709" w:footer="709" w:gutter="0"/>
          <w:cols w:num="2" w:space="340"/>
          <w:titlePg/>
          <w:docGrid w:linePitch="360"/>
          <w15:footnoteColumns w:val="1"/>
        </w:sectPr>
      </w:pPr>
    </w:p>
    <w:p w14:paraId="16CDDF15" w14:textId="77777777" w:rsidR="00093F1F" w:rsidRDefault="00093F1F" w:rsidP="00EA0AA1">
      <w:pPr>
        <w:ind w:firstLine="0"/>
      </w:pPr>
    </w:p>
    <w:p w14:paraId="323F2C54" w14:textId="77777777" w:rsidR="00093F1F" w:rsidRDefault="00093F1F" w:rsidP="00093F1F">
      <w:pPr>
        <w:ind w:firstLine="0"/>
        <w:sectPr w:rsidR="00093F1F" w:rsidSect="00093F1F">
          <w:type w:val="continuous"/>
          <w:pgSz w:w="11900" w:h="16840"/>
          <w:pgMar w:top="1440" w:right="1440" w:bottom="1440" w:left="1440" w:header="709" w:footer="709" w:gutter="0"/>
          <w:cols w:space="340"/>
          <w:titlePg/>
          <w:docGrid w:linePitch="360"/>
          <w15:footnoteColumns w:val="1"/>
        </w:sectPr>
      </w:pPr>
    </w:p>
    <w:p w14:paraId="3071E4B0" w14:textId="645DABC4" w:rsidR="00CE42B4" w:rsidRPr="00034410" w:rsidRDefault="00CE42B4" w:rsidP="00034410">
      <w:pPr>
        <w:pStyle w:val="Heading3"/>
      </w:pPr>
      <w:r w:rsidRPr="00034410">
        <w:t xml:space="preserve">Verification </w:t>
      </w:r>
      <w:proofErr w:type="gramStart"/>
      <w:r w:rsidRPr="00034410">
        <w:t>attempt</w:t>
      </w:r>
      <w:proofErr w:type="gramEnd"/>
      <w:r w:rsidRPr="00034410">
        <w:t xml:space="preserve"> </w:t>
      </w:r>
      <w:r w:rsidR="00867AC0">
        <w:t>4</w:t>
      </w:r>
    </w:p>
    <w:p w14:paraId="77531A9E" w14:textId="6DC197CF" w:rsidR="005E75C5" w:rsidRDefault="00CE42B4" w:rsidP="00034410">
      <w:r w:rsidRPr="00034410">
        <w:t xml:space="preserve">In </w:t>
      </w:r>
      <w:r w:rsidR="00300E5D" w:rsidRPr="00034410">
        <w:t xml:space="preserve">the </w:t>
      </w:r>
      <w:r w:rsidR="0054637F">
        <w:t>fourth</w:t>
      </w:r>
      <w:r w:rsidR="00300E5D" w:rsidRPr="00034410">
        <w:t xml:space="preserve"> </w:t>
      </w:r>
      <w:r w:rsidR="00DA70FA" w:rsidRPr="00034410">
        <w:t xml:space="preserve">meta-analysis </w:t>
      </w:r>
      <w:r w:rsidRPr="00034410">
        <w:t>verification attempt,</w:t>
      </w:r>
      <w:r w:rsidR="00E64CC9" w:rsidRPr="00034410">
        <w:t xml:space="preserve"> I appl</w:t>
      </w:r>
      <w:r w:rsidR="001E6578">
        <w:t>ied</w:t>
      </w:r>
      <w:r w:rsidR="00E64CC9" w:rsidRPr="00034410">
        <w:t xml:space="preserve"> Fisher’s </w:t>
      </w:r>
      <w:r w:rsidR="00E64CC9" w:rsidRPr="00034410">
        <w:rPr>
          <w:i/>
          <w:iCs/>
        </w:rPr>
        <w:t>r</w:t>
      </w:r>
      <w:r w:rsidR="00E64CC9" w:rsidRPr="00034410">
        <w:t>-to-</w:t>
      </w:r>
      <w:r w:rsidR="00E64CC9" w:rsidRPr="00034410">
        <w:rPr>
          <w:i/>
          <w:iCs/>
        </w:rPr>
        <w:t>z</w:t>
      </w:r>
      <w:r w:rsidR="00E64CC9" w:rsidRPr="00034410">
        <w:t xml:space="preserve"> transformations to the individual effect sizes prior to meta-analysis and back transformations prior to reporting and plotting. </w:t>
      </w:r>
      <w:r w:rsidR="000B270B" w:rsidRPr="00034410">
        <w:t xml:space="preserve">The analysis was otherwise identical to the previous attempt. </w:t>
      </w:r>
      <w:r w:rsidR="00A9575F" w:rsidRPr="00034410">
        <w:t>All estimated values were identical to the attempt</w:t>
      </w:r>
      <w:r w:rsidR="00BF0A69">
        <w:t xml:space="preserve"> 3</w:t>
      </w:r>
      <w:r w:rsidR="00A9575F" w:rsidRPr="00034410">
        <w:t xml:space="preserve">, therefore the original </w:t>
      </w:r>
      <w:r w:rsidR="003E7C6F">
        <w:t xml:space="preserve">meta-analysis </w:t>
      </w:r>
      <w:r w:rsidR="00A9575F" w:rsidRPr="00034410">
        <w:t xml:space="preserve">results were not reproduced. </w:t>
      </w:r>
    </w:p>
    <w:p w14:paraId="380396E2" w14:textId="2D97BFE1" w:rsidR="00550D8B" w:rsidRDefault="005E75C5" w:rsidP="00034410">
      <w:r>
        <w:t>However, t</w:t>
      </w:r>
      <w:r w:rsidR="00A9575F" w:rsidRPr="00034410">
        <w:t xml:space="preserve">he forest plot associated with this attempt </w:t>
      </w:r>
      <w:r w:rsidR="00095EF1">
        <w:t xml:space="preserve">did </w:t>
      </w:r>
      <w:r w:rsidR="00A9575F" w:rsidRPr="00034410">
        <w:t xml:space="preserve">reproduce the </w:t>
      </w:r>
      <w:r w:rsidR="00BE42D5">
        <w:t>Confidence Interval</w:t>
      </w:r>
      <w:r w:rsidR="00C03C33" w:rsidRPr="00034410">
        <w:t xml:space="preserve">s around the individual effect sizes </w:t>
      </w:r>
      <w:r w:rsidR="003A2CB1">
        <w:t xml:space="preserve">from </w:t>
      </w:r>
      <w:r w:rsidR="00095EF1">
        <w:t xml:space="preserve">Vahey et al.’s (2015) </w:t>
      </w:r>
      <w:r w:rsidR="00C03C33" w:rsidRPr="00034410">
        <w:t xml:space="preserve">original </w:t>
      </w:r>
      <w:r w:rsidR="00095EF1">
        <w:t xml:space="preserve">forest </w:t>
      </w:r>
      <w:r w:rsidR="00095EF1" w:rsidRPr="00095EF1">
        <w:t xml:space="preserve">plot </w:t>
      </w:r>
      <w:r w:rsidR="00A737AB" w:rsidRPr="00095EF1">
        <w:t>(see</w:t>
      </w:r>
      <w:r w:rsidR="00095EF1" w:rsidRPr="00095EF1">
        <w:t xml:space="preserve"> their Figure 1 and this manuscript’s</w:t>
      </w:r>
      <w:r w:rsidR="00A737AB" w:rsidRPr="00095EF1">
        <w:t xml:space="preserve"> Figure</w:t>
      </w:r>
      <w:r w:rsidR="00B24332">
        <w:t>s</w:t>
      </w:r>
      <w:r w:rsidR="00A737AB" w:rsidRPr="00095EF1">
        <w:t xml:space="preserve"> </w:t>
      </w:r>
      <w:r w:rsidR="00B24332">
        <w:t xml:space="preserve">1 and </w:t>
      </w:r>
      <w:r w:rsidR="007745DA">
        <w:t>3</w:t>
      </w:r>
      <w:r w:rsidR="00A737AB" w:rsidRPr="00095EF1">
        <w:t>)</w:t>
      </w:r>
      <w:r w:rsidR="001949BE" w:rsidRPr="00095EF1">
        <w:t>,</w:t>
      </w:r>
      <w:r w:rsidR="001949BE" w:rsidRPr="00034410">
        <w:t xml:space="preserve"> suggesting that Vahey et al. (2015) employed these transformations but did not report them. </w:t>
      </w:r>
      <w:r w:rsidR="0098076F">
        <w:t xml:space="preserve">This </w:t>
      </w:r>
      <w:r w:rsidR="0098076F">
        <w:t xml:space="preserve">under-reported data transformation also </w:t>
      </w:r>
      <w:r w:rsidR="0098076F">
        <w:t xml:space="preserve">implies a second form of </w:t>
      </w:r>
      <w:r w:rsidR="0098076F">
        <w:t>underreporting: Vahey et al. (2015) reported employing a Hunter &amp; Schmidt style meta-analysis, but this implies that they diverged from this strategy by also applying Hedges style data transformations</w:t>
      </w:r>
      <w:r w:rsidR="00F06731">
        <w:t xml:space="preserve"> (in addition to not applying Hunter &amp; Schmidt style corrections for reliability). </w:t>
      </w:r>
      <w:r w:rsidR="004730DE">
        <w:t xml:space="preserve">While this reproduction of the original individual effect sizes and their Confidence Intervals gets us one step closer to understanding the original analytic strategy, it nonetheless does not reproduce the meta-analysis results. </w:t>
      </w:r>
    </w:p>
    <w:p w14:paraId="00AA5E55" w14:textId="49E4226A" w:rsidR="000C5BDB" w:rsidRDefault="003B092A" w:rsidP="00034410">
      <w:pPr>
        <w:pStyle w:val="Heading3"/>
      </w:pPr>
      <w:r w:rsidRPr="00034410">
        <w:t>Summar</w:t>
      </w:r>
      <w:r w:rsidR="00987DC7" w:rsidRPr="00034410">
        <w:t xml:space="preserve">y </w:t>
      </w:r>
      <w:r w:rsidR="009B1C88">
        <w:t>of attempts</w:t>
      </w:r>
    </w:p>
    <w:p w14:paraId="0D4642BC" w14:textId="35A85794" w:rsidR="009B1C88" w:rsidRPr="009B1C88" w:rsidRDefault="009B1C88" w:rsidP="009B1C88">
      <w:proofErr w:type="gramStart"/>
      <w:r>
        <w:t>A large number of</w:t>
      </w:r>
      <w:proofErr w:type="gramEnd"/>
      <w:r>
        <w:t xml:space="preserve"> small variations on the attempts that are reported here were also tried. For example, alternative values for reliability estimates in attempt 2, and not </w:t>
      </w:r>
      <w:proofErr w:type="gramStart"/>
      <w:r>
        <w:t>back-transforming</w:t>
      </w:r>
      <w:proofErr w:type="gramEnd"/>
      <w:r>
        <w:t xml:space="preserve"> the </w:t>
      </w:r>
      <w:r w:rsidRPr="002D10F0">
        <w:rPr>
          <w:i/>
          <w:iCs/>
        </w:rPr>
        <w:t>z</w:t>
      </w:r>
      <w:r>
        <w:t xml:space="preserve"> values in attempt 4. I also tried </w:t>
      </w:r>
      <w:proofErr w:type="gramStart"/>
      <w:r>
        <w:t>a number of</w:t>
      </w:r>
      <w:proofErr w:type="gramEnd"/>
      <w:r>
        <w:t xml:space="preserve"> purposeful mistakes, such as miscalculating Credibility Intervals based on plausible </w:t>
      </w:r>
      <w:r>
        <w:lastRenderedPageBreak/>
        <w:t>mathematical and coding errors. No attempt successfully reproduced the originally reported results.</w:t>
      </w:r>
    </w:p>
    <w:p w14:paraId="1A5FB23D" w14:textId="77777777" w:rsidR="004735A6" w:rsidRDefault="00BE42D5" w:rsidP="00034410">
      <w:r>
        <w:t>Confidence Interval</w:t>
      </w:r>
      <w:r w:rsidR="002353CA" w:rsidRPr="00034410">
        <w:t xml:space="preserve">s around individual effect sizes in the </w:t>
      </w:r>
      <w:r w:rsidR="00E0308B">
        <w:t xml:space="preserve">original </w:t>
      </w:r>
      <w:r w:rsidR="002353CA" w:rsidRPr="00034410">
        <w:t xml:space="preserve">forest plot were only reproduced when Fisher’s </w:t>
      </w:r>
      <w:r w:rsidR="002353CA" w:rsidRPr="00034410">
        <w:rPr>
          <w:i/>
          <w:iCs/>
        </w:rPr>
        <w:t>r</w:t>
      </w:r>
      <w:r w:rsidR="002353CA" w:rsidRPr="00034410">
        <w:t>-to-</w:t>
      </w:r>
      <w:r w:rsidR="002353CA" w:rsidRPr="00034410">
        <w:rPr>
          <w:i/>
          <w:iCs/>
        </w:rPr>
        <w:t>z</w:t>
      </w:r>
      <w:r w:rsidR="002353CA" w:rsidRPr="00034410">
        <w:t xml:space="preserve"> transformations were applied (verification attempt </w:t>
      </w:r>
      <w:r w:rsidR="00C82E8B">
        <w:t>4</w:t>
      </w:r>
      <w:r w:rsidR="002353CA" w:rsidRPr="00034410">
        <w:t xml:space="preserve">) and not when they weren’t (verification attempt </w:t>
      </w:r>
      <w:r w:rsidR="00C82E8B">
        <w:t>1-3</w:t>
      </w:r>
      <w:r w:rsidR="002353CA" w:rsidRPr="00034410">
        <w:t xml:space="preserve">). However, (a) Vahey et al. (2015) did not report applying this transformation in their meta-analysis or plot, and (b) Field &amp; Gillett (2010) </w:t>
      </w:r>
      <w:r w:rsidR="000415FA" w:rsidRPr="00034410">
        <w:t>state</w:t>
      </w:r>
      <w:r w:rsidR="000B270B" w:rsidRPr="00034410">
        <w:t>d</w:t>
      </w:r>
      <w:r w:rsidR="000415FA" w:rsidRPr="00034410">
        <w:t xml:space="preserve"> that this transformation is not part of the Hunter &amp; Schmidt method of meta</w:t>
      </w:r>
      <w:r w:rsidR="004B6D0F" w:rsidRPr="00034410">
        <w:t>-</w:t>
      </w:r>
      <w:r w:rsidR="000415FA" w:rsidRPr="00034410">
        <w:t xml:space="preserve">analysis. </w:t>
      </w:r>
      <w:r w:rsidR="00E35176" w:rsidRPr="00034410">
        <w:t>This would therefore be an ad-hoc mix of the</w:t>
      </w:r>
      <w:r w:rsidR="000B270B" w:rsidRPr="00034410">
        <w:t xml:space="preserve"> Hunter and Schmidt method and the Hedges and colleagues’ method, as Field &amp; Gillett (2010) describes them. </w:t>
      </w:r>
    </w:p>
    <w:p w14:paraId="5159D5D1" w14:textId="1C72FC58" w:rsidR="000521C2" w:rsidRDefault="000521C2" w:rsidP="000521C2">
      <w:r>
        <w:t xml:space="preserve">I noted previously in </w:t>
      </w:r>
      <w:r w:rsidRPr="000521C2">
        <w:t>the “</w:t>
      </w:r>
      <w:r w:rsidRPr="000521C2">
        <w:t xml:space="preserve">Issues with the meta-analysis </w:t>
      </w:r>
      <w:r>
        <w:t>results”</w:t>
      </w:r>
      <w:r w:rsidRPr="000521C2">
        <w:t xml:space="preserve"> section </w:t>
      </w:r>
      <w:r>
        <w:t xml:space="preserve">that the original </w:t>
      </w:r>
      <w:r w:rsidR="002C28D0">
        <w:t xml:space="preserve">meta-analysis point estimate is incompatible with the reported Confidence Intervals. Interesting, if we assume that (a) the originally reported point estimate is incorrectly reported but the Confidence Intervals are correctly reported, and (b) that the Confidence Intervals are symmetrical, this </w:t>
      </w:r>
      <w:proofErr w:type="gramStart"/>
      <w:r w:rsidR="002C28D0">
        <w:t>would</w:t>
      </w:r>
      <w:proofErr w:type="gramEnd"/>
      <w:r w:rsidR="002C28D0">
        <w:t xml:space="preserve"> imply that a correct point estimate of .47 (i.e., at the half way point between the intervals). An point estimate of .47 combined with Confidence Intervals of [.40, .54] was reproduced in verification attempts 3 and 4. </w:t>
      </w:r>
      <w:r w:rsidR="00EC09FF">
        <w:t xml:space="preserve">However, this does not imply that the original results are merely the result of a typo in the point estimate, as (a) the Credibility Intervals in verification attempts 3 and 4 are very different to the original results, and (b) more confusingly, these results were produced only by </w:t>
      </w:r>
      <w:proofErr w:type="spellStart"/>
      <w:r w:rsidR="00EC09FF" w:rsidRPr="00EC09FF">
        <w:t>Viechtbauer’s</w:t>
      </w:r>
      <w:proofErr w:type="spellEnd"/>
      <w:r w:rsidR="00EC09FF" w:rsidRPr="00EC09FF">
        <w:t xml:space="preserve"> </w:t>
      </w:r>
      <w:r w:rsidR="00EC09FF">
        <w:t xml:space="preserve">(2022) implementation of the analysis in R and </w:t>
      </w:r>
      <w:proofErr w:type="spellStart"/>
      <w:r w:rsidR="00EC09FF">
        <w:t>metafor</w:t>
      </w:r>
      <w:proofErr w:type="spellEnd"/>
      <w:r w:rsidR="00EC09FF">
        <w:t>, but not using the scripts that Vahey et al. (2015) report having used.</w:t>
      </w:r>
      <w:r w:rsidR="0086020D">
        <w:t xml:space="preserve"> It therefore remains to be unclear how Vahey et al. (2015) analysed their data or obtained all their results. </w:t>
      </w:r>
    </w:p>
    <w:p w14:paraId="7B9459F8" w14:textId="7701331F" w:rsidR="00697E83" w:rsidRPr="00034410" w:rsidRDefault="003D54FA" w:rsidP="00034410">
      <w:pPr>
        <w:pStyle w:val="Heading2"/>
      </w:pPr>
      <w:r w:rsidRPr="00034410">
        <w:t>A</w:t>
      </w:r>
      <w:r w:rsidR="00B95E95" w:rsidRPr="00034410">
        <w:t>verage effect sizes</w:t>
      </w:r>
      <w:r w:rsidR="007E5FD2" w:rsidRPr="00034410">
        <w:t xml:space="preserve"> </w:t>
      </w:r>
    </w:p>
    <w:p w14:paraId="10228B56" w14:textId="1B5C5859" w:rsidR="00B95E95" w:rsidRPr="00034410" w:rsidRDefault="000B0C9B" w:rsidP="000B0C9B">
      <w:proofErr w:type="gramStart"/>
      <w:r>
        <w:t>In order to</w:t>
      </w:r>
      <w:proofErr w:type="gramEnd"/>
      <w:r>
        <w:t xml:space="preserve"> </w:t>
      </w:r>
      <w:r w:rsidR="008C347B">
        <w:t xml:space="preserve">attempt to retrace the steps involved in the original </w:t>
      </w:r>
      <w:r>
        <w:t xml:space="preserve">analysis, I then noted that </w:t>
      </w:r>
      <w:r w:rsidR="00697E83" w:rsidRPr="00034410">
        <w:t xml:space="preserve">Vahey </w:t>
      </w:r>
      <w:r>
        <w:t xml:space="preserve">et al. (2015) </w:t>
      </w:r>
      <w:r w:rsidR="00697E83" w:rsidRPr="00034410">
        <w:t xml:space="preserve">reported that the </w:t>
      </w:r>
      <w:r w:rsidR="007A6740" w:rsidRPr="00034410">
        <w:t xml:space="preserve">15 </w:t>
      </w:r>
      <w:r w:rsidR="00697E83" w:rsidRPr="00034410">
        <w:t xml:space="preserve">weighted average effect sizes they used in their meta-analysis were calculated from </w:t>
      </w:r>
      <w:r w:rsidR="007A6740" w:rsidRPr="00034410">
        <w:t xml:space="preserve">46 </w:t>
      </w:r>
      <w:r w:rsidR="00697E83" w:rsidRPr="00034410">
        <w:t xml:space="preserve">individual effect sizes and </w:t>
      </w:r>
      <w:r w:rsidR="00FA3C97" w:rsidRPr="00034410">
        <w:t>degrees of freedom</w:t>
      </w:r>
      <w:r w:rsidR="00697E83" w:rsidRPr="00034410">
        <w:t xml:space="preserve"> </w:t>
      </w:r>
      <w:r>
        <w:t>taken from 15 studies. Vahey et al. (2015) report</w:t>
      </w:r>
      <w:r w:rsidR="00C315F6">
        <w:t>ed</w:t>
      </w:r>
      <w:r>
        <w:t xml:space="preserve"> the individual effect sizes and degrees of freedom in</w:t>
      </w:r>
      <w:r w:rsidR="00697E83" w:rsidRPr="00034410">
        <w:t xml:space="preserve"> their supplementary materials. I </w:t>
      </w:r>
      <w:r w:rsidR="00C315F6">
        <w:t xml:space="preserve">therefore </w:t>
      </w:r>
      <w:r w:rsidR="00697E83" w:rsidRPr="00034410">
        <w:t xml:space="preserve">attempted to verify </w:t>
      </w:r>
      <w:r w:rsidR="00C315F6">
        <w:t xml:space="preserve">the weighted averages </w:t>
      </w:r>
      <w:r w:rsidR="00697E83" w:rsidRPr="00034410">
        <w:t xml:space="preserve">by recalculating </w:t>
      </w:r>
      <w:r w:rsidR="00C315F6">
        <w:t xml:space="preserve">them using </w:t>
      </w:r>
      <w:proofErr w:type="spellStart"/>
      <w:r w:rsidR="00FA3C97" w:rsidRPr="00034410">
        <w:t>using</w:t>
      </w:r>
      <w:proofErr w:type="spellEnd"/>
      <w:r w:rsidR="00FA3C97" w:rsidRPr="00034410">
        <w:t xml:space="preserve"> Vahey’s strategy of weighting by degrees of freedom</w:t>
      </w:r>
      <w:r w:rsidR="00697E83" w:rsidRPr="00034410">
        <w:t xml:space="preserve">. </w:t>
      </w:r>
      <w:r w:rsidR="00B95E95" w:rsidRPr="00034410">
        <w:t xml:space="preserve">Results were not </w:t>
      </w:r>
      <w:r w:rsidR="00002C55">
        <w:t xml:space="preserve">fully </w:t>
      </w:r>
      <w:r w:rsidR="00B95E95" w:rsidRPr="00034410">
        <w:t>computationally reproducible</w:t>
      </w:r>
      <w:r w:rsidR="0033061C" w:rsidRPr="00034410">
        <w:t xml:space="preserve">: </w:t>
      </w:r>
      <w:r w:rsidR="00B95E95" w:rsidRPr="00034410">
        <w:t xml:space="preserve">2 of 15 (13%) </w:t>
      </w:r>
      <w:r w:rsidR="0033061C" w:rsidRPr="00034410">
        <w:t>recomputed weighted averages differed from those reported in Vahey’s forest plot</w:t>
      </w:r>
      <w:r w:rsidR="00B95E95" w:rsidRPr="00034410">
        <w:t xml:space="preserve">. </w:t>
      </w:r>
      <w:r w:rsidR="008B53FE" w:rsidRPr="00034410">
        <w:t>On the one hand, t</w:t>
      </w:r>
      <w:r w:rsidR="00B95E95" w:rsidRPr="00034410">
        <w:t>he magnitudes of the differences were small (</w:t>
      </w:r>
      <m:oMath>
        <m:r>
          <m:rPr>
            <m:sty m:val="p"/>
          </m:rPr>
          <w:rPr>
            <w:rFonts w:ascii="Cambria Math" w:hAnsi="Cambria Math"/>
          </w:rPr>
          <m:t>Δ</m:t>
        </m:r>
        <m:acc>
          <m:accPr>
            <m:chr m:val="̅"/>
            <m:ctrlPr>
              <w:rPr>
                <w:rFonts w:ascii="Cambria Math" w:hAnsi="Cambria Math"/>
                <w:i/>
                <w:sz w:val="20"/>
                <w:szCs w:val="20"/>
              </w:rPr>
            </m:ctrlPr>
          </m:accPr>
          <m:e>
            <m:r>
              <w:rPr>
                <w:rFonts w:ascii="Cambria Math" w:hAnsi="Cambria Math"/>
              </w:rPr>
              <m:t>r</m:t>
            </m:r>
          </m:e>
        </m:acc>
      </m:oMath>
      <w:r w:rsidR="00C73A84" w:rsidRPr="00034410">
        <w:t xml:space="preserve"> </w:t>
      </w:r>
      <w:r w:rsidR="00B95E95" w:rsidRPr="00034410">
        <w:t xml:space="preserve"> = -.02 and .05).</w:t>
      </w:r>
      <w:r w:rsidR="007C71A5" w:rsidRPr="00034410">
        <w:t xml:space="preserve"> </w:t>
      </w:r>
      <w:r w:rsidR="008B53FE" w:rsidRPr="00034410">
        <w:t xml:space="preserve">On the other hand, given the simplicity of these calculations, </w:t>
      </w:r>
      <w:r w:rsidR="001B7C79">
        <w:t>the discrepancy is difficult to understand</w:t>
      </w:r>
      <w:r w:rsidR="008B53FE" w:rsidRPr="00034410">
        <w:t>.</w:t>
      </w:r>
      <w:r w:rsidR="00103A1D">
        <w:t xml:space="preserve"> Both instances with discrepancies came from articles that were </w:t>
      </w:r>
      <w:proofErr w:type="gramStart"/>
      <w:r w:rsidR="00103A1D">
        <w:t>first-authored</w:t>
      </w:r>
      <w:proofErr w:type="gramEnd"/>
      <w:r w:rsidR="00103A1D">
        <w:t xml:space="preserve"> by co-authors of Vahey et al. (2015)</w:t>
      </w:r>
      <w:r w:rsidR="00466231">
        <w:t>, suggesting that they were not unfamiliar with the original studies.</w:t>
      </w:r>
    </w:p>
    <w:p w14:paraId="48E2AA04" w14:textId="77777777" w:rsidR="00F73DA2" w:rsidRDefault="00F73DA2" w:rsidP="00034410">
      <w:pPr>
        <w:pStyle w:val="Heading2"/>
      </w:pPr>
    </w:p>
    <w:p w14:paraId="42315289" w14:textId="29C01497" w:rsidR="00B879CC" w:rsidRDefault="00B879CC" w:rsidP="00034410">
      <w:pPr>
        <w:pStyle w:val="Heading2"/>
      </w:pPr>
      <w:r w:rsidRPr="00034410">
        <w:t>I</w:t>
      </w:r>
      <w:r w:rsidR="00B95E95" w:rsidRPr="00034410">
        <w:t xml:space="preserve">ndividual effect sizes </w:t>
      </w:r>
    </w:p>
    <w:p w14:paraId="37B7DEC3" w14:textId="7DEB9DF1" w:rsidR="002B663E" w:rsidRPr="002B663E" w:rsidRDefault="002B663E" w:rsidP="002B663E">
      <w:pPr>
        <w:ind w:firstLine="0"/>
      </w:pPr>
      <w:r>
        <w:t xml:space="preserve">Next, I attempted to retrace the next step involved in the original analysis: the extraction of effect sizes from original articles. </w:t>
      </w:r>
      <w:r>
        <w:t xml:space="preserve">This involves (a) the </w:t>
      </w:r>
      <w:r w:rsidR="00835CAA">
        <w:t xml:space="preserve">correct </w:t>
      </w:r>
      <w:r>
        <w:t>application of inclusion criteria</w:t>
      </w:r>
      <w:r w:rsidR="0002030D">
        <w:t xml:space="preserve"> in terms of correct inclusions and the absence of incorrect omissions</w:t>
      </w:r>
      <w:r>
        <w:t>, and (</w:t>
      </w:r>
      <w:r w:rsidR="00835CAA">
        <w:t>b</w:t>
      </w:r>
      <w:r>
        <w:t>) the extraction and conversion of effect sizes.</w:t>
      </w:r>
    </w:p>
    <w:p w14:paraId="63CC2D7B" w14:textId="371A9663" w:rsidR="00A64263" w:rsidRPr="00034410" w:rsidRDefault="00A64263" w:rsidP="00034410">
      <w:pPr>
        <w:pStyle w:val="Heading3"/>
      </w:pPr>
      <w:r w:rsidRPr="00034410">
        <w:t>Assessment of incorrect inclusion</w:t>
      </w:r>
      <w:r w:rsidR="007E6922" w:rsidRPr="00034410">
        <w:t>s</w:t>
      </w:r>
    </w:p>
    <w:p w14:paraId="11BB5F95" w14:textId="77777777" w:rsidR="00A42C2C" w:rsidRDefault="00A674AD" w:rsidP="00034410">
      <w:proofErr w:type="spellStart"/>
      <w:r w:rsidRPr="00034410">
        <w:t>Lakens</w:t>
      </w:r>
      <w:proofErr w:type="spellEnd"/>
      <w:r w:rsidRPr="00034410">
        <w:t xml:space="preserve"> et al. (2016) </w:t>
      </w:r>
      <w:r w:rsidR="00526746">
        <w:t>argued that</w:t>
      </w:r>
      <w:r w:rsidRPr="00034410">
        <w:t xml:space="preserve"> </w:t>
      </w:r>
      <w:r w:rsidR="00526746">
        <w:t>“</w:t>
      </w:r>
      <w:r w:rsidRPr="00034410">
        <w:t>incorrect inclusion</w:t>
      </w:r>
      <w:r w:rsidR="00526746">
        <w:t>”</w:t>
      </w:r>
      <w:r w:rsidRPr="00034410">
        <w:t xml:space="preserve"> </w:t>
      </w:r>
      <w:r w:rsidR="00526746">
        <w:t xml:space="preserve">is </w:t>
      </w:r>
      <w:r w:rsidRPr="00034410">
        <w:t>a common type</w:t>
      </w:r>
      <w:r w:rsidR="005C7269" w:rsidRPr="00034410">
        <w:t xml:space="preserve"> </w:t>
      </w:r>
      <w:r w:rsidRPr="00034410">
        <w:t>of error in meta-analy</w:t>
      </w:r>
      <w:r w:rsidR="004B19F2">
        <w:t>sis</w:t>
      </w:r>
      <w:r w:rsidR="002E34D5">
        <w:t xml:space="preserve">. That is, the </w:t>
      </w:r>
      <w:r w:rsidR="00605CE0" w:rsidRPr="00034410">
        <w:t xml:space="preserve">inclusion of effect sizes </w:t>
      </w:r>
      <w:r w:rsidR="005E6648" w:rsidRPr="00034410">
        <w:t xml:space="preserve">that do not meet the inclusion criteria. Vahey et al. (2015) stated that the purpose of their meta-analysis was to </w:t>
      </w:r>
      <w:r w:rsidR="005E6648" w:rsidRPr="008372BF">
        <w:rPr>
          <w:i/>
          <w:iCs/>
        </w:rPr>
        <w:t xml:space="preserve">“quantify how much IRAP effects from </w:t>
      </w:r>
      <w:proofErr w:type="gramStart"/>
      <w:r w:rsidR="005E6648" w:rsidRPr="008372BF">
        <w:rPr>
          <w:i/>
          <w:iCs/>
        </w:rPr>
        <w:t>clinically-relevant</w:t>
      </w:r>
      <w:proofErr w:type="gramEnd"/>
      <w:r w:rsidR="005E6648" w:rsidRPr="008372BF">
        <w:rPr>
          <w:i/>
          <w:iCs/>
        </w:rPr>
        <w:t xml:space="preserve"> responding co-vary with corresponding clinically-relevant criterion variables”</w:t>
      </w:r>
      <w:r w:rsidR="005E6648" w:rsidRPr="00034410">
        <w:t xml:space="preserve"> (p.60). Their inclusion criterion was that </w:t>
      </w:r>
      <w:r w:rsidR="005E6648" w:rsidRPr="008372BF">
        <w:rPr>
          <w:i/>
          <w:iCs/>
        </w:rPr>
        <w:t xml:space="preserve">“the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w:t>
      </w:r>
      <w:r w:rsidR="005E6648" w:rsidRPr="00034410">
        <w:t>(p.60).</w:t>
      </w:r>
      <w:r w:rsidR="0035720E" w:rsidRPr="00034410">
        <w:t xml:space="preserve"> </w:t>
      </w:r>
      <w:r w:rsidR="00971ED4">
        <w:t xml:space="preserve">Unfortunately, neither </w:t>
      </w:r>
      <w:r w:rsidR="00971ED4" w:rsidRPr="00034410">
        <w:t xml:space="preserve">the original article </w:t>
      </w:r>
      <w:r w:rsidR="00971ED4">
        <w:t xml:space="preserve">nor its </w:t>
      </w:r>
      <w:r w:rsidR="00971ED4" w:rsidRPr="00034410">
        <w:t>supplementary materials</w:t>
      </w:r>
      <w:r w:rsidR="00971ED4" w:rsidRPr="00034410">
        <w:t xml:space="preserve"> </w:t>
      </w:r>
      <w:r w:rsidR="00971ED4">
        <w:t xml:space="preserve">provided data for each extracted effect size regarding which specific </w:t>
      </w:r>
      <w:r w:rsidR="00A22D26" w:rsidRPr="00034410">
        <w:t>clinical condition that was targeted by the IRAP and the criterion variable</w:t>
      </w:r>
      <w:r w:rsidR="00971ED4">
        <w:t xml:space="preserve">, or </w:t>
      </w:r>
      <w:r w:rsidR="00A22D26" w:rsidRPr="00034410">
        <w:t xml:space="preserve">the </w:t>
      </w:r>
      <w:r w:rsidR="00271DC8">
        <w:t>“</w:t>
      </w:r>
      <w:r w:rsidR="00A22D26" w:rsidRPr="00034410">
        <w:t>specific empirical literature</w:t>
      </w:r>
      <w:r w:rsidR="00271DC8">
        <w:t>”</w:t>
      </w:r>
      <w:r w:rsidR="00A22D26" w:rsidRPr="00034410">
        <w:t xml:space="preserve"> that Vahey et al. (2015) used to justify the inclusion of each criterion. </w:t>
      </w:r>
    </w:p>
    <w:p w14:paraId="1F098267" w14:textId="7BB66F05" w:rsidR="00C65769" w:rsidRPr="00034410" w:rsidRDefault="00A22D26" w:rsidP="00A42C2C">
      <w:r w:rsidRPr="00034410">
        <w:t xml:space="preserve">Nonetheless, </w:t>
      </w:r>
      <w:proofErr w:type="spellStart"/>
      <w:r w:rsidR="0035720E" w:rsidRPr="00034410">
        <w:t>Vahey’s</w:t>
      </w:r>
      <w:proofErr w:type="spellEnd"/>
      <w:r w:rsidR="0035720E" w:rsidRPr="00034410">
        <w:t xml:space="preserve"> own inclusion criterion required that effects referred to covariation between an IRAP and an external clinically-relevant criterion variable</w:t>
      </w:r>
      <w:r w:rsidR="003A7B3D" w:rsidRPr="00034410">
        <w:t xml:space="preserve">, consistent with the </w:t>
      </w:r>
      <w:r w:rsidR="0035720E" w:rsidRPr="00034410">
        <w:t xml:space="preserve">APA dictionary of psychology </w:t>
      </w:r>
      <w:r w:rsidR="003A7B3D" w:rsidRPr="00034410">
        <w:t xml:space="preserve">definition of </w:t>
      </w:r>
      <w:r w:rsidR="0035720E" w:rsidRPr="00034410">
        <w:t xml:space="preserve">criterion validity </w:t>
      </w:r>
      <w:r w:rsidR="00B45502" w:rsidRPr="00034410">
        <w:fldChar w:fldCharType="begin"/>
      </w:r>
      <w:r w:rsidR="00B45502" w:rsidRPr="00034410">
        <w:instrText xml:space="preserve"> ADDIN ZOTERO_ITEM CSL_CITATION {"citationID":"E7WmNBFx","properties":{"formattedCitation":"(American Psychological Association, 2024)","plainCitation":"(American Psychological Association, 2024)","noteIndex":0},"citationItems":[{"id":29103,"uris":["http://zotero.org/users/1687755/items/ZUCAU6T6"],"itemData":{"id":29103,"type":"webpage","abstract":"A trusted reference in the field of psychology, offering more than 25,000 clear and authoritative entries.","language":"en","title":"APA Dictionary of Psychology","URL":"https://dictionary.apa.org/criterion-validity","author":[{"literal":"American Psychological Association"}],"accessed":{"date-parts":[["2024",7,30]]},"issued":{"date-parts":[["2024"]]}}}],"schema":"https://github.com/citation-style-language/schema/raw/master/csl-citation.json"} </w:instrText>
      </w:r>
      <w:r w:rsidR="00B45502" w:rsidRPr="00034410">
        <w:fldChar w:fldCharType="separate"/>
      </w:r>
      <w:r w:rsidR="00B45502" w:rsidRPr="00034410">
        <w:rPr>
          <w:noProof/>
        </w:rPr>
        <w:t>(American Psychological Association, 2024)</w:t>
      </w:r>
      <w:r w:rsidR="00B45502" w:rsidRPr="00034410">
        <w:fldChar w:fldCharType="end"/>
      </w:r>
      <w:r w:rsidR="0035720E" w:rsidRPr="00034410">
        <w:t>.</w:t>
      </w:r>
      <w:r w:rsidR="00A42C2C">
        <w:t xml:space="preserve"> </w:t>
      </w:r>
      <w:r w:rsidR="00C65769" w:rsidRPr="00034410">
        <w:t xml:space="preserve">Using the descriptions in </w:t>
      </w:r>
      <w:r w:rsidR="00A42C2C">
        <w:t>Vahey et al.’s (2015)</w:t>
      </w:r>
      <w:r w:rsidR="00C65769" w:rsidRPr="00034410">
        <w:t xml:space="preserve"> supplementary materials</w:t>
      </w:r>
      <w:r w:rsidR="002506A8" w:rsidRPr="00034410">
        <w:t>,</w:t>
      </w:r>
      <w:r w:rsidR="00C65769" w:rsidRPr="00034410">
        <w:t xml:space="preserve"> and with reference to the original papers, the individual effect sizes were </w:t>
      </w:r>
      <w:r w:rsidR="0073469D" w:rsidRPr="00034410">
        <w:t>re-evaluated</w:t>
      </w:r>
      <w:r w:rsidR="00C65769" w:rsidRPr="00034410">
        <w:t xml:space="preserve"> against Vahey’s inclusion criterion of </w:t>
      </w:r>
      <w:r w:rsidR="00C41C74" w:rsidRPr="00034410">
        <w:t xml:space="preserve">covariance between an </w:t>
      </w:r>
      <w:r w:rsidR="00C65769" w:rsidRPr="00034410">
        <w:t xml:space="preserve">IRAP and a second external variable. </w:t>
      </w:r>
      <w:r w:rsidR="005E599F">
        <w:t xml:space="preserve">While the clinical relevance of specific effects might be more subjective, the involvement of a criterion variable other than the IRAP can be assessed objectively. Worryingly, </w:t>
      </w:r>
      <w:r w:rsidR="004666D2" w:rsidRPr="00034410">
        <w:t>23 of the 56 effect sizes (41%)</w:t>
      </w:r>
      <w:r w:rsidR="005E599F">
        <w:t xml:space="preserve"> employed by Vahey et al. (2015)</w:t>
      </w:r>
      <w:r w:rsidR="004666D2" w:rsidRPr="00034410">
        <w:t xml:space="preserve"> were found to involve no external variable (i.e., they </w:t>
      </w:r>
      <w:r w:rsidR="005E599F">
        <w:t xml:space="preserve">refer only to </w:t>
      </w:r>
      <w:r w:rsidR="004666D2" w:rsidRPr="00034410">
        <w:t>a reaction time differential between the IRAP block types</w:t>
      </w:r>
      <w:r w:rsidR="005E599F">
        <w:t xml:space="preserve">, i.e. from a one-sample </w:t>
      </w:r>
      <w:r w:rsidR="005E599F" w:rsidRPr="005E599F">
        <w:rPr>
          <w:i/>
          <w:iCs/>
        </w:rPr>
        <w:t>t</w:t>
      </w:r>
      <w:r w:rsidR="005E599F">
        <w:t>-test</w:t>
      </w:r>
      <w:proofErr w:type="gramStart"/>
      <w:r w:rsidR="004666D2" w:rsidRPr="00034410">
        <w:t>)</w:t>
      </w:r>
      <w:r w:rsidR="00C41C74" w:rsidRPr="00034410">
        <w:t>, and</w:t>
      </w:r>
      <w:proofErr w:type="gramEnd"/>
      <w:r w:rsidR="00C41C74" w:rsidRPr="00034410">
        <w:t xml:space="preserve"> were therefore not suitable to be included in a meta-analysis of the IRAP’s criterion validity. </w:t>
      </w:r>
      <w:r w:rsidR="003E7022">
        <w:t>A large degree of incorrect inclusion error was therefore detected in Vahey et al.’s (2015) effect sizes.</w:t>
      </w:r>
    </w:p>
    <w:p w14:paraId="5E8E6117" w14:textId="77777777" w:rsidR="00B923AB" w:rsidRPr="00034410" w:rsidRDefault="00B923AB" w:rsidP="00034410">
      <w:pPr>
        <w:pStyle w:val="Heading3"/>
      </w:pPr>
      <w:r w:rsidRPr="00034410">
        <w:t>Assessment of incorrect exclusions</w:t>
      </w:r>
    </w:p>
    <w:p w14:paraId="6A4816D9" w14:textId="250E6886" w:rsidR="00FC6F4E" w:rsidRPr="00034410" w:rsidRDefault="00B923AB" w:rsidP="00034410">
      <w:r w:rsidRPr="00034410">
        <w:t xml:space="preserve">In addition to incorrection inclusions, it is equally plausible that effect sizes that </w:t>
      </w:r>
      <w:r w:rsidR="00D52134">
        <w:t xml:space="preserve">would have </w:t>
      </w:r>
      <w:r w:rsidRPr="00034410">
        <w:t xml:space="preserve">met inclusion criteria were erroneously not included. </w:t>
      </w:r>
      <w:r w:rsidR="001B6334">
        <w:t>I therefore re-</w:t>
      </w:r>
      <w:r w:rsidR="00F17E87">
        <w:t>e</w:t>
      </w:r>
      <w:r w:rsidR="001B6334">
        <w:t xml:space="preserve">xamined </w:t>
      </w:r>
      <w:r w:rsidRPr="00034410">
        <w:t>the same 15 articles as Vahey et al. (2015)</w:t>
      </w:r>
      <w:r w:rsidR="001B6334">
        <w:t xml:space="preserve"> drew their effect sizes and searched for other effect sizes that met their inclusion criteria</w:t>
      </w:r>
      <w:r w:rsidRPr="00034410">
        <w:t xml:space="preserve">. Following Vahey et </w:t>
      </w:r>
      <w:r w:rsidRPr="00034410">
        <w:lastRenderedPageBreak/>
        <w:t>al.’s (2015) method, extractions were not limited to effect sizes reported in the articles, but also considered ones implied by the reported analyses</w:t>
      </w:r>
      <w:r w:rsidR="009D1C09">
        <w:t xml:space="preserve"> (e.g., correlations where only the statistically significant estimates were reported)</w:t>
      </w:r>
      <w:r w:rsidRPr="00034410">
        <w:t xml:space="preserve">. Where necessary, </w:t>
      </w:r>
      <w:r w:rsidR="00DC50FB">
        <w:t>I contacted the authors fo</w:t>
      </w:r>
      <w:r w:rsidR="004112F6">
        <w:t>r</w:t>
      </w:r>
      <w:r w:rsidR="00DC50FB">
        <w:t xml:space="preserve"> the individual articles </w:t>
      </w:r>
      <w:r w:rsidRPr="00034410">
        <w:t xml:space="preserve">to obtain additional </w:t>
      </w:r>
      <w:r w:rsidR="00DC50FB">
        <w:t>estimates or data</w:t>
      </w:r>
      <w:r w:rsidRPr="00034410">
        <w:t xml:space="preserve">. For example, if non-significant correlations were reported as merely “other </w:t>
      </w:r>
      <w:r w:rsidRPr="00D37FA9">
        <w:t xml:space="preserve">correlations were non-significant”, these effect sizes were obtained where possible. </w:t>
      </w:r>
      <w:r w:rsidRPr="00034410">
        <w:t xml:space="preserve">Two independent raters the rated each effect for clinical relevance </w:t>
      </w:r>
      <w:r w:rsidRPr="003457D0">
        <w:t>using Vahey</w:t>
      </w:r>
      <w:r w:rsidR="00D0309F">
        <w:t xml:space="preserve"> et al.</w:t>
      </w:r>
      <w:r w:rsidR="00312C6B">
        <w:t>’</w:t>
      </w:r>
      <w:r w:rsidR="00D0309F">
        <w:t>s (2015)</w:t>
      </w:r>
      <w:r w:rsidRPr="003457D0">
        <w:t xml:space="preserve"> </w:t>
      </w:r>
      <w:r w:rsidR="00C82775">
        <w:t>criteria</w:t>
      </w:r>
      <w:r w:rsidRPr="003457D0">
        <w:t>. Agreement was found in 90% of cases (Cohen’s Kappa = 0.8</w:t>
      </w:r>
      <w:r w:rsidR="002D29C7" w:rsidRPr="003457D0">
        <w:t>7</w:t>
      </w:r>
      <w:r w:rsidRPr="003457D0">
        <w:t xml:space="preserve">, </w:t>
      </w:r>
      <w:r w:rsidRPr="003457D0">
        <w:rPr>
          <w:i/>
        </w:rPr>
        <w:t>p</w:t>
      </w:r>
      <w:r w:rsidRPr="003457D0">
        <w:t xml:space="preserve"> &lt; .001). As in Vahey</w:t>
      </w:r>
      <w:r w:rsidRPr="00034410">
        <w:t xml:space="preserve"> et al. (2015), if either rater originally rated the effect as clinically relevant then it was included. </w:t>
      </w:r>
    </w:p>
    <w:p w14:paraId="12E20DC1" w14:textId="77777777" w:rsidR="00C96BF9" w:rsidRDefault="00B923AB" w:rsidP="00C96BF9">
      <w:r w:rsidRPr="00034410">
        <w:t xml:space="preserve">308 effect sizes were originally extracted. 53 were excluded as non-criterion effect sizes. 99 more were excluded as non-clinically relevant. This left 156 effect sizes for meta-analysis, compared to </w:t>
      </w:r>
      <w:r w:rsidR="00786A29">
        <w:t xml:space="preserve">the 33 included by </w:t>
      </w:r>
      <w:r w:rsidRPr="00034410">
        <w:t>Vahey et al. (2015)</w:t>
      </w:r>
      <w:r w:rsidR="00786A29">
        <w:t xml:space="preserve">, </w:t>
      </w:r>
      <w:r w:rsidR="007A42D1">
        <w:t xml:space="preserve">after </w:t>
      </w:r>
      <w:r w:rsidR="00786A29">
        <w:t xml:space="preserve">I </w:t>
      </w:r>
      <w:r w:rsidR="007A42D1">
        <w:t>exclud</w:t>
      </w:r>
      <w:r w:rsidR="00786A29">
        <w:t xml:space="preserve">ed the </w:t>
      </w:r>
      <w:r w:rsidR="007A42D1">
        <w:t>23 non-criterion effects</w:t>
      </w:r>
      <w:r w:rsidR="00786A29">
        <w:t xml:space="preserve"> (</w:t>
      </w:r>
      <w:r w:rsidR="007A42D1">
        <w:t>as discussed previously)</w:t>
      </w:r>
      <w:r w:rsidRPr="00034410">
        <w:t xml:space="preserve">. </w:t>
      </w:r>
      <w:r w:rsidR="00786A29">
        <w:t xml:space="preserve">This suggests that Vahey may have failed to include 85.3% of the effect sizes that met their inclusion criteria, representing a </w:t>
      </w:r>
      <w:r w:rsidR="00646821">
        <w:t xml:space="preserve">potentially </w:t>
      </w:r>
      <w:r w:rsidR="00786A29">
        <w:t xml:space="preserve">serious source of incorrect non-inclusion error. </w:t>
      </w:r>
    </w:p>
    <w:p w14:paraId="7C8A2553" w14:textId="77777777" w:rsidR="00D324FD" w:rsidRDefault="00940B8B" w:rsidP="00C96BF9">
      <w:r w:rsidRPr="00034410">
        <w:t xml:space="preserve">Note that these </w:t>
      </w:r>
      <w:r w:rsidR="00AA2718" w:rsidRPr="00034410">
        <w:t>extractions</w:t>
      </w:r>
      <w:r w:rsidRPr="00034410">
        <w:t xml:space="preserve"> are not exhaustive: some authors of original studies who </w:t>
      </w:r>
      <w:r w:rsidR="00A84EE3">
        <w:t xml:space="preserve">were reported as having </w:t>
      </w:r>
      <w:r w:rsidRPr="00034410">
        <w:t xml:space="preserve">replied to Vahey </w:t>
      </w:r>
      <w:r w:rsidR="00A84EE3">
        <w:t>et al.’s (2015)</w:t>
      </w:r>
      <w:r w:rsidRPr="00034410">
        <w:t xml:space="preserve"> requests for additional information did not reply to </w:t>
      </w:r>
      <w:r w:rsidR="007D03FD">
        <w:t>my requests, perhaps due to the passage of time the ‘half-life’ of data</w:t>
      </w:r>
      <w:r w:rsidRPr="00034410">
        <w:t xml:space="preserve">. </w:t>
      </w:r>
    </w:p>
    <w:p w14:paraId="172F9662" w14:textId="3D428B1C" w:rsidR="00B923AB" w:rsidRDefault="00B923AB" w:rsidP="00C96BF9">
      <w:r w:rsidRPr="00034410">
        <w:t xml:space="preserve">These effect sizes were converted to Pearson’s </w:t>
      </w:r>
      <w:r w:rsidRPr="00034410">
        <w:rPr>
          <w:i/>
          <w:iCs/>
        </w:rPr>
        <w:t>r</w:t>
      </w:r>
      <w:r w:rsidRPr="00034410">
        <w:t xml:space="preserve"> for </w:t>
      </w:r>
      <w:r w:rsidR="00793532">
        <w:t xml:space="preserve">use in a new </w:t>
      </w:r>
      <w:r w:rsidRPr="00034410">
        <w:t>meta-</w:t>
      </w:r>
      <w:r w:rsidRPr="003B6603">
        <w:t>analysis</w:t>
      </w:r>
      <w:r w:rsidR="00C944BA" w:rsidRPr="003B6603">
        <w:t xml:space="preserve"> that I discuss later</w:t>
      </w:r>
      <w:r w:rsidRPr="003B6603">
        <w:t xml:space="preserve">. The specific methods of conversion are </w:t>
      </w:r>
      <w:r w:rsidR="005D27AC">
        <w:t>documented</w:t>
      </w:r>
      <w:r w:rsidRPr="003B6603">
        <w:t xml:space="preserve"> in the supplementary materials.</w:t>
      </w:r>
      <w:r w:rsidRPr="00034410">
        <w:t xml:space="preserve"> </w:t>
      </w:r>
    </w:p>
    <w:p w14:paraId="4ED07E1B" w14:textId="77777777" w:rsidR="004112F6" w:rsidRPr="00034410" w:rsidRDefault="004112F6" w:rsidP="004112F6">
      <w:pPr>
        <w:pStyle w:val="Heading3"/>
      </w:pPr>
      <w:r w:rsidRPr="00034410">
        <w:t>Assessment of erroneous calculation</w:t>
      </w:r>
    </w:p>
    <w:p w14:paraId="2F82ACD9" w14:textId="77777777" w:rsidR="004112F6" w:rsidRPr="00034410" w:rsidRDefault="004112F6" w:rsidP="004112F6">
      <w:r w:rsidRPr="00034410">
        <w:t xml:space="preserve">Erroneous calculation refers to errors made in the transposition, conversion, or reporting of effect sizes. This can involve using the incorrect formula to convert effect sizes, treating standard errors if they are standard deviations, and other errors. Previous work has shown that such errors are unfortunately common in published meta-analyses </w:t>
      </w:r>
      <w:r w:rsidRPr="00034410">
        <w:fldChar w:fldCharType="begin"/>
      </w:r>
      <w:r w:rsidRPr="00034410">
        <w:instrText xml:space="preserve"> ADDIN ZOTERO_ITEM CSL_CITATION {"citationID":"cI4PTkpK","properties":{"formattedCitation":"(e.g., G\\uc0\\u248{}tzsche et al., 2007; Maassen et al., 2020)","plainCitation":"(e.g., Gøtzsche et al., 2007;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034410">
        <w:fldChar w:fldCharType="separate"/>
      </w:r>
      <w:r w:rsidRPr="00034410">
        <w:rPr>
          <w:sz w:val="20"/>
        </w:rPr>
        <w:t xml:space="preserve">(e.g., </w:t>
      </w:r>
      <w:proofErr w:type="spellStart"/>
      <w:r w:rsidRPr="00034410">
        <w:rPr>
          <w:sz w:val="20"/>
        </w:rPr>
        <w:t>Gøtzsche</w:t>
      </w:r>
      <w:proofErr w:type="spellEnd"/>
      <w:r w:rsidRPr="00034410">
        <w:rPr>
          <w:sz w:val="20"/>
        </w:rPr>
        <w:t xml:space="preserve"> et al., 2007; </w:t>
      </w:r>
      <w:proofErr w:type="spellStart"/>
      <w:r w:rsidRPr="00034410">
        <w:rPr>
          <w:sz w:val="20"/>
        </w:rPr>
        <w:t>Maassen</w:t>
      </w:r>
      <w:proofErr w:type="spellEnd"/>
      <w:r w:rsidRPr="00034410">
        <w:rPr>
          <w:sz w:val="20"/>
        </w:rPr>
        <w:t xml:space="preserve"> et al., 2020)</w:t>
      </w:r>
      <w:r w:rsidRPr="00034410">
        <w:fldChar w:fldCharType="end"/>
      </w:r>
      <w:r w:rsidRPr="00034410">
        <w:t xml:space="preserve">. In their supplementary materials, Vahey et al. (2015) provided explanations and references for how individual effect sizes were converted to Pearsons </w:t>
      </w:r>
      <w:r w:rsidRPr="00034410">
        <w:rPr>
          <w:i/>
          <w:iCs/>
        </w:rPr>
        <w:t>r</w:t>
      </w:r>
      <w:r w:rsidRPr="00034410">
        <w:t xml:space="preserve">. </w:t>
      </w:r>
      <w:r>
        <w:t>However, i</w:t>
      </w:r>
      <w:r w:rsidRPr="00034410">
        <w:t xml:space="preserve">nspection of </w:t>
      </w:r>
      <w:r>
        <w:t>those</w:t>
      </w:r>
      <w:r w:rsidRPr="00034410">
        <w:t xml:space="preserve"> explanations revealed at least one error: 2 of the 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effect sizes taken from ANOVAs, which Vahey et al. (2015) stated that they “equated the relevant statistic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with </w:t>
      </w:r>
      <w:r w:rsidRPr="00034410">
        <w:rPr>
          <w:i/>
          <w:iCs/>
        </w:rPr>
        <w:t>r</w:t>
      </w:r>
      <w:r w:rsidRPr="00034410">
        <w:rPr>
          <w:vertAlign w:val="superscript"/>
        </w:rPr>
        <w:t>2</w:t>
      </w:r>
      <w:r w:rsidRPr="00034410">
        <w:t xml:space="preserve"> therefore obtaining </w:t>
      </w:r>
      <w:r w:rsidRPr="00034410">
        <w:rPr>
          <w:i/>
          <w:iCs/>
        </w:rPr>
        <w:t>r</w:t>
      </w:r>
      <w:r w:rsidRPr="00034410">
        <w:t xml:space="preserve"> using the square root function</w:t>
      </w:r>
      <w:r>
        <w:t>”</w:t>
      </w:r>
      <w:r w:rsidRPr="00034410">
        <w:t xml:space="preserve">. </w:t>
      </w:r>
      <w:r w:rsidRPr="00034410">
        <w:t xml:space="preserve">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t xml:space="preserve">: as </w:t>
      </w:r>
      <w:r w:rsidRPr="00034410">
        <w:t xml:space="preserve">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cannot be converted to </w:t>
      </w:r>
      <w:r w:rsidRPr="00034410">
        <w:rPr>
          <w:i/>
          <w:iCs/>
        </w:rPr>
        <w:t>r</w:t>
      </w:r>
      <w:r w:rsidRPr="00034410">
        <w:t>, and therefore these conversions are erroneous.</w:t>
      </w:r>
    </w:p>
    <w:p w14:paraId="432DCEE8" w14:textId="77777777" w:rsidR="004112F6" w:rsidRDefault="004112F6" w:rsidP="004112F6">
      <w:r w:rsidRPr="00034410">
        <w:t xml:space="preserve">A comprehensive assessment of the reproducibility of the conversions of the individual effects sizes to Pearson’s </w:t>
      </w:r>
      <w:r w:rsidRPr="00034410">
        <w:rPr>
          <w:i/>
          <w:iCs/>
        </w:rPr>
        <w:t>r</w:t>
      </w:r>
      <w:r w:rsidRPr="00034410">
        <w:t xml:space="preserve"> was not performed on the basis that the above assessments had already determined these effect sizes to contain </w:t>
      </w:r>
      <w:r>
        <w:t>several</w:t>
      </w:r>
      <w:r w:rsidRPr="00034410">
        <w:t xml:space="preserve"> errors</w:t>
      </w:r>
      <w:r>
        <w:t xml:space="preserve"> (e.g. related to incorrect inclusion).</w:t>
      </w:r>
    </w:p>
    <w:p w14:paraId="020D8648" w14:textId="77777777" w:rsidR="004112F6" w:rsidRPr="00034410" w:rsidRDefault="004112F6" w:rsidP="004112F6">
      <w:pPr>
        <w:pStyle w:val="Heading2"/>
      </w:pPr>
      <w:r w:rsidRPr="00034410">
        <w:t>Corrected meta-analysis and power analyses</w:t>
      </w:r>
    </w:p>
    <w:p w14:paraId="5BE521AA" w14:textId="77777777" w:rsidR="004112F6" w:rsidRPr="00034410" w:rsidRDefault="004112F6" w:rsidP="004112F6">
      <w:proofErr w:type="gramStart"/>
      <w:r w:rsidRPr="00034410">
        <w:t>In order to</w:t>
      </w:r>
      <w:proofErr w:type="gramEnd"/>
      <w:r w:rsidRPr="00034410">
        <w:t xml:space="preserve"> </w:t>
      </w:r>
      <w:r>
        <w:t>understand the compound impact of the various errors on the conclusion</w:t>
      </w:r>
      <w:r w:rsidRPr="00034410">
        <w:t xml:space="preserve"> the conclusions of </w:t>
      </w:r>
      <w:r>
        <w:t xml:space="preserve">the meta-analysis, I fit </w:t>
      </w:r>
      <w:r w:rsidRPr="00034410">
        <w:t xml:space="preserve">a new meta-analysis </w:t>
      </w:r>
      <w:r>
        <w:t xml:space="preserve">to the 156 effect sizes re-extracted from the original articles. I then used the meta-analysis effect results to calculate </w:t>
      </w:r>
      <w:r w:rsidRPr="00034410">
        <w:t>new power analyses. Whereas Vahey et al.’s (2015) method of dealing with the non-independence of multiple effect sizes taken from the same study was to average them, research suggests that it is more appropriate to model</w:t>
      </w:r>
      <w:r>
        <w:t xml:space="preserve"> </w:t>
      </w:r>
      <w:r w:rsidRPr="00034410">
        <w:t xml:space="preserve">these dependencies using three-level meta-analyses (i.e., multi-level meta-analyses: Van den </w:t>
      </w:r>
      <w:proofErr w:type="spellStart"/>
      <w:r w:rsidRPr="00034410">
        <w:t>Noortgate</w:t>
      </w:r>
      <w:proofErr w:type="spellEnd"/>
      <w:r w:rsidRPr="00034410">
        <w:t xml:space="preserve"> et al. 2013). </w:t>
      </w:r>
    </w:p>
    <w:p w14:paraId="004968BB" w14:textId="77777777" w:rsidR="004112F6" w:rsidRPr="00034410" w:rsidRDefault="004112F6" w:rsidP="004112F6">
      <w:r w:rsidRPr="00034410">
        <w:t xml:space="preserve">A multi-level random effect meta-analysis with random intercepts for study was therefore employed. I employed the </w:t>
      </w:r>
      <w:proofErr w:type="spellStart"/>
      <w:r w:rsidRPr="00034410">
        <w:t>metafor</w:t>
      </w:r>
      <w:proofErr w:type="spellEnd"/>
      <w:r w:rsidRPr="00034410">
        <w:t xml:space="preserve"> packages’ default settings of a Restricted Maximum Likelihood estimator function and weighting by inverse variance (i.e., rather than </w:t>
      </w:r>
      <w:r w:rsidRPr="00034410">
        <w:rPr>
          <w:i/>
          <w:iCs/>
        </w:rPr>
        <w:t>N</w:t>
      </w:r>
      <w:r w:rsidRPr="00034410">
        <w:t xml:space="preserve">, given that inverse variance is a better estimate of precision and represents the contemporary standard). </w:t>
      </w:r>
    </w:p>
    <w:p w14:paraId="1B437C9E" w14:textId="77777777" w:rsidR="004112F6" w:rsidRPr="00F87166" w:rsidRDefault="004112F6" w:rsidP="004112F6">
      <w:r w:rsidRPr="00034410">
        <w:t xml:space="preserve">Results demonstrated a meta effect size </w:t>
      </w:r>
      <m:oMath>
        <m:acc>
          <m:accPr>
            <m:chr m:val="̅"/>
            <m:ctrlPr>
              <w:rPr>
                <w:rFonts w:ascii="Cambria Math" w:hAnsi="Cambria Math"/>
                <w:i/>
                <w:sz w:val="20"/>
                <w:szCs w:val="20"/>
              </w:rPr>
            </m:ctrlPr>
          </m:accPr>
          <m:e>
            <m:r>
              <w:rPr>
                <w:rFonts w:ascii="Cambria Math" w:hAnsi="Cambria Math"/>
              </w:rPr>
              <m:t>r</m:t>
            </m:r>
          </m:e>
        </m:acc>
      </m:oMath>
      <w:r w:rsidRPr="00034410">
        <w:t xml:space="preserve"> = .22, 95% CI [.</w:t>
      </w:r>
      <w:r w:rsidRPr="00971F75">
        <w:t>15, .29], 95% CR [.22, .22], 95% PI [-.01, .42] (see Figure 4 for</w:t>
      </w:r>
      <w:r w:rsidRPr="00034410">
        <w:t xml:space="preserve"> forest plot). Based on the non-overlap of their </w:t>
      </w:r>
      <w:r>
        <w:t>Confidence Interval</w:t>
      </w:r>
      <w:r w:rsidRPr="00034410">
        <w:t xml:space="preserve">s, this estimate is significantly smaller than the effect size reported in </w:t>
      </w:r>
      <w:r>
        <w:t xml:space="preserve">Vahey et al. (2015), </w:t>
      </w:r>
      <w:r w:rsidRPr="00034410">
        <w:t xml:space="preserve">i.e., </w:t>
      </w:r>
      <m:oMath>
        <m:acc>
          <m:accPr>
            <m:chr m:val="̅"/>
            <m:ctrlPr>
              <w:rPr>
                <w:rFonts w:ascii="Cambria Math" w:hAnsi="Cambria Math"/>
                <w:i/>
                <w:sz w:val="20"/>
                <w:szCs w:val="20"/>
              </w:rPr>
            </m:ctrlPr>
          </m:accPr>
          <m:e>
            <m:r>
              <w:rPr>
                <w:rFonts w:ascii="Cambria Math" w:hAnsi="Cambria Math"/>
              </w:rPr>
              <m:t>r</m:t>
            </m:r>
          </m:e>
        </m:acc>
      </m:oMath>
      <w:r w:rsidRPr="00034410">
        <w:t xml:space="preserve"> = .45, 95% CI [.40, .54], 95% CR [.23, .</w:t>
      </w:r>
      <w:r w:rsidRPr="00F87166">
        <w:t xml:space="preserve">67]). </w:t>
      </w:r>
    </w:p>
    <w:p w14:paraId="07107319" w14:textId="77777777" w:rsidR="004112F6" w:rsidRDefault="004112F6" w:rsidP="004112F6">
      <w:r w:rsidRPr="00F87166">
        <w:t>Table 1 contains the new power analyses based on this meta-effect</w:t>
      </w:r>
      <w:r w:rsidRPr="00034410">
        <w:t xml:space="preserve"> size. As can be seen from the table, sample sizes are substantially larger than those recommended by Vahey et al. (2015). </w:t>
      </w:r>
      <w:r>
        <w:t>For example, whereas the original abstract includes the recommendation that IRAP studies should employ “</w:t>
      </w:r>
      <w:r w:rsidRPr="000E02ED">
        <w:rPr>
          <w:i/>
          <w:iCs/>
        </w:rPr>
        <w:t>N</w:t>
      </w:r>
      <w:r>
        <w:t xml:space="preserve"> of [at least] 29 to 37”, the update numbers for the same tests are </w:t>
      </w:r>
      <w:r w:rsidRPr="000E02ED">
        <w:rPr>
          <w:i/>
          <w:iCs/>
        </w:rPr>
        <w:t>N</w:t>
      </w:r>
      <w:r>
        <w:t xml:space="preserve">s of at least 126 to 273. Power analyses for the more common and less liberal two-sided test for Pearson’s </w:t>
      </w:r>
      <w:r w:rsidRPr="003B38A6">
        <w:rPr>
          <w:i/>
          <w:iCs/>
        </w:rPr>
        <w:t>r</w:t>
      </w:r>
      <w:r>
        <w:t xml:space="preserve"> correlations would require </w:t>
      </w:r>
      <w:r w:rsidRPr="003B38A6">
        <w:rPr>
          <w:i/>
          <w:iCs/>
        </w:rPr>
        <w:t>N</w:t>
      </w:r>
      <w:r>
        <w:t xml:space="preserve">s of at least 160 to 346. </w:t>
      </w:r>
    </w:p>
    <w:p w14:paraId="3B0320C9" w14:textId="77777777" w:rsidR="004112F6" w:rsidRPr="00034410" w:rsidRDefault="004112F6" w:rsidP="004112F6"/>
    <w:p w14:paraId="06498DC5" w14:textId="77777777" w:rsidR="004112F6" w:rsidRPr="00034410" w:rsidRDefault="004112F6" w:rsidP="00C96BF9"/>
    <w:p w14:paraId="590C4BD9" w14:textId="77777777" w:rsidR="002D2539" w:rsidRDefault="002D2539" w:rsidP="00034410">
      <w:pPr>
        <w:sectPr w:rsidR="002D2539" w:rsidSect="00601B7B">
          <w:type w:val="continuous"/>
          <w:pgSz w:w="11900" w:h="16840"/>
          <w:pgMar w:top="1440" w:right="1440" w:bottom="1440" w:left="1440" w:header="709" w:footer="709" w:gutter="0"/>
          <w:cols w:num="2" w:space="340"/>
          <w:titlePg/>
          <w:docGrid w:linePitch="360"/>
          <w15:footnoteColumns w:val="1"/>
        </w:sectPr>
      </w:pPr>
    </w:p>
    <w:p w14:paraId="7EE1A064" w14:textId="77777777" w:rsidR="00AE3991" w:rsidRDefault="00AE3991">
      <w:pPr>
        <w:ind w:firstLine="0"/>
        <w:jc w:val="left"/>
        <w:rPr>
          <w:b/>
          <w:bCs/>
          <w:iCs/>
        </w:rPr>
      </w:pPr>
      <w:r>
        <w:rPr>
          <w:b/>
          <w:bCs/>
          <w:iCs/>
        </w:rPr>
        <w:br w:type="page"/>
      </w:r>
    </w:p>
    <w:p w14:paraId="386E4E20" w14:textId="25A9493B" w:rsidR="00891B9C" w:rsidRDefault="00891B9C" w:rsidP="00891B9C">
      <w:pPr>
        <w:ind w:firstLine="0"/>
        <w:rPr>
          <w:b/>
          <w:bCs/>
          <w:iCs/>
        </w:rPr>
      </w:pPr>
      <w:r w:rsidRPr="00D0718D">
        <w:rPr>
          <w:b/>
          <w:bCs/>
          <w:iCs/>
        </w:rPr>
        <w:lastRenderedPageBreak/>
        <w:t xml:space="preserve">Figure </w:t>
      </w:r>
      <w:r w:rsidR="00B21A2E">
        <w:rPr>
          <w:b/>
          <w:bCs/>
          <w:iCs/>
        </w:rPr>
        <w:t>5</w:t>
      </w:r>
      <w:r w:rsidRPr="00D0718D">
        <w:rPr>
          <w:b/>
          <w:bCs/>
          <w:iCs/>
        </w:rPr>
        <w:t xml:space="preserve">. Forest plot for </w:t>
      </w:r>
      <w:r>
        <w:rPr>
          <w:b/>
          <w:bCs/>
          <w:iCs/>
        </w:rPr>
        <w:t xml:space="preserve">the new </w:t>
      </w:r>
      <w:r>
        <w:rPr>
          <w:b/>
          <w:bCs/>
          <w:iCs/>
        </w:rPr>
        <w:t>meta-analysis</w:t>
      </w:r>
      <w:r w:rsidRPr="00D0718D">
        <w:rPr>
          <w:b/>
          <w:bCs/>
          <w:iCs/>
        </w:rPr>
        <w:t>.</w:t>
      </w:r>
    </w:p>
    <w:p w14:paraId="1CE3E791" w14:textId="538B57E3" w:rsidR="007B3ED7" w:rsidRDefault="004A0CBE" w:rsidP="004A0CBE">
      <w:pPr>
        <w:ind w:firstLine="0"/>
        <w:jc w:val="center"/>
        <w:rPr>
          <w:b/>
          <w:bCs/>
          <w:iCs/>
        </w:rPr>
      </w:pPr>
      <w:r>
        <w:rPr>
          <w:b/>
          <w:bCs/>
          <w:iCs/>
          <w:noProof/>
        </w:rPr>
        <w:drawing>
          <wp:inline distT="0" distB="0" distL="0" distR="0" wp14:anchorId="23B76FDD" wp14:editId="0EB34C51">
            <wp:extent cx="1738912" cy="8475980"/>
            <wp:effectExtent l="0" t="0" r="1270" b="0"/>
            <wp:docPr id="1538480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80369" name="Picture 1538480369"/>
                    <pic:cNvPicPr/>
                  </pic:nvPicPr>
                  <pic:blipFill>
                    <a:blip r:embed="rId16"/>
                    <a:stretch>
                      <a:fillRect/>
                    </a:stretch>
                  </pic:blipFill>
                  <pic:spPr>
                    <a:xfrm>
                      <a:off x="0" y="0"/>
                      <a:ext cx="1754671" cy="8552792"/>
                    </a:xfrm>
                    <a:prstGeom prst="rect">
                      <a:avLst/>
                    </a:prstGeom>
                  </pic:spPr>
                </pic:pic>
              </a:graphicData>
            </a:graphic>
          </wp:inline>
        </w:drawing>
      </w:r>
    </w:p>
    <w:p w14:paraId="3974C17B" w14:textId="77777777" w:rsidR="002D2539" w:rsidRDefault="002D2539" w:rsidP="00813959">
      <w:pPr>
        <w:ind w:firstLine="0"/>
      </w:pPr>
    </w:p>
    <w:p w14:paraId="1592A2BF" w14:textId="12E64322" w:rsidR="002D2539" w:rsidRDefault="002D2539" w:rsidP="004A0CBE">
      <w:pPr>
        <w:ind w:firstLine="0"/>
        <w:jc w:val="left"/>
        <w:sectPr w:rsidR="002D2539" w:rsidSect="002D2539">
          <w:type w:val="continuous"/>
          <w:pgSz w:w="11900" w:h="16840"/>
          <w:pgMar w:top="1440" w:right="1440" w:bottom="1440" w:left="1440" w:header="709" w:footer="709" w:gutter="0"/>
          <w:cols w:space="340"/>
          <w:titlePg/>
          <w:docGrid w:linePitch="360"/>
          <w15:footnoteColumns w:val="1"/>
        </w:sectPr>
      </w:pPr>
    </w:p>
    <w:p w14:paraId="2739E05E" w14:textId="154C55CB" w:rsidR="00B95E95" w:rsidRPr="00034410" w:rsidRDefault="005D3B72" w:rsidP="00034410">
      <w:pPr>
        <w:pStyle w:val="Heading1"/>
      </w:pPr>
      <w:r w:rsidRPr="00034410">
        <w:lastRenderedPageBreak/>
        <w:t>Discussion</w:t>
      </w:r>
    </w:p>
    <w:p w14:paraId="55033FE1" w14:textId="3C08D682" w:rsidR="00F31469" w:rsidRPr="00034410" w:rsidRDefault="004E3ACE" w:rsidP="00034410">
      <w:r w:rsidRPr="002A2A64">
        <w:t xml:space="preserve">The results </w:t>
      </w:r>
      <w:r w:rsidR="00ED4354">
        <w:t xml:space="preserve">of Vahey et al. (2015) </w:t>
      </w:r>
      <w:r w:rsidRPr="002A2A64">
        <w:t>could not be verified at multiple different stages in the analysis</w:t>
      </w:r>
      <w:r w:rsidR="00802D88" w:rsidRPr="002A2A64">
        <w:t xml:space="preserve">, </w:t>
      </w:r>
      <w:r w:rsidR="00751E40">
        <w:t>and</w:t>
      </w:r>
      <w:r w:rsidR="00802D88" w:rsidRPr="002A2A64">
        <w:t xml:space="preserve"> multiple errors </w:t>
      </w:r>
      <w:r w:rsidR="00751E40">
        <w:t>and</w:t>
      </w:r>
      <w:r w:rsidR="00802D88" w:rsidRPr="002A2A64">
        <w:t xml:space="preserve"> discrepancies </w:t>
      </w:r>
      <w:r w:rsidR="00751E40">
        <w:t xml:space="preserve">were </w:t>
      </w:r>
      <w:r w:rsidR="00802D88" w:rsidRPr="002A2A64">
        <w:t>detected</w:t>
      </w:r>
      <w:r w:rsidRPr="002A2A64">
        <w:t xml:space="preserve">. </w:t>
      </w:r>
      <w:r w:rsidR="00AB2048" w:rsidRPr="002A2A64">
        <w:t xml:space="preserve">The </w:t>
      </w:r>
      <w:r w:rsidR="00EA7DFA" w:rsidRPr="002A2A64">
        <w:t xml:space="preserve">original article’s </w:t>
      </w:r>
      <w:r w:rsidR="00AB2048" w:rsidRPr="002A2A64">
        <w:t xml:space="preserve">inclusion and exclusion criteria were not </w:t>
      </w:r>
      <w:r w:rsidR="000A1DC4" w:rsidRPr="002A2A64">
        <w:t xml:space="preserve">consistently </w:t>
      </w:r>
      <w:r w:rsidR="00AB2048" w:rsidRPr="002A2A64">
        <w:t>applied</w:t>
      </w:r>
      <w:r w:rsidR="00E93CCC" w:rsidRPr="002A2A64">
        <w:t>: m</w:t>
      </w:r>
      <w:r w:rsidR="00AB2048" w:rsidRPr="002A2A64">
        <w:t>any effects that met Vahey et al.’s (2015) inclusion criteria were not included</w:t>
      </w:r>
      <w:r w:rsidR="00E93CCC" w:rsidRPr="002A2A64">
        <w:t>; c</w:t>
      </w:r>
      <w:r w:rsidR="00AB2048" w:rsidRPr="002A2A64">
        <w:t xml:space="preserve">onversely, many effects that were included did not meet inclusion </w:t>
      </w:r>
      <w:r w:rsidR="00AB2048" w:rsidRPr="004259E7">
        <w:t xml:space="preserve">criteria, e.g., </w:t>
      </w:r>
      <w:r w:rsidR="004259E7" w:rsidRPr="004259E7">
        <w:t>41.1</w:t>
      </w:r>
      <w:r w:rsidR="00AB2048" w:rsidRPr="004259E7">
        <w:t>% were not criterion</w:t>
      </w:r>
      <w:r w:rsidR="00AB2048" w:rsidRPr="002A2A64">
        <w:t xml:space="preserve"> effects as they did not involve a</w:t>
      </w:r>
      <w:r w:rsidR="00E93CCC" w:rsidRPr="002A2A64">
        <w:t xml:space="preserve">n </w:t>
      </w:r>
      <w:r w:rsidR="00AB2048" w:rsidRPr="002A2A64">
        <w:t>external variable.</w:t>
      </w:r>
      <w:r w:rsidR="00AB2048" w:rsidRPr="00034410">
        <w:t xml:space="preserve"> </w:t>
      </w:r>
      <w:r w:rsidR="003C3CC1" w:rsidRPr="00034410">
        <w:t>These inconsistencies in the application of the inclusion and exclusion strategy</w:t>
      </w:r>
      <w:r w:rsidR="003C3CC1" w:rsidRPr="00034410">
        <w:t xml:space="preserve"> biased towards including larger effect sizes and omitting smaller ones. </w:t>
      </w:r>
      <w:r w:rsidR="002E558B" w:rsidRPr="00034410">
        <w:t xml:space="preserve">The averaging of these effect sizes for each </w:t>
      </w:r>
      <w:r w:rsidR="00EA7DFA" w:rsidRPr="00034410">
        <w:t xml:space="preserve">article </w:t>
      </w:r>
      <w:r w:rsidR="002E558B" w:rsidRPr="00034410">
        <w:t xml:space="preserve">were not </w:t>
      </w:r>
      <w:r w:rsidR="00EA7DFA" w:rsidRPr="00034410">
        <w:t xml:space="preserve">computationally </w:t>
      </w:r>
      <w:r w:rsidR="002E558B" w:rsidRPr="00034410">
        <w:t>reproducibl</w:t>
      </w:r>
      <w:r w:rsidR="00EA7DFA" w:rsidRPr="00034410">
        <w:t>e</w:t>
      </w:r>
      <w:r w:rsidR="007F19D1" w:rsidRPr="00034410">
        <w:t xml:space="preserve"> in</w:t>
      </w:r>
      <w:r w:rsidR="00E93CCC" w:rsidRPr="00034410">
        <w:t xml:space="preserve"> </w:t>
      </w:r>
      <w:r w:rsidR="00B95E95" w:rsidRPr="00034410">
        <w:t>13% of cases.</w:t>
      </w:r>
      <w:r w:rsidR="00F1693C" w:rsidRPr="00034410">
        <w:t xml:space="preserve"> </w:t>
      </w:r>
      <w:r w:rsidR="002E558B" w:rsidRPr="00034410">
        <w:t xml:space="preserve">The results of </w:t>
      </w:r>
      <w:r w:rsidR="00896E27" w:rsidRPr="00034410">
        <w:t xml:space="preserve">the </w:t>
      </w:r>
      <w:r w:rsidR="002E558B" w:rsidRPr="00034410">
        <w:t>meta-analysis could not be reproduced</w:t>
      </w:r>
      <w:r w:rsidR="00933C23" w:rsidRPr="00034410">
        <w:t xml:space="preserve"> despite numerous </w:t>
      </w:r>
      <w:r w:rsidR="00B82B7F" w:rsidRPr="00034410">
        <w:t xml:space="preserve">different </w:t>
      </w:r>
      <w:r w:rsidR="00933C23" w:rsidRPr="00034410">
        <w:t>attempts</w:t>
      </w:r>
      <w:r w:rsidR="00EA7DFA" w:rsidRPr="00034410">
        <w:t xml:space="preserve"> and approaches.</w:t>
      </w:r>
      <w:r w:rsidR="00933C23" w:rsidRPr="00034410">
        <w:t xml:space="preserve"> </w:t>
      </w:r>
      <w:r w:rsidR="006D2D19" w:rsidRPr="00034410">
        <w:t>The original p</w:t>
      </w:r>
      <w:r w:rsidR="00B95E95" w:rsidRPr="00034410">
        <w:t>ower analys</w:t>
      </w:r>
      <w:r w:rsidR="00F04934" w:rsidRPr="00034410">
        <w:t>e</w:t>
      </w:r>
      <w:r w:rsidR="00B95E95" w:rsidRPr="00034410">
        <w:t xml:space="preserve">s </w:t>
      </w:r>
      <w:r w:rsidR="00F04934" w:rsidRPr="00034410">
        <w:t>were mostly reproducible</w:t>
      </w:r>
      <w:r w:rsidR="007F19D1" w:rsidRPr="00034410">
        <w:t>,</w:t>
      </w:r>
      <w:r w:rsidR="006D2D19" w:rsidRPr="00034410">
        <w:t xml:space="preserve"> </w:t>
      </w:r>
      <w:r w:rsidR="007F19D1" w:rsidRPr="00034410">
        <w:t>h</w:t>
      </w:r>
      <w:r w:rsidR="006D2D19" w:rsidRPr="00034410">
        <w:t>owever</w:t>
      </w:r>
      <w:r w:rsidR="00F04934" w:rsidRPr="00034410">
        <w:t>,</w:t>
      </w:r>
      <w:r w:rsidR="006D2D19" w:rsidRPr="00034410">
        <w:t xml:space="preserve"> given the lack of reproducibility of the </w:t>
      </w:r>
      <w:r w:rsidR="00F04934" w:rsidRPr="00034410">
        <w:t>meta-analysis itself</w:t>
      </w:r>
      <w:r w:rsidR="006D2D19" w:rsidRPr="00034410">
        <w:t xml:space="preserve">, this </w:t>
      </w:r>
      <w:r w:rsidR="00F04934" w:rsidRPr="00034410">
        <w:t xml:space="preserve">validity of those </w:t>
      </w:r>
      <w:r w:rsidR="006D2D19" w:rsidRPr="00034410">
        <w:t>power analyses’ results</w:t>
      </w:r>
      <w:r w:rsidR="00F04934" w:rsidRPr="00034410">
        <w:t xml:space="preserve"> </w:t>
      </w:r>
      <w:r w:rsidR="007F19D1" w:rsidRPr="00034410">
        <w:t xml:space="preserve">based on that meta-analysis estimate </w:t>
      </w:r>
      <w:r w:rsidR="00F04934" w:rsidRPr="00034410">
        <w:t xml:space="preserve">was </w:t>
      </w:r>
      <w:r w:rsidR="007F19D1" w:rsidRPr="00034410">
        <w:t xml:space="preserve">fundamentally </w:t>
      </w:r>
      <w:r w:rsidR="00F04934" w:rsidRPr="00034410">
        <w:t>undermined</w:t>
      </w:r>
      <w:r w:rsidR="006D2D19" w:rsidRPr="00034410">
        <w:t xml:space="preserve">. </w:t>
      </w:r>
    </w:p>
    <w:p w14:paraId="326009D0" w14:textId="7B2575D4" w:rsidR="00F24EA3" w:rsidRPr="00034410" w:rsidRDefault="00F24EA3" w:rsidP="00034410">
      <w:r w:rsidRPr="00034410">
        <w:t xml:space="preserve">This lack of reproducibility are consistent with what has been found elsewhere for meta-analyses: errors in data extraction and conversion are common, results are frequently not reproducible, and this is hindered by the unavailability of data and code </w:t>
      </w:r>
      <w:r w:rsidRPr="00034410">
        <w:fldChar w:fldCharType="begin"/>
      </w:r>
      <w:r w:rsidR="003221C9" w:rsidRPr="00034410">
        <w:instrText xml:space="preserve"> ADDIN ZOTERO_ITEM CSL_CITATION {"citationID":"oVz4Rtse","properties":{"formattedCitation":"(G\\uc0\\u248{}tzsche et al., 2007; Kadlec et al., 2023; Lakens et al., 2016, 2017; Maassen et al., 2020)","plainCitation":"(Gøtzsche et al., 2007; Kadlec et al., 2023; Lakens et al., 2016,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034410">
        <w:fldChar w:fldCharType="separate"/>
      </w:r>
      <w:r w:rsidRPr="00034410">
        <w:rPr>
          <w:sz w:val="20"/>
        </w:rPr>
        <w:t>(</w:t>
      </w:r>
      <w:proofErr w:type="spellStart"/>
      <w:r w:rsidRPr="00034410">
        <w:rPr>
          <w:sz w:val="20"/>
        </w:rPr>
        <w:t>Gøtzsche</w:t>
      </w:r>
      <w:proofErr w:type="spellEnd"/>
      <w:r w:rsidRPr="00034410">
        <w:rPr>
          <w:sz w:val="20"/>
        </w:rPr>
        <w:t xml:space="preserve"> et al., 2007; Kadlec et al., 2023; </w:t>
      </w:r>
      <w:proofErr w:type="spellStart"/>
      <w:r w:rsidRPr="00034410">
        <w:rPr>
          <w:sz w:val="20"/>
        </w:rPr>
        <w:t>Lakens</w:t>
      </w:r>
      <w:proofErr w:type="spellEnd"/>
      <w:r w:rsidRPr="00034410">
        <w:rPr>
          <w:sz w:val="20"/>
        </w:rPr>
        <w:t xml:space="preserve"> et al., 2016, 2017; </w:t>
      </w:r>
      <w:proofErr w:type="spellStart"/>
      <w:r w:rsidRPr="00034410">
        <w:rPr>
          <w:sz w:val="20"/>
        </w:rPr>
        <w:t>Maassen</w:t>
      </w:r>
      <w:proofErr w:type="spellEnd"/>
      <w:r w:rsidRPr="00034410">
        <w:rPr>
          <w:sz w:val="20"/>
        </w:rPr>
        <w:t xml:space="preserve"> et al., 2020)</w:t>
      </w:r>
      <w:r w:rsidRPr="00034410">
        <w:fldChar w:fldCharType="end"/>
      </w:r>
      <w:r w:rsidRPr="00034410">
        <w:t xml:space="preserve">. </w:t>
      </w:r>
    </w:p>
    <w:p w14:paraId="5F45771A" w14:textId="3B637F10" w:rsidR="00240F20" w:rsidRPr="00862779" w:rsidRDefault="001A77BB" w:rsidP="00034410">
      <w:r w:rsidRPr="00034410">
        <w:t>After correcting th</w:t>
      </w:r>
      <w:r w:rsidR="00F31469" w:rsidRPr="00034410">
        <w:t>e above</w:t>
      </w:r>
      <w:r w:rsidRPr="00034410">
        <w:t xml:space="preserve"> issues, a</w:t>
      </w:r>
      <w:r w:rsidR="006D2D19" w:rsidRPr="00034410">
        <w:t xml:space="preserve"> new meta-analysis was conducted</w:t>
      </w:r>
      <w:r w:rsidR="008926B3" w:rsidRPr="00034410">
        <w:t xml:space="preserve"> </w:t>
      </w:r>
      <w:proofErr w:type="gramStart"/>
      <w:r w:rsidR="008926B3" w:rsidRPr="00034410">
        <w:t>in order to</w:t>
      </w:r>
      <w:proofErr w:type="gramEnd"/>
      <w:r w:rsidR="008926B3" w:rsidRPr="00034410">
        <w:t xml:space="preserve"> convey the combined impact of these issues on the conclusions.</w:t>
      </w:r>
      <w:r w:rsidR="006D2D19" w:rsidRPr="00034410">
        <w:t xml:space="preserve"> Results suggested a meta-effect </w:t>
      </w:r>
      <w:r w:rsidR="006D2D19" w:rsidRPr="00944921">
        <w:t xml:space="preserve">size </w:t>
      </w:r>
      <w:r w:rsidR="00D065B6" w:rsidRPr="00944921">
        <w:t xml:space="preserve">or </w:t>
      </w:r>
      <m:oMath>
        <m:acc>
          <m:accPr>
            <m:chr m:val="̅"/>
            <m:ctrlPr>
              <w:rPr>
                <w:rFonts w:ascii="Cambria Math" w:hAnsi="Cambria Math"/>
                <w:i/>
                <w:sz w:val="20"/>
                <w:szCs w:val="20"/>
              </w:rPr>
            </m:ctrlPr>
          </m:accPr>
          <m:e>
            <m:r>
              <w:rPr>
                <w:rFonts w:ascii="Cambria Math" w:hAnsi="Cambria Math"/>
              </w:rPr>
              <m:t>r</m:t>
            </m:r>
          </m:e>
        </m:acc>
      </m:oMath>
      <w:r w:rsidR="00D065B6" w:rsidRPr="00944921">
        <w:t xml:space="preserve"> = .22</w:t>
      </w:r>
      <w:r w:rsidR="00D065B6" w:rsidRPr="00944921">
        <w:t xml:space="preserve">, </w:t>
      </w:r>
      <w:r w:rsidR="006D2D19" w:rsidRPr="00944921">
        <w:t xml:space="preserve">less than half that reported in </w:t>
      </w:r>
      <w:r w:rsidR="00D065B6" w:rsidRPr="00944921">
        <w:t xml:space="preserve">the </w:t>
      </w:r>
      <w:r w:rsidR="00D065B6" w:rsidRPr="00862779">
        <w:t>original article (</w:t>
      </w:r>
      <m:oMath>
        <m:acc>
          <m:accPr>
            <m:chr m:val="̅"/>
            <m:ctrlPr>
              <w:rPr>
                <w:rFonts w:ascii="Cambria Math" w:hAnsi="Cambria Math"/>
                <w:i/>
                <w:sz w:val="20"/>
                <w:szCs w:val="20"/>
              </w:rPr>
            </m:ctrlPr>
          </m:accPr>
          <m:e>
            <m:r>
              <w:rPr>
                <w:rFonts w:ascii="Cambria Math" w:hAnsi="Cambria Math"/>
              </w:rPr>
              <m:t>r</m:t>
            </m:r>
          </m:e>
        </m:acc>
      </m:oMath>
      <w:r w:rsidR="00D065B6" w:rsidRPr="00862779">
        <w:t xml:space="preserve"> = .45</w:t>
      </w:r>
      <w:r w:rsidR="00D065B6" w:rsidRPr="00862779">
        <w:t>)</w:t>
      </w:r>
      <w:r w:rsidR="00672A84" w:rsidRPr="00862779">
        <w:t>.</w:t>
      </w:r>
      <w:r w:rsidR="006D2D19" w:rsidRPr="00862779">
        <w:t xml:space="preserve"> </w:t>
      </w:r>
      <w:r w:rsidR="00240F20" w:rsidRPr="00862779">
        <w:t xml:space="preserve">Vahey et al. (2015) </w:t>
      </w:r>
      <w:r w:rsidR="00240F20" w:rsidRPr="00862779">
        <w:t>stated that</w:t>
      </w:r>
      <w:r w:rsidR="00D065B6" w:rsidRPr="00862779">
        <w:t>, according to their results,</w:t>
      </w:r>
      <w:r w:rsidR="00240F20" w:rsidRPr="00862779">
        <w:t xml:space="preserve"> </w:t>
      </w:r>
      <w:r w:rsidR="00240F20" w:rsidRPr="00862779">
        <w:t xml:space="preserve">the IRAP’s criterion validity </w:t>
      </w:r>
      <w:r w:rsidR="00240F20" w:rsidRPr="00862779">
        <w:t xml:space="preserve">compares </w:t>
      </w:r>
      <w:r w:rsidR="00240F20" w:rsidRPr="00862779">
        <w:t xml:space="preserve">“favourably” to </w:t>
      </w:r>
      <w:r w:rsidR="00240F20" w:rsidRPr="00862779">
        <w:t xml:space="preserve">the other popular implicit measures such as the </w:t>
      </w:r>
      <w:r w:rsidR="00240F20" w:rsidRPr="00862779">
        <w:t>Implicit Association Test (</w:t>
      </w:r>
      <m:oMath>
        <m:acc>
          <m:accPr>
            <m:chr m:val="̅"/>
            <m:ctrlPr>
              <w:rPr>
                <w:rFonts w:ascii="Cambria Math" w:hAnsi="Cambria Math"/>
                <w:i/>
                <w:sz w:val="20"/>
                <w:szCs w:val="20"/>
              </w:rPr>
            </m:ctrlPr>
          </m:accPr>
          <m:e>
            <m:r>
              <w:rPr>
                <w:rFonts w:ascii="Cambria Math" w:hAnsi="Cambria Math"/>
              </w:rPr>
              <m:t>r</m:t>
            </m:r>
          </m:e>
        </m:acc>
      </m:oMath>
      <w:r w:rsidR="00240F20" w:rsidRPr="00862779">
        <w:t xml:space="preserve"> = .22 for addiction and </w:t>
      </w:r>
      <m:oMath>
        <m:acc>
          <m:accPr>
            <m:chr m:val="̅"/>
            <m:ctrlPr>
              <w:rPr>
                <w:rFonts w:ascii="Cambria Math" w:hAnsi="Cambria Math"/>
                <w:i/>
                <w:sz w:val="20"/>
                <w:szCs w:val="20"/>
              </w:rPr>
            </m:ctrlPr>
          </m:accPr>
          <m:e>
            <m:r>
              <w:rPr>
                <w:rFonts w:ascii="Cambria Math" w:hAnsi="Cambria Math"/>
              </w:rPr>
              <m:t>r</m:t>
            </m:r>
          </m:e>
        </m:acc>
      </m:oMath>
      <w:r w:rsidR="00240F20" w:rsidRPr="00862779">
        <w:t xml:space="preserve"> = .30 for non-addiction psychopathologies: Greenwald et al., 2009) and evaluative priming methods (</w:t>
      </w:r>
      <m:oMath>
        <m:acc>
          <m:accPr>
            <m:chr m:val="̅"/>
            <m:ctrlPr>
              <w:rPr>
                <w:rFonts w:ascii="Cambria Math" w:hAnsi="Cambria Math"/>
                <w:i/>
                <w:sz w:val="20"/>
                <w:szCs w:val="20"/>
              </w:rPr>
            </m:ctrlPr>
          </m:accPr>
          <m:e>
            <m:r>
              <w:rPr>
                <w:rFonts w:ascii="Cambria Math" w:hAnsi="Cambria Math"/>
              </w:rPr>
              <m:t>r</m:t>
            </m:r>
          </m:e>
        </m:acc>
      </m:oMath>
      <w:r w:rsidR="00240F20" w:rsidRPr="00862779">
        <w:t xml:space="preserve">s = .18 to .28: Cameron et al. 2012; Herring et al., 2013; Rooke et al., 2008). </w:t>
      </w:r>
      <w:r w:rsidR="00D065B6" w:rsidRPr="00862779">
        <w:t>Without endorsing the updated meta-analysis, by Vahey et al.’s (2015) line of argument, the current results suggest that the IRAP is therefore on par with other such measures rather than superior to them</w:t>
      </w:r>
      <w:r w:rsidR="00240F20" w:rsidRPr="00862779">
        <w:t>.</w:t>
      </w:r>
      <w:r w:rsidR="00707292">
        <w:t xml:space="preserve"> This also brings the average criterion association observed for the IRAP closely in line with the average correlation observed across social and personality psychology </w:t>
      </w:r>
      <w:r w:rsidR="00707292">
        <w:fldChar w:fldCharType="begin"/>
      </w:r>
      <w:r w:rsidR="00C571EC">
        <w:instrText xml:space="preserve"> ADDIN ZOTERO_ITEM CSL_CITATION {"citationID":"q50R3onD","properties":{"formattedCitation":"(i.e., around r = .2: Hemphill, 2003; Hussey, 2023; Richard et al., 2003)","plainCitation":"(i.e., around r = .2: Hemphill, 2003; Hussey,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F."}],"issued":{"date-parts":[["2003"]]}},"label":"page","prefix":"i.e., around r = .2: "},{"id":5224,"uris":["http://zotero.org/users/1687755/items/V6AXJF9Q"],"itemData":{"id":5224,"type":"article-journal","abstract":"Following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707292">
        <w:fldChar w:fldCharType="separate"/>
      </w:r>
      <w:r w:rsidR="00C571EC">
        <w:rPr>
          <w:noProof/>
        </w:rPr>
        <w:t xml:space="preserve">(i.e., around </w:t>
      </w:r>
      <w:r w:rsidR="00C571EC" w:rsidRPr="00C571EC">
        <w:rPr>
          <w:i/>
          <w:iCs/>
          <w:noProof/>
        </w:rPr>
        <w:t>r</w:t>
      </w:r>
      <w:r w:rsidR="00C571EC">
        <w:rPr>
          <w:noProof/>
        </w:rPr>
        <w:t xml:space="preserve"> = .2: Hemphill, 2003; Hussey, 2023; Richard et al., 2003)</w:t>
      </w:r>
      <w:r w:rsidR="00707292">
        <w:fldChar w:fldCharType="end"/>
      </w:r>
      <w:r w:rsidR="00A7121C">
        <w:t xml:space="preserve">. </w:t>
      </w:r>
    </w:p>
    <w:p w14:paraId="11A50216" w14:textId="0318EA5E" w:rsidR="000B1ABC" w:rsidRPr="00034410" w:rsidRDefault="00AC3AE7" w:rsidP="0005400B">
      <w:r w:rsidRPr="00862779">
        <w:t xml:space="preserve">New power analyses </w:t>
      </w:r>
      <w:r w:rsidR="006975DC" w:rsidRPr="00862779">
        <w:t>mirroring the original</w:t>
      </w:r>
      <w:r w:rsidR="006975DC" w:rsidRPr="00034410">
        <w:t xml:space="preserve"> ones were then conducted using this new meta-analytic effect size. These </w:t>
      </w:r>
      <w:r w:rsidRPr="00034410">
        <w:t>suggest</w:t>
      </w:r>
      <w:r w:rsidR="00D3019A" w:rsidRPr="00034410">
        <w:t>ed</w:t>
      </w:r>
      <w:r w:rsidRPr="00034410">
        <w:t xml:space="preserve"> that a much larger number of participants are required</w:t>
      </w:r>
      <w:r w:rsidR="00D3019A" w:rsidRPr="00034410">
        <w:t xml:space="preserve"> </w:t>
      </w:r>
      <w:r w:rsidR="006975DC" w:rsidRPr="00034410">
        <w:t xml:space="preserve">in future IRAP studies </w:t>
      </w:r>
      <w:r w:rsidR="00D3019A" w:rsidRPr="00034410">
        <w:t>than recommended</w:t>
      </w:r>
      <w:r w:rsidR="006975DC" w:rsidRPr="00034410">
        <w:t xml:space="preserve"> by Vahey et al. (2015)</w:t>
      </w:r>
      <w:r w:rsidR="00D3019A" w:rsidRPr="00034410">
        <w:t xml:space="preserve">. For example, </w:t>
      </w:r>
      <w:r w:rsidR="00F055F7" w:rsidRPr="00034410">
        <w:t>although Vahey et al. (2015)</w:t>
      </w:r>
      <w:r w:rsidR="00D3019A" w:rsidRPr="00034410">
        <w:t xml:space="preserve"> </w:t>
      </w:r>
      <w:r w:rsidR="00F055F7" w:rsidRPr="00034410">
        <w:t xml:space="preserve">makes sample size recommendations for several different analyses and designs, it is most </w:t>
      </w:r>
      <w:r w:rsidR="00F055F7" w:rsidRPr="00687B9D">
        <w:t xml:space="preserve">frequently cited for the specific </w:t>
      </w:r>
      <w:r w:rsidR="00F055F7" w:rsidRPr="00687B9D">
        <w:t xml:space="preserve">recommendation of </w:t>
      </w:r>
      <w:r w:rsidR="006975DC" w:rsidRPr="00687B9D">
        <w:rPr>
          <w:i/>
          <w:iCs/>
        </w:rPr>
        <w:t>N</w:t>
      </w:r>
      <w:r w:rsidR="006975DC" w:rsidRPr="00687B9D">
        <w:t xml:space="preserve"> &gt; </w:t>
      </w:r>
      <w:r w:rsidR="00D3019A" w:rsidRPr="00687B9D">
        <w:t>37</w:t>
      </w:r>
      <w:r w:rsidR="00F055F7" w:rsidRPr="00687B9D">
        <w:t xml:space="preserve"> </w:t>
      </w:r>
      <w:r w:rsidR="006975DC" w:rsidRPr="00687B9D">
        <w:t xml:space="preserve">to detect a </w:t>
      </w:r>
      <w:r w:rsidR="00D3019A" w:rsidRPr="00687B9D">
        <w:t>first order correlation</w:t>
      </w:r>
      <w:r w:rsidR="00F055F7" w:rsidRPr="00687B9D">
        <w:t xml:space="preserve"> (alpha = 0.</w:t>
      </w:r>
      <w:r w:rsidR="00F055F7" w:rsidRPr="00034410">
        <w:t xml:space="preserve">5, one-tailed, 80% </w:t>
      </w:r>
      <w:proofErr w:type="gramStart"/>
      <w:r w:rsidR="00F055F7" w:rsidRPr="00034410">
        <w:t>power;</w:t>
      </w:r>
      <w:proofErr w:type="gramEnd"/>
      <w:r w:rsidR="00F055F7" w:rsidRPr="00034410">
        <w:t xml:space="preserve"> e.g., Kavanagh </w:t>
      </w:r>
      <w:r w:rsidR="006D38BA" w:rsidRPr="00034410">
        <w:t>et al. 2022</w:t>
      </w:r>
      <w:r w:rsidR="00F055F7" w:rsidRPr="00034410">
        <w:t>). T</w:t>
      </w:r>
      <w:r w:rsidR="00D3019A" w:rsidRPr="00034410">
        <w:t xml:space="preserve">he </w:t>
      </w:r>
      <w:r w:rsidR="00F055F7" w:rsidRPr="00034410">
        <w:t xml:space="preserve">sample size </w:t>
      </w:r>
      <w:r w:rsidR="00F055F7" w:rsidRPr="003628F7">
        <w:t xml:space="preserve">recommendation based on the updated meta-analytic effect size is </w:t>
      </w:r>
      <w:r w:rsidR="00F055F7" w:rsidRPr="003628F7">
        <w:rPr>
          <w:i/>
          <w:iCs/>
        </w:rPr>
        <w:t>N</w:t>
      </w:r>
      <w:r w:rsidR="00F055F7" w:rsidRPr="003628F7">
        <w:t xml:space="preserve"> &gt; </w:t>
      </w:r>
      <w:r w:rsidR="00FE6607" w:rsidRPr="003628F7">
        <w:t>273</w:t>
      </w:r>
      <w:r w:rsidR="00FE6607" w:rsidRPr="003628F7">
        <w:t xml:space="preserve"> for a one-tailed correlation, and </w:t>
      </w:r>
      <w:r w:rsidR="00FE6607" w:rsidRPr="003628F7">
        <w:t>346</w:t>
      </w:r>
      <w:r w:rsidR="00FE6607" w:rsidRPr="003628F7">
        <w:t xml:space="preserve"> for the much more commonly used </w:t>
      </w:r>
      <w:r w:rsidR="007A2826">
        <w:t xml:space="preserve">and less liberal </w:t>
      </w:r>
      <w:r w:rsidR="00FE6607" w:rsidRPr="003628F7">
        <w:t>two-tailed correlation</w:t>
      </w:r>
      <w:r w:rsidR="00F055F7" w:rsidRPr="003628F7">
        <w:t>. It is worth</w:t>
      </w:r>
      <w:r w:rsidR="00F055F7" w:rsidRPr="00034410">
        <w:t xml:space="preserve"> noting that </w:t>
      </w:r>
      <w:r w:rsidR="000B1ABC">
        <w:t xml:space="preserve">between </w:t>
      </w:r>
      <w:r w:rsidR="000B1ABC">
        <w:t xml:space="preserve">0% and 2.1% </w:t>
      </w:r>
      <w:r w:rsidR="000B1ABC">
        <w:t xml:space="preserve">of </w:t>
      </w:r>
      <w:r w:rsidR="00F055F7" w:rsidRPr="00034410">
        <w:t xml:space="preserve">published </w:t>
      </w:r>
      <w:r w:rsidR="000B1ABC">
        <w:t xml:space="preserve">original research using the </w:t>
      </w:r>
      <w:r w:rsidR="00F055F7" w:rsidRPr="00034410">
        <w:t xml:space="preserve">IRAP </w:t>
      </w:r>
      <w:r w:rsidR="00270AEF" w:rsidRPr="00034410">
        <w:t xml:space="preserve">has </w:t>
      </w:r>
      <w:r w:rsidR="00F055F7" w:rsidRPr="00034410">
        <w:t xml:space="preserve">included </w:t>
      </w:r>
      <w:r w:rsidR="000B1ABC">
        <w:t xml:space="preserve">sample size meeting these </w:t>
      </w:r>
      <w:r w:rsidR="004A2544">
        <w:t>criteria</w:t>
      </w:r>
      <w:r w:rsidR="00DD32AB" w:rsidRPr="00034410">
        <w:t xml:space="preserve">, according to a recent systematic review of </w:t>
      </w:r>
      <w:r w:rsidR="001B3064">
        <w:t>IRAP</w:t>
      </w:r>
      <w:r w:rsidR="00DD32AB" w:rsidRPr="00034410">
        <w:t xml:space="preserve"> research </w:t>
      </w:r>
      <w:r w:rsidR="001B3064">
        <w:t xml:space="preserve">published between 2006 and 2022 </w:t>
      </w:r>
      <w:r w:rsidR="007F77A7" w:rsidRPr="00034410">
        <w:fldChar w:fldCharType="begin"/>
      </w:r>
      <w:r w:rsidR="001B1ED8" w:rsidRPr="00034410">
        <w:instrText xml:space="preserve"> ADDIN ZOTERO_ITEM CSL_CITATION {"citationID":"okLHLOkX","properties":{"formattedCitation":"(188 studies in 150 publications, median N = 41, range = 9 to 210: Hussey, 2023)","plainCitation":"(188 studies in 150 publications, median N = 41, range = 9 to 210: 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Procedure","volume":"29","author":[{"family":"Hussey","given":"Ian"}],"issued":{"date-parts":[["2023",7,1]]}},"label":"page","prefix":"188 studies in 150 publications, median N = 41, range = 9 to 210: "}],"schema":"https://github.com/citation-style-language/schema/raw/master/csl-citation.json"} </w:instrText>
      </w:r>
      <w:r w:rsidR="007F77A7" w:rsidRPr="00034410">
        <w:fldChar w:fldCharType="separate"/>
      </w:r>
      <w:r w:rsidR="001B1ED8" w:rsidRPr="00034410">
        <w:rPr>
          <w:noProof/>
        </w:rPr>
        <w:t xml:space="preserve">(188 studies in 150 publications, median </w:t>
      </w:r>
      <w:r w:rsidR="001B1ED8" w:rsidRPr="006F0BC6">
        <w:rPr>
          <w:i/>
          <w:iCs/>
          <w:noProof/>
        </w:rPr>
        <w:t>N</w:t>
      </w:r>
      <w:r w:rsidR="001B1ED8" w:rsidRPr="00034410">
        <w:rPr>
          <w:noProof/>
        </w:rPr>
        <w:t xml:space="preserve"> = 41, range = 9 to 210: Hussey, 2023)</w:t>
      </w:r>
      <w:r w:rsidR="007F77A7" w:rsidRPr="00034410">
        <w:fldChar w:fldCharType="end"/>
      </w:r>
      <w:r w:rsidR="002D63BA" w:rsidRPr="00034410">
        <w:t>.</w:t>
      </w:r>
      <w:r w:rsidR="00276883" w:rsidRPr="00034410">
        <w:t xml:space="preserve"> </w:t>
      </w:r>
    </w:p>
    <w:p w14:paraId="00CD2628" w14:textId="3A30F1DD" w:rsidR="00991577" w:rsidRPr="00034410" w:rsidRDefault="00991577" w:rsidP="00034410">
      <w:r w:rsidRPr="00034410">
        <w:t>With that said, i</w:t>
      </w:r>
      <w:r w:rsidRPr="00034410">
        <w:t xml:space="preserve">t is important to </w:t>
      </w:r>
      <w:r w:rsidRPr="00034410">
        <w:t>acknowledge that the primary reason to calculate a new meta-analysis was to illustrate the combined impact of the errors on the results rather than to endorse the results of this new meta-analysis</w:t>
      </w:r>
      <w:r w:rsidR="00372F8A" w:rsidRPr="00034410">
        <w:t xml:space="preserve"> or power analysis</w:t>
      </w:r>
      <w:r w:rsidRPr="00034410">
        <w:t>. In my opinion, Vahey et al.’s (2015) approach of taking different types of effects between the IRAP and other criterion tasks is fundamentally flawed as it combines apples with oranges</w:t>
      </w:r>
      <w:r w:rsidR="00D22F72" w:rsidRPr="00034410">
        <w:t xml:space="preserve"> on multiple different fronts</w:t>
      </w:r>
      <w:r w:rsidRPr="00034410">
        <w:t>. All the following effects were meta-analysed together: effect sizes representing the magnitude of</w:t>
      </w:r>
      <w:r w:rsidR="00EC2421" w:rsidRPr="00034410">
        <w:t xml:space="preserve"> the compatibility effect on the </w:t>
      </w:r>
      <w:r w:rsidRPr="00034410">
        <w:t>IRAP</w:t>
      </w:r>
      <w:r w:rsidR="00EC2421" w:rsidRPr="00034410">
        <w:t xml:space="preserve"> itself</w:t>
      </w:r>
      <w:r w:rsidR="00D22F72" w:rsidRPr="00034410">
        <w:t>,</w:t>
      </w:r>
      <w:r w:rsidRPr="00034410">
        <w:t xml:space="preserve"> </w:t>
      </w:r>
      <w:r w:rsidR="00EC2421" w:rsidRPr="00034410">
        <w:t>interaction effects between IRAP trial types and group allocations</w:t>
      </w:r>
      <w:r w:rsidR="00D22F72" w:rsidRPr="00034410">
        <w:t>,</w:t>
      </w:r>
      <w:r w:rsidR="00EC2421" w:rsidRPr="00034410">
        <w:t xml:space="preserve"> and correlations between IRAP trial types and criterion tasks. In doing so, different types of IRAP data were combined as one: data from single trial-types, overall effects for the whole task, and effects averaging the trial types in different ways. Lastly, effects treating the IRAP as the dependent variable, the independent variable, and purely associative effects were combined</w:t>
      </w:r>
      <w:r w:rsidR="00AC69B4" w:rsidRPr="00034410">
        <w:t xml:space="preserve"> as one. </w:t>
      </w:r>
      <w:r w:rsidR="00CD0505" w:rsidRPr="00034410">
        <w:t xml:space="preserve">It is exceptionally difficult to know what the resulting meta-analysed effect size is an estimate </w:t>
      </w:r>
      <w:r w:rsidR="00CD0505" w:rsidRPr="00034410">
        <w:rPr>
          <w:i/>
          <w:iCs/>
        </w:rPr>
        <w:t>of</w:t>
      </w:r>
      <w:r w:rsidR="00CD0505" w:rsidRPr="00034410">
        <w:t xml:space="preserve">, </w:t>
      </w:r>
      <w:proofErr w:type="spellStart"/>
      <w:r w:rsidR="00CD0505" w:rsidRPr="00034410">
        <w:t>i.e</w:t>
      </w:r>
      <w:proofErr w:type="spellEnd"/>
      <w:r w:rsidR="00CD0505" w:rsidRPr="00034410">
        <w:t xml:space="preserve"> what the </w:t>
      </w:r>
      <w:proofErr w:type="spellStart"/>
      <w:r w:rsidR="00CD0505" w:rsidRPr="00034410">
        <w:t>estimand</w:t>
      </w:r>
      <w:proofErr w:type="spellEnd"/>
      <w:r w:rsidR="00CD0505" w:rsidRPr="00034410">
        <w:t xml:space="preserve"> is</w:t>
      </w:r>
      <w:r w:rsidR="00E35347" w:rsidRPr="00034410">
        <w:t xml:space="preserve">, and whether it applies to the type of effect that a researcher may wish to observe in their own future work. For example, to what degree is the interaction effect between a depression IRAP’s trial types and high vs. low experiential-avoidance group informative to a </w:t>
      </w:r>
      <w:r w:rsidR="00303C97" w:rsidRPr="00034410">
        <w:t xml:space="preserve">separate </w:t>
      </w:r>
      <w:r w:rsidR="00E35347" w:rsidRPr="00034410">
        <w:t xml:space="preserve">study on the correlation between </w:t>
      </w:r>
      <w:r w:rsidR="00303C97" w:rsidRPr="00034410">
        <w:t>self-reported self-esteem and a self-esteem IRAP in a prisoner population?</w:t>
      </w:r>
      <w:r w:rsidR="00F35A2C" w:rsidRPr="00034410">
        <w:t xml:space="preserve"> </w:t>
      </w:r>
      <w:r w:rsidR="00C00461" w:rsidRPr="00034410">
        <w:t xml:space="preserve">I argue that this apples-with-oranges approach is erroneous and leads to misleading conclusions, but the </w:t>
      </w:r>
      <w:r w:rsidR="00C00461" w:rsidRPr="00034410">
        <w:t>point of th</w:t>
      </w:r>
      <w:r w:rsidR="00C00461" w:rsidRPr="00034410">
        <w:t xml:space="preserve">e verifications presented here is to </w:t>
      </w:r>
      <w:r w:rsidR="00C00461" w:rsidRPr="00034410">
        <w:t>highlight that Vahey</w:t>
      </w:r>
      <w:r w:rsidR="00C00461" w:rsidRPr="00034410">
        <w:t xml:space="preserve"> et al.’s (2015) erroneous</w:t>
      </w:r>
      <w:r w:rsidR="00C00461" w:rsidRPr="00034410">
        <w:t xml:space="preserve"> </w:t>
      </w:r>
      <w:r w:rsidR="00C00461" w:rsidRPr="00034410">
        <w:t xml:space="preserve">analytic </w:t>
      </w:r>
      <w:r w:rsidR="00C00461" w:rsidRPr="00034410">
        <w:t>approach was also erroneously implemented.</w:t>
      </w:r>
    </w:p>
    <w:p w14:paraId="32DD2868" w14:textId="26C44100" w:rsidR="00A261A9" w:rsidRPr="00034410" w:rsidRDefault="00A261A9" w:rsidP="00034410">
      <w:pPr>
        <w:pStyle w:val="Heading2"/>
      </w:pPr>
      <w:r w:rsidRPr="00034410">
        <w:t>Limitations</w:t>
      </w:r>
    </w:p>
    <w:p w14:paraId="56F05B95" w14:textId="2FD1F7D5" w:rsidR="00991577" w:rsidRPr="00034410" w:rsidRDefault="00991577" w:rsidP="00B31D1D">
      <w:r w:rsidRPr="00034410">
        <w:t xml:space="preserve">It </w:t>
      </w:r>
      <w:r w:rsidR="002760FA" w:rsidRPr="00034410">
        <w:t xml:space="preserve">is possible that </w:t>
      </w:r>
      <w:r w:rsidR="00171EBC" w:rsidRPr="00034410">
        <w:t xml:space="preserve">these verification analyses themselves contain errors. The purpose of a verification report is to attempt to independently verify the results of presented in the original article, and do not represent the last word on error detection. </w:t>
      </w:r>
      <w:r w:rsidR="00E4650E" w:rsidRPr="00034410">
        <w:t xml:space="preserve">Equally, perhaps there is some way to reproduce the original results </w:t>
      </w:r>
      <w:r w:rsidR="00E4650E" w:rsidRPr="00034410">
        <w:t>(e.g., of the meta-analysis)</w:t>
      </w:r>
      <w:r w:rsidR="00E4650E" w:rsidRPr="00034410">
        <w:t xml:space="preserve"> in a way that I have not considered, and my not being able to reproduce them does not necessarily mean they are non-reproducible in some absolute manner. </w:t>
      </w:r>
      <w:r w:rsidR="005328E2">
        <w:t>V</w:t>
      </w:r>
      <w:r w:rsidR="00D85DD8" w:rsidRPr="00034410">
        <w:t xml:space="preserve">erification attempts </w:t>
      </w:r>
      <w:r w:rsidR="005328E2">
        <w:t xml:space="preserve">are in general </w:t>
      </w:r>
      <w:r w:rsidR="005328E2">
        <w:lastRenderedPageBreak/>
        <w:t xml:space="preserve">enhanced with </w:t>
      </w:r>
      <w:r w:rsidR="00D85DD8" w:rsidRPr="00034410">
        <w:t xml:space="preserve">access to the original code. Unfortunately, however, the first author of the original article declined to share their code. </w:t>
      </w:r>
    </w:p>
    <w:p w14:paraId="39F607AD" w14:textId="13EA30EB" w:rsidR="00C9290D" w:rsidRPr="00034410" w:rsidRDefault="004E3ACE" w:rsidP="00034410">
      <w:pPr>
        <w:pStyle w:val="Heading2"/>
      </w:pPr>
      <w:r w:rsidRPr="00034410">
        <w:t>Conclusions</w:t>
      </w:r>
    </w:p>
    <w:p w14:paraId="4D182AD6" w14:textId="091DFE44" w:rsidR="00167923" w:rsidRPr="00034410" w:rsidRDefault="004E3ACE" w:rsidP="007207F8">
      <w:r w:rsidRPr="00034410">
        <w:t>The results of Vahey et al. (2015) were found to have poor reproducibility at almost stage of their analytic strategy</w:t>
      </w:r>
      <w:r w:rsidR="0046744E" w:rsidRPr="00034410">
        <w:t xml:space="preserve">. In </w:t>
      </w:r>
      <w:r w:rsidR="0064245C" w:rsidRPr="00034410">
        <w:t>aggregate</w:t>
      </w:r>
      <w:r w:rsidR="0046744E" w:rsidRPr="00034410">
        <w:t xml:space="preserve">, these </w:t>
      </w:r>
      <w:r w:rsidRPr="00034410">
        <w:t>seriously undermin</w:t>
      </w:r>
      <w:r w:rsidR="0004452B" w:rsidRPr="00034410">
        <w:t xml:space="preserve">e </w:t>
      </w:r>
      <w:r w:rsidRPr="00034410">
        <w:t xml:space="preserve">the credibility and utility of </w:t>
      </w:r>
      <w:r w:rsidR="0004452B" w:rsidRPr="00034410">
        <w:t xml:space="preserve">the </w:t>
      </w:r>
      <w:r w:rsidRPr="00034410">
        <w:t>conclusions and recommendations</w:t>
      </w:r>
      <w:r w:rsidR="0004452B" w:rsidRPr="00034410">
        <w:t xml:space="preserve"> of the original article</w:t>
      </w:r>
      <w:r w:rsidRPr="00034410">
        <w:t>.</w:t>
      </w:r>
      <w:r w:rsidR="00847B13" w:rsidRPr="00034410">
        <w:t xml:space="preserve"> </w:t>
      </w:r>
      <w:r w:rsidR="002B6F51">
        <w:t>Recalculated results suggest that the meta-effect size was less than half the original result</w:t>
      </w:r>
      <w:r w:rsidR="000973EE">
        <w:t xml:space="preserve"> (</w:t>
      </w:r>
      <m:oMath>
        <m:acc>
          <m:accPr>
            <m:chr m:val="̅"/>
            <m:ctrlPr>
              <w:rPr>
                <w:rFonts w:ascii="Cambria Math" w:hAnsi="Cambria Math"/>
              </w:rPr>
            </m:ctrlPr>
          </m:accPr>
          <m:e>
            <m:r>
              <w:rPr>
                <w:rFonts w:ascii="Cambria Math" w:hAnsi="Cambria Math"/>
              </w:rPr>
              <m:t>r</m:t>
            </m:r>
          </m:e>
        </m:acc>
      </m:oMath>
      <w:r w:rsidR="000973EE" w:rsidRPr="000973EE">
        <w:t xml:space="preserve"> = .45</w:t>
      </w:r>
      <w:r w:rsidR="000973EE">
        <w:t xml:space="preserve"> vs. </w:t>
      </w:r>
      <w:r w:rsidR="000973EE" w:rsidRPr="00043D43">
        <w:t>.</w:t>
      </w:r>
      <w:r w:rsidR="000973EE">
        <w:t>22)</w:t>
      </w:r>
      <w:r w:rsidR="002B6F51">
        <w:t xml:space="preserve">, and sample size </w:t>
      </w:r>
      <w:r w:rsidR="002B6F51" w:rsidRPr="00CC276E">
        <w:t>recommendations were more than 15 times as large</w:t>
      </w:r>
      <w:r w:rsidR="000973EE" w:rsidRPr="00CC276E">
        <w:t xml:space="preserve"> (minimum </w:t>
      </w:r>
      <w:r w:rsidR="000973EE" w:rsidRPr="00CC276E">
        <w:rPr>
          <w:i/>
          <w:iCs/>
        </w:rPr>
        <w:t>N</w:t>
      </w:r>
      <w:r w:rsidR="000973EE" w:rsidRPr="00CC276E">
        <w:t xml:space="preserve"> = 37 vs. </w:t>
      </w:r>
      <w:r w:rsidR="00FC2759" w:rsidRPr="00CC276E">
        <w:t>346</w:t>
      </w:r>
      <w:r w:rsidR="000973EE" w:rsidRPr="00CC276E">
        <w:t>)</w:t>
      </w:r>
      <w:r w:rsidR="002B6F51" w:rsidRPr="00CC276E">
        <w:t xml:space="preserve">. </w:t>
      </w:r>
      <w:r w:rsidR="002B6F51" w:rsidRPr="00CC276E">
        <w:t>Vahey</w:t>
      </w:r>
      <w:r w:rsidR="002B6F51" w:rsidRPr="00034410">
        <w:t xml:space="preserve"> et al. (2015) may therefore require substantial correction</w:t>
      </w:r>
      <w:r w:rsidR="000973EE">
        <w:t>, and researchers should not use it for sample size planning.</w:t>
      </w:r>
    </w:p>
    <w:p w14:paraId="33303BE5" w14:textId="77777777" w:rsidR="00167923" w:rsidRPr="00034410" w:rsidRDefault="00167923" w:rsidP="00034410">
      <w:pPr>
        <w:pStyle w:val="Heading1"/>
      </w:pPr>
      <w:r w:rsidRPr="00034410">
        <w:t>References</w:t>
      </w:r>
    </w:p>
    <w:p w14:paraId="19B52C35" w14:textId="77777777" w:rsidR="00C571EC" w:rsidRPr="00C571EC" w:rsidRDefault="00B95E95" w:rsidP="00C571EC">
      <w:pPr>
        <w:pStyle w:val="Bibliography"/>
      </w:pPr>
      <w:r w:rsidRPr="003A109B">
        <w:fldChar w:fldCharType="begin"/>
      </w:r>
      <w:r w:rsidR="004B0A68" w:rsidRPr="003A109B">
        <w:instrText xml:space="preserve"> ADDIN ZOTERO_BIBL {"uncited":[],"omitted":[],"custom":[]} CSL_BIBLIOGRAPHY </w:instrText>
      </w:r>
      <w:r w:rsidRPr="003A109B">
        <w:fldChar w:fldCharType="separate"/>
      </w:r>
      <w:r w:rsidR="00C571EC" w:rsidRPr="00C571EC">
        <w:t xml:space="preserve">Allen, M. J., &amp; Yen, W. M. (2002). </w:t>
      </w:r>
      <w:r w:rsidR="00C571EC" w:rsidRPr="00C571EC">
        <w:rPr>
          <w:i/>
          <w:iCs/>
        </w:rPr>
        <w:t>Introduction to measurement theory</w:t>
      </w:r>
      <w:r w:rsidR="00C571EC" w:rsidRPr="00C571EC">
        <w:t>. Waveland Press.</w:t>
      </w:r>
    </w:p>
    <w:p w14:paraId="566DB70F" w14:textId="77777777" w:rsidR="00C571EC" w:rsidRPr="00C571EC" w:rsidRDefault="00C571EC" w:rsidP="00C571EC">
      <w:pPr>
        <w:pStyle w:val="Bibliography"/>
      </w:pPr>
      <w:r w:rsidRPr="00C571EC">
        <w:t xml:space="preserve">American Psychological Association. (2024). </w:t>
      </w:r>
      <w:r w:rsidRPr="00C571EC">
        <w:rPr>
          <w:i/>
          <w:iCs/>
        </w:rPr>
        <w:t>APA Dictionary of Psychology</w:t>
      </w:r>
      <w:r w:rsidRPr="00C571EC">
        <w:t>. https://dictionary.apa.org/criterion-validity</w:t>
      </w:r>
    </w:p>
    <w:p w14:paraId="4A149111" w14:textId="77777777" w:rsidR="00C571EC" w:rsidRPr="00C571EC" w:rsidRDefault="00C571EC" w:rsidP="00C571EC">
      <w:pPr>
        <w:pStyle w:val="Bibliography"/>
      </w:pPr>
      <w:r w:rsidRPr="00C571EC">
        <w:t xml:space="preserve">Barnes-Holmes, D., Barnes-Holmes, Y., Stewart, I., &amp; Boles, S. (2010). A sketch of the Implicit Relational Assessment Procedure (IRAP) and the Relational Elaboration and Coherence (REC) model. </w:t>
      </w:r>
      <w:r w:rsidRPr="00C571EC">
        <w:rPr>
          <w:i/>
          <w:iCs/>
        </w:rPr>
        <w:t>The Psychological Record</w:t>
      </w:r>
      <w:r w:rsidRPr="00C571EC">
        <w:t xml:space="preserve">, </w:t>
      </w:r>
      <w:r w:rsidRPr="00C571EC">
        <w:rPr>
          <w:i/>
          <w:iCs/>
        </w:rPr>
        <w:t>60</w:t>
      </w:r>
      <w:r w:rsidRPr="00C571EC">
        <w:t>(3), 527–542. https://doi.org/10.1007/BF03395726</w:t>
      </w:r>
    </w:p>
    <w:p w14:paraId="120E121E" w14:textId="77777777" w:rsidR="00C571EC" w:rsidRPr="00C571EC" w:rsidRDefault="00C571EC" w:rsidP="00C571EC">
      <w:pPr>
        <w:pStyle w:val="Bibliography"/>
      </w:pPr>
      <w:r w:rsidRPr="00C571EC">
        <w:t xml:space="preserve">Barnes-Holmes, D., &amp; Harte, C. (2022a). The IRAP as a Measure of Implicit Cognition: A Case of Frankenstein’s Monster. </w:t>
      </w:r>
      <w:r w:rsidRPr="00C571EC">
        <w:rPr>
          <w:i/>
          <w:iCs/>
        </w:rPr>
        <w:t xml:space="preserve">Perspectives on </w:t>
      </w:r>
      <w:proofErr w:type="spellStart"/>
      <w:r w:rsidRPr="00C571EC">
        <w:rPr>
          <w:i/>
          <w:iCs/>
        </w:rPr>
        <w:t>Behavior</w:t>
      </w:r>
      <w:proofErr w:type="spellEnd"/>
      <w:r w:rsidRPr="00C571EC">
        <w:rPr>
          <w:i/>
          <w:iCs/>
        </w:rPr>
        <w:t xml:space="preserve"> Science</w:t>
      </w:r>
      <w:r w:rsidRPr="00C571EC">
        <w:t>. https://doi.org/10.1007/s40614-022-00352-z</w:t>
      </w:r>
    </w:p>
    <w:p w14:paraId="40D9D3AD" w14:textId="77777777" w:rsidR="00C571EC" w:rsidRPr="00C571EC" w:rsidRDefault="00C571EC" w:rsidP="00C571EC">
      <w:pPr>
        <w:pStyle w:val="Bibliography"/>
      </w:pPr>
      <w:r w:rsidRPr="00C571EC">
        <w:t xml:space="preserve">Barnes-Holmes, D., &amp; Harte, C. (2022b). Relational frame theory 20 years on: The Odysseus voyage and beyond. In </w:t>
      </w:r>
      <w:r w:rsidRPr="00C571EC">
        <w:rPr>
          <w:i/>
          <w:iCs/>
        </w:rPr>
        <w:t>JOURNAL OF THE EXPERIMENTAL ANALYSIS OF BEHAVIOR</w:t>
      </w:r>
      <w:r w:rsidRPr="00C571EC">
        <w:t xml:space="preserve"> (Vol. 117, Issue 2, pp. 240–266). WILEY. https://doi.org/10.1002/jeab.733</w:t>
      </w:r>
    </w:p>
    <w:p w14:paraId="7F9A7853" w14:textId="77777777" w:rsidR="00C571EC" w:rsidRPr="00C571EC" w:rsidRDefault="00C571EC" w:rsidP="00C571EC">
      <w:pPr>
        <w:pStyle w:val="Bibliography"/>
      </w:pPr>
      <w:proofErr w:type="spellStart"/>
      <w:r w:rsidRPr="00C571EC">
        <w:t>Champely</w:t>
      </w:r>
      <w:proofErr w:type="spellEnd"/>
      <w:r w:rsidRPr="00C571EC">
        <w:t xml:space="preserve">, S. (2016). </w:t>
      </w:r>
      <w:proofErr w:type="spellStart"/>
      <w:r w:rsidRPr="00C571EC">
        <w:rPr>
          <w:i/>
          <w:iCs/>
        </w:rPr>
        <w:t>pwr</w:t>
      </w:r>
      <w:proofErr w:type="spellEnd"/>
      <w:r w:rsidRPr="00C571EC">
        <w:rPr>
          <w:i/>
          <w:iCs/>
        </w:rPr>
        <w:t>: Basic Functions for Power Analysis</w:t>
      </w:r>
      <w:r w:rsidRPr="00C571EC">
        <w:t xml:space="preserve"> [Computer software]. https://CRAN.R-project.org/package=pwr</w:t>
      </w:r>
    </w:p>
    <w:p w14:paraId="6406F83E" w14:textId="77777777" w:rsidR="00C571EC" w:rsidRPr="00C571EC" w:rsidRDefault="00C571EC" w:rsidP="00C571EC">
      <w:pPr>
        <w:pStyle w:val="Bibliography"/>
      </w:pPr>
      <w:r w:rsidRPr="00C571EC">
        <w:t xml:space="preserve">Corneille, O., &amp; </w:t>
      </w:r>
      <w:proofErr w:type="spellStart"/>
      <w:r w:rsidRPr="00C571EC">
        <w:t>Hütter</w:t>
      </w:r>
      <w:proofErr w:type="spellEnd"/>
      <w:r w:rsidRPr="00C571EC">
        <w:t xml:space="preserve">, M. (2020). Implicit? What Do You Mean? A Comprehensive Review of the Delusive Implicitness Construct in Attitude Research. </w:t>
      </w:r>
      <w:r w:rsidRPr="00C571EC">
        <w:rPr>
          <w:i/>
          <w:iCs/>
        </w:rPr>
        <w:t>Personality and Social Psychology Review</w:t>
      </w:r>
      <w:r w:rsidRPr="00C571EC">
        <w:t>, 1088868320911325. https://doi.org/10.1177/1088868320911325</w:t>
      </w:r>
    </w:p>
    <w:p w14:paraId="7A6E5888" w14:textId="77777777" w:rsidR="00C571EC" w:rsidRPr="00C571EC" w:rsidRDefault="00C571EC" w:rsidP="00C571EC">
      <w:pPr>
        <w:pStyle w:val="Bibliography"/>
      </w:pPr>
      <w:r w:rsidRPr="00C571EC">
        <w:t xml:space="preserve">Field, A. P., &amp; Gillett, R. (2010). How to do a meta-analysis. </w:t>
      </w:r>
      <w:r w:rsidRPr="00C571EC">
        <w:rPr>
          <w:i/>
          <w:iCs/>
        </w:rPr>
        <w:t>British Journal of Mathematical and Statistical Psychology</w:t>
      </w:r>
      <w:r w:rsidRPr="00C571EC">
        <w:t xml:space="preserve">, </w:t>
      </w:r>
      <w:r w:rsidRPr="00C571EC">
        <w:rPr>
          <w:i/>
          <w:iCs/>
        </w:rPr>
        <w:t>63</w:t>
      </w:r>
      <w:r w:rsidRPr="00C571EC">
        <w:t>(3), 665–694. https://doi.org/10.1348/000711010X502733</w:t>
      </w:r>
    </w:p>
    <w:p w14:paraId="76475CD4" w14:textId="77777777" w:rsidR="00C571EC" w:rsidRPr="00C571EC" w:rsidRDefault="00C571EC" w:rsidP="00C571EC">
      <w:pPr>
        <w:pStyle w:val="Bibliography"/>
      </w:pPr>
      <w:proofErr w:type="spellStart"/>
      <w:r w:rsidRPr="00C571EC">
        <w:t>Golijani</w:t>
      </w:r>
      <w:proofErr w:type="spellEnd"/>
      <w:r w:rsidRPr="00C571EC">
        <w:t xml:space="preserve">-Moghaddam, N., Hart, A., &amp; Dawson, D. L. (2013). The Implicit Relational Assessment Procedure: Emerging reliability and validity data. </w:t>
      </w:r>
      <w:r w:rsidRPr="00C571EC">
        <w:rPr>
          <w:i/>
          <w:iCs/>
        </w:rPr>
        <w:t xml:space="preserve">Journal of Contextual </w:t>
      </w:r>
      <w:proofErr w:type="spellStart"/>
      <w:r w:rsidRPr="00C571EC">
        <w:rPr>
          <w:i/>
          <w:iCs/>
        </w:rPr>
        <w:t>Behavioral</w:t>
      </w:r>
      <w:proofErr w:type="spellEnd"/>
      <w:r w:rsidRPr="00C571EC">
        <w:rPr>
          <w:i/>
          <w:iCs/>
        </w:rPr>
        <w:t xml:space="preserve"> Science</w:t>
      </w:r>
      <w:r w:rsidRPr="00C571EC">
        <w:t xml:space="preserve">, </w:t>
      </w:r>
      <w:r w:rsidRPr="00C571EC">
        <w:rPr>
          <w:i/>
          <w:iCs/>
        </w:rPr>
        <w:t>2</w:t>
      </w:r>
      <w:r w:rsidRPr="00C571EC">
        <w:t>(3–4), 105–119. https://doi.org/10.1016/j.jcbs.2013.05.002</w:t>
      </w:r>
    </w:p>
    <w:p w14:paraId="2AC121C9" w14:textId="77777777" w:rsidR="00C571EC" w:rsidRPr="00C571EC" w:rsidRDefault="00C571EC" w:rsidP="00C571EC">
      <w:pPr>
        <w:pStyle w:val="Bibliography"/>
      </w:pPr>
      <w:proofErr w:type="spellStart"/>
      <w:r w:rsidRPr="00C571EC">
        <w:t>Gøtzsche</w:t>
      </w:r>
      <w:proofErr w:type="spellEnd"/>
      <w:r w:rsidRPr="00C571EC">
        <w:t xml:space="preserve">, P. C., </w:t>
      </w:r>
      <w:proofErr w:type="spellStart"/>
      <w:r w:rsidRPr="00C571EC">
        <w:t>Hróbjartsson</w:t>
      </w:r>
      <w:proofErr w:type="spellEnd"/>
      <w:r w:rsidRPr="00C571EC">
        <w:t xml:space="preserve">, A., </w:t>
      </w:r>
      <w:proofErr w:type="spellStart"/>
      <w:r w:rsidRPr="00C571EC">
        <w:t>Marić</w:t>
      </w:r>
      <w:proofErr w:type="spellEnd"/>
      <w:r w:rsidRPr="00C571EC">
        <w:t xml:space="preserve">, K., &amp; </w:t>
      </w:r>
      <w:proofErr w:type="spellStart"/>
      <w:r w:rsidRPr="00C571EC">
        <w:t>Tendal</w:t>
      </w:r>
      <w:proofErr w:type="spellEnd"/>
      <w:r w:rsidRPr="00C571EC">
        <w:t xml:space="preserve">, B. (2007). Data Extraction Errors in </w:t>
      </w:r>
      <w:r w:rsidRPr="00C571EC">
        <w:t xml:space="preserve">Meta-analyses That Use Standardized Mean Differences. </w:t>
      </w:r>
      <w:r w:rsidRPr="00C571EC">
        <w:rPr>
          <w:i/>
          <w:iCs/>
        </w:rPr>
        <w:t>JAMA</w:t>
      </w:r>
      <w:r w:rsidRPr="00C571EC">
        <w:t xml:space="preserve">, </w:t>
      </w:r>
      <w:r w:rsidRPr="00C571EC">
        <w:rPr>
          <w:i/>
          <w:iCs/>
        </w:rPr>
        <w:t>298</w:t>
      </w:r>
      <w:r w:rsidRPr="00C571EC">
        <w:t>(4), 430–437. https://doi.org/10.1001/jama.298.4.430</w:t>
      </w:r>
    </w:p>
    <w:p w14:paraId="4E39DDBB" w14:textId="77777777" w:rsidR="00C571EC" w:rsidRPr="00C571EC" w:rsidRDefault="00C571EC" w:rsidP="00C571EC">
      <w:pPr>
        <w:pStyle w:val="Bibliography"/>
      </w:pPr>
      <w:r w:rsidRPr="00C571EC">
        <w:t xml:space="preserve">Greenwald, A. G., &amp; Lai, C. K. (2020). Implicit Social Cognition. </w:t>
      </w:r>
      <w:r w:rsidRPr="00C571EC">
        <w:rPr>
          <w:i/>
          <w:iCs/>
        </w:rPr>
        <w:t>Annual Review of Psychology</w:t>
      </w:r>
      <w:r w:rsidRPr="00C571EC">
        <w:t xml:space="preserve">, </w:t>
      </w:r>
      <w:r w:rsidRPr="00C571EC">
        <w:rPr>
          <w:i/>
          <w:iCs/>
        </w:rPr>
        <w:t>71</w:t>
      </w:r>
      <w:r w:rsidRPr="00C571EC">
        <w:t>(1), 419–445. https://doi.org/10.1146/annurev-psych-010419-050837</w:t>
      </w:r>
    </w:p>
    <w:p w14:paraId="1CFC343D" w14:textId="77777777" w:rsidR="00C571EC" w:rsidRPr="00C571EC" w:rsidRDefault="00C571EC" w:rsidP="00C571EC">
      <w:pPr>
        <w:pStyle w:val="Bibliography"/>
      </w:pPr>
      <w:r w:rsidRPr="00C571EC">
        <w:t xml:space="preserve">Greenwald, A. G., McGhee, D. E., &amp; Schwartz, J. L. (1998). Measuring individual differences in implicit cognition: The Implicit Association Test. </w:t>
      </w:r>
      <w:r w:rsidRPr="00C571EC">
        <w:rPr>
          <w:i/>
          <w:iCs/>
        </w:rPr>
        <w:t>Journal of Personality and Social Psychology</w:t>
      </w:r>
      <w:r w:rsidRPr="00C571EC">
        <w:t xml:space="preserve">, </w:t>
      </w:r>
      <w:r w:rsidRPr="00C571EC">
        <w:rPr>
          <w:i/>
          <w:iCs/>
        </w:rPr>
        <w:t>74</w:t>
      </w:r>
      <w:r w:rsidRPr="00C571EC">
        <w:t>(6), 1464–1480. https://doi.org/10.1037/0022-3514.74.6.1464</w:t>
      </w:r>
    </w:p>
    <w:p w14:paraId="126CD1D1" w14:textId="77777777" w:rsidR="00C571EC" w:rsidRPr="00C571EC" w:rsidRDefault="00C571EC" w:rsidP="00C571EC">
      <w:pPr>
        <w:pStyle w:val="Bibliography"/>
      </w:pPr>
      <w:r w:rsidRPr="00C571EC">
        <w:t xml:space="preserve">Hemphill, J. F. (2003). Interpreting the magnitudes of correlation coefficients. </w:t>
      </w:r>
      <w:r w:rsidRPr="00C571EC">
        <w:rPr>
          <w:i/>
          <w:iCs/>
        </w:rPr>
        <w:t>American Psychologist</w:t>
      </w:r>
      <w:r w:rsidRPr="00C571EC">
        <w:t xml:space="preserve">, </w:t>
      </w:r>
      <w:r w:rsidRPr="00C571EC">
        <w:rPr>
          <w:i/>
          <w:iCs/>
        </w:rPr>
        <w:t>58</w:t>
      </w:r>
      <w:r w:rsidRPr="00C571EC">
        <w:t>(1), 78–79. https://doi.org/10.1037/0003-066X.58.1.78</w:t>
      </w:r>
    </w:p>
    <w:p w14:paraId="73BA079A" w14:textId="77777777" w:rsidR="00C571EC" w:rsidRPr="00C571EC" w:rsidRDefault="00C571EC" w:rsidP="00C571EC">
      <w:pPr>
        <w:pStyle w:val="Bibliography"/>
      </w:pPr>
      <w:r w:rsidRPr="00C571EC">
        <w:t xml:space="preserve">Hunter, J. E., &amp; Schmidt, F. L. (2004). </w:t>
      </w:r>
      <w:r w:rsidRPr="00C571EC">
        <w:rPr>
          <w:i/>
          <w:iCs/>
        </w:rPr>
        <w:t>Methods of meta-analysis: Correcting error and bias in research findings</w:t>
      </w:r>
      <w:r w:rsidRPr="00C571EC">
        <w:t>. Sage.</w:t>
      </w:r>
    </w:p>
    <w:p w14:paraId="42C2A67E" w14:textId="77777777" w:rsidR="00C571EC" w:rsidRPr="00C571EC" w:rsidRDefault="00C571EC" w:rsidP="00C571EC">
      <w:pPr>
        <w:pStyle w:val="Bibliography"/>
      </w:pPr>
      <w:r w:rsidRPr="00C571EC">
        <w:t xml:space="preserve">Hussey, I. (2022). Reply to Barnes-Holmes &amp; Harte (2022) “The IRAP as a Measure of Implicit Cognition: A Case of Frankenstein’s Monster”. </w:t>
      </w:r>
      <w:proofErr w:type="spellStart"/>
      <w:r w:rsidRPr="00C571EC">
        <w:rPr>
          <w:i/>
          <w:iCs/>
        </w:rPr>
        <w:t>PsyArXiv</w:t>
      </w:r>
      <w:proofErr w:type="spellEnd"/>
      <w:r w:rsidRPr="00C571EC">
        <w:t>. https://doi.org/10.31234/osf.io/qmg6s</w:t>
      </w:r>
    </w:p>
    <w:p w14:paraId="4079F9E1" w14:textId="77777777" w:rsidR="00C571EC" w:rsidRPr="00C571EC" w:rsidRDefault="00C571EC" w:rsidP="00C571EC">
      <w:pPr>
        <w:pStyle w:val="Bibliography"/>
      </w:pPr>
      <w:r w:rsidRPr="00C571EC">
        <w:t xml:space="preserve">Hussey, I. (2023). A systematic review of null hypothesis significance testing, sample sizes, and statistical power in research using the Implicit Relational Assessment Procedure. </w:t>
      </w:r>
      <w:r w:rsidRPr="00C571EC">
        <w:rPr>
          <w:i/>
          <w:iCs/>
        </w:rPr>
        <w:t xml:space="preserve">Journal of Contextual </w:t>
      </w:r>
      <w:proofErr w:type="spellStart"/>
      <w:r w:rsidRPr="00C571EC">
        <w:rPr>
          <w:i/>
          <w:iCs/>
        </w:rPr>
        <w:t>Behavioral</w:t>
      </w:r>
      <w:proofErr w:type="spellEnd"/>
      <w:r w:rsidRPr="00C571EC">
        <w:rPr>
          <w:i/>
          <w:iCs/>
        </w:rPr>
        <w:t xml:space="preserve"> Science</w:t>
      </w:r>
      <w:r w:rsidRPr="00C571EC">
        <w:t xml:space="preserve">, </w:t>
      </w:r>
      <w:r w:rsidRPr="00C571EC">
        <w:rPr>
          <w:i/>
          <w:iCs/>
        </w:rPr>
        <w:t>29</w:t>
      </w:r>
      <w:r w:rsidRPr="00C571EC">
        <w:t>, 86–97. https://doi.org/10.1016/j.jcbs.2023.06.008</w:t>
      </w:r>
    </w:p>
    <w:p w14:paraId="2273F8DE" w14:textId="77777777" w:rsidR="00C571EC" w:rsidRPr="00C571EC" w:rsidRDefault="00C571EC" w:rsidP="00C571EC">
      <w:pPr>
        <w:pStyle w:val="Bibliography"/>
      </w:pPr>
      <w:r w:rsidRPr="00C571EC">
        <w:t xml:space="preserve">Hussey, I., &amp; Drake, C. E. (2020). The Implicit Relational Assessment Procedure demonstrates poor internal consistency and test-retest reliability: A meta-analysis. </w:t>
      </w:r>
      <w:proofErr w:type="spellStart"/>
      <w:r w:rsidRPr="00C571EC">
        <w:rPr>
          <w:i/>
          <w:iCs/>
        </w:rPr>
        <w:t>PsyArXiv</w:t>
      </w:r>
      <w:proofErr w:type="spellEnd"/>
      <w:r w:rsidRPr="00C571EC">
        <w:t>. https://doi.org/10.31234/osf.io/ge3k7</w:t>
      </w:r>
    </w:p>
    <w:p w14:paraId="561F251A" w14:textId="77777777" w:rsidR="00C571EC" w:rsidRPr="00C571EC" w:rsidRDefault="00C571EC" w:rsidP="00C571EC">
      <w:pPr>
        <w:pStyle w:val="Bibliography"/>
      </w:pPr>
      <w:r w:rsidRPr="00C571EC">
        <w:t xml:space="preserve">Kadlec, D., </w:t>
      </w:r>
      <w:proofErr w:type="spellStart"/>
      <w:r w:rsidRPr="00C571EC">
        <w:t>Sainani</w:t>
      </w:r>
      <w:proofErr w:type="spellEnd"/>
      <w:r w:rsidRPr="00C571EC">
        <w:t xml:space="preserve">, K. L., &amp; Nimphius, S. (2023). With Great Power Comes Great Responsibility: Common Errors in Meta-Analyses and Meta-Regressions in Strength &amp; Conditioning Research. </w:t>
      </w:r>
      <w:r w:rsidRPr="00C571EC">
        <w:rPr>
          <w:i/>
          <w:iCs/>
        </w:rPr>
        <w:t>Sports Medicine</w:t>
      </w:r>
      <w:r w:rsidRPr="00C571EC">
        <w:t xml:space="preserve">, </w:t>
      </w:r>
      <w:r w:rsidRPr="00C571EC">
        <w:rPr>
          <w:i/>
          <w:iCs/>
        </w:rPr>
        <w:t>53</w:t>
      </w:r>
      <w:r w:rsidRPr="00C571EC">
        <w:t>(2), 313–325. https://doi.org/10.1007/s40279-022-01766-0</w:t>
      </w:r>
    </w:p>
    <w:p w14:paraId="03DF4917" w14:textId="77777777" w:rsidR="00C571EC" w:rsidRPr="00C571EC" w:rsidRDefault="00C571EC" w:rsidP="00C571EC">
      <w:pPr>
        <w:pStyle w:val="Bibliography"/>
      </w:pPr>
      <w:r w:rsidRPr="00C571EC">
        <w:t xml:space="preserve">Kavanagh, D., Barnes-Holmes, Y., &amp; Barnes-Holmes, D. (2022). Attempting to </w:t>
      </w:r>
      <w:proofErr w:type="spellStart"/>
      <w:r w:rsidRPr="00C571EC">
        <w:t>Analyze</w:t>
      </w:r>
      <w:proofErr w:type="spellEnd"/>
      <w:r w:rsidRPr="00C571EC">
        <w:t xml:space="preserve"> Perspective-Taking with a False Belief Vignette Using the Implicit Relational Assessment Procedure. </w:t>
      </w:r>
      <w:r w:rsidRPr="00C571EC">
        <w:rPr>
          <w:i/>
          <w:iCs/>
        </w:rPr>
        <w:t>The Psychological Record</w:t>
      </w:r>
      <w:r w:rsidRPr="00C571EC">
        <w:t xml:space="preserve">, </w:t>
      </w:r>
      <w:r w:rsidRPr="00C571EC">
        <w:rPr>
          <w:i/>
          <w:iCs/>
        </w:rPr>
        <w:t>72</w:t>
      </w:r>
      <w:r w:rsidRPr="00C571EC">
        <w:t>(4), 525–549. https://doi.org/10.1007/s40732-021-00500-y</w:t>
      </w:r>
    </w:p>
    <w:p w14:paraId="2803A763" w14:textId="77777777" w:rsidR="00C571EC" w:rsidRPr="00C571EC" w:rsidRDefault="00C571EC" w:rsidP="00C571EC">
      <w:pPr>
        <w:pStyle w:val="Bibliography"/>
      </w:pPr>
      <w:proofErr w:type="spellStart"/>
      <w:r w:rsidRPr="00C571EC">
        <w:t>Lakens</w:t>
      </w:r>
      <w:proofErr w:type="spellEnd"/>
      <w:r w:rsidRPr="00C571EC">
        <w:t xml:space="preserve">, D., Hilgard, J., &amp; </w:t>
      </w:r>
      <w:proofErr w:type="spellStart"/>
      <w:r w:rsidRPr="00C571EC">
        <w:t>Staaks</w:t>
      </w:r>
      <w:proofErr w:type="spellEnd"/>
      <w:r w:rsidRPr="00C571EC">
        <w:t xml:space="preserve">, J. (2016). On the reproducibility of meta-analyses: Six practical recommendations. </w:t>
      </w:r>
      <w:r w:rsidRPr="00C571EC">
        <w:rPr>
          <w:i/>
          <w:iCs/>
        </w:rPr>
        <w:t>BMC Psychology</w:t>
      </w:r>
      <w:r w:rsidRPr="00C571EC">
        <w:t xml:space="preserve">, </w:t>
      </w:r>
      <w:r w:rsidRPr="00C571EC">
        <w:rPr>
          <w:i/>
          <w:iCs/>
        </w:rPr>
        <w:t>4</w:t>
      </w:r>
      <w:r w:rsidRPr="00C571EC">
        <w:t>(1), 24. https://doi.org/10.1186/s40359-016-0126-3</w:t>
      </w:r>
    </w:p>
    <w:p w14:paraId="2F394500" w14:textId="77777777" w:rsidR="00C571EC" w:rsidRPr="00C571EC" w:rsidRDefault="00C571EC" w:rsidP="00C571EC">
      <w:pPr>
        <w:pStyle w:val="Bibliography"/>
      </w:pPr>
      <w:proofErr w:type="spellStart"/>
      <w:r w:rsidRPr="00C571EC">
        <w:t>Lakens</w:t>
      </w:r>
      <w:proofErr w:type="spellEnd"/>
      <w:r w:rsidRPr="00C571EC">
        <w:t xml:space="preserve">, D., Page-Gould, E., van Assen, M. A. L. M., Spellman, B., </w:t>
      </w:r>
      <w:proofErr w:type="spellStart"/>
      <w:r w:rsidRPr="00C571EC">
        <w:t>Schönbrodt</w:t>
      </w:r>
      <w:proofErr w:type="spellEnd"/>
      <w:r w:rsidRPr="00C571EC">
        <w:t xml:space="preserve">, F. D., </w:t>
      </w:r>
      <w:proofErr w:type="spellStart"/>
      <w:r w:rsidRPr="00C571EC">
        <w:t>Hasselman</w:t>
      </w:r>
      <w:proofErr w:type="spellEnd"/>
      <w:r w:rsidRPr="00C571EC">
        <w:t xml:space="preserve">, F., Corker, K. S., Grange, J., Sharples, A., Cavender, C., </w:t>
      </w:r>
      <w:proofErr w:type="spellStart"/>
      <w:r w:rsidRPr="00C571EC">
        <w:t>Augusteijn</w:t>
      </w:r>
      <w:proofErr w:type="spellEnd"/>
      <w:r w:rsidRPr="00C571EC">
        <w:t xml:space="preserve">, H., </w:t>
      </w:r>
      <w:proofErr w:type="spellStart"/>
      <w:r w:rsidRPr="00C571EC">
        <w:t>Augusteijn</w:t>
      </w:r>
      <w:proofErr w:type="spellEnd"/>
      <w:r w:rsidRPr="00C571EC">
        <w:t xml:space="preserve">, H., </w:t>
      </w:r>
      <w:proofErr w:type="spellStart"/>
      <w:r w:rsidRPr="00C571EC">
        <w:t>Gerger</w:t>
      </w:r>
      <w:proofErr w:type="spellEnd"/>
      <w:r w:rsidRPr="00C571EC">
        <w:t xml:space="preserve">, H., </w:t>
      </w:r>
      <w:proofErr w:type="spellStart"/>
      <w:r w:rsidRPr="00C571EC">
        <w:t>Locher</w:t>
      </w:r>
      <w:proofErr w:type="spellEnd"/>
      <w:r w:rsidRPr="00C571EC">
        <w:t xml:space="preserve">, C., Miller, I. D., </w:t>
      </w:r>
      <w:proofErr w:type="spellStart"/>
      <w:r w:rsidRPr="00C571EC">
        <w:t>Anvari</w:t>
      </w:r>
      <w:proofErr w:type="spellEnd"/>
      <w:r w:rsidRPr="00C571EC">
        <w:t xml:space="preserve">, F., &amp; Scheel, A. M. (2017). </w:t>
      </w:r>
      <w:r w:rsidRPr="00C571EC">
        <w:rPr>
          <w:i/>
          <w:iCs/>
        </w:rPr>
        <w:t>Examining the Reproducibility of Meta-Analyses in Psychology: A Preliminary Report</w:t>
      </w:r>
      <w:r w:rsidRPr="00C571EC">
        <w:t xml:space="preserve"> [Preprint]. BITSS. https://doi.org/10.31222/osf.io/xfbjf</w:t>
      </w:r>
    </w:p>
    <w:p w14:paraId="4318E824" w14:textId="77777777" w:rsidR="00C571EC" w:rsidRPr="00C571EC" w:rsidRDefault="00C571EC" w:rsidP="00C571EC">
      <w:pPr>
        <w:pStyle w:val="Bibliography"/>
      </w:pPr>
      <w:proofErr w:type="spellStart"/>
      <w:r w:rsidRPr="00C571EC">
        <w:lastRenderedPageBreak/>
        <w:t>Maassen</w:t>
      </w:r>
      <w:proofErr w:type="spellEnd"/>
      <w:r w:rsidRPr="00C571EC">
        <w:t xml:space="preserve">, E., Assen, M. A. L. M. van, </w:t>
      </w:r>
      <w:proofErr w:type="spellStart"/>
      <w:r w:rsidRPr="00C571EC">
        <w:t>Nuijten</w:t>
      </w:r>
      <w:proofErr w:type="spellEnd"/>
      <w:r w:rsidRPr="00C571EC">
        <w:t>, M. B., Olsson-</w:t>
      </w:r>
      <w:proofErr w:type="spellStart"/>
      <w:r w:rsidRPr="00C571EC">
        <w:t>Collentine</w:t>
      </w:r>
      <w:proofErr w:type="spellEnd"/>
      <w:r w:rsidRPr="00C571EC">
        <w:t xml:space="preserve">, A., &amp; </w:t>
      </w:r>
      <w:proofErr w:type="spellStart"/>
      <w:r w:rsidRPr="00C571EC">
        <w:t>Wicherts</w:t>
      </w:r>
      <w:proofErr w:type="spellEnd"/>
      <w:r w:rsidRPr="00C571EC">
        <w:t xml:space="preserve">, J. M. (2020). Reproducibility of individual effect sizes in meta-analyses in psychology. </w:t>
      </w:r>
      <w:r w:rsidRPr="00C571EC">
        <w:rPr>
          <w:i/>
          <w:iCs/>
        </w:rPr>
        <w:t>PLOS ONE</w:t>
      </w:r>
      <w:r w:rsidRPr="00C571EC">
        <w:t xml:space="preserve">, </w:t>
      </w:r>
      <w:r w:rsidRPr="00C571EC">
        <w:rPr>
          <w:i/>
          <w:iCs/>
        </w:rPr>
        <w:t>15</w:t>
      </w:r>
      <w:r w:rsidRPr="00C571EC">
        <w:t>(5), e0233107. https://doi.org/10.1371/journal.pone.0233107</w:t>
      </w:r>
    </w:p>
    <w:p w14:paraId="2D8E906F" w14:textId="77777777" w:rsidR="00C571EC" w:rsidRPr="00C571EC" w:rsidRDefault="00C571EC" w:rsidP="00C571EC">
      <w:pPr>
        <w:pStyle w:val="Bibliography"/>
      </w:pPr>
      <w:proofErr w:type="spellStart"/>
      <w:r w:rsidRPr="00C571EC">
        <w:t>Perugini</w:t>
      </w:r>
      <w:proofErr w:type="spellEnd"/>
      <w:r w:rsidRPr="00C571EC">
        <w:t xml:space="preserve">, M., Gallucci, M., &amp; </w:t>
      </w:r>
      <w:proofErr w:type="spellStart"/>
      <w:r w:rsidRPr="00C571EC">
        <w:t>Costantini</w:t>
      </w:r>
      <w:proofErr w:type="spellEnd"/>
      <w:r w:rsidRPr="00C571EC">
        <w:t xml:space="preserve">, G. (2014). Safeguard Power as a Protection Against Imprecise Power Estimates. </w:t>
      </w:r>
      <w:r w:rsidRPr="00C571EC">
        <w:rPr>
          <w:i/>
          <w:iCs/>
        </w:rPr>
        <w:t>Perspectives on Psychological Science</w:t>
      </w:r>
      <w:r w:rsidRPr="00C571EC">
        <w:t xml:space="preserve">, </w:t>
      </w:r>
      <w:r w:rsidRPr="00C571EC">
        <w:rPr>
          <w:i/>
          <w:iCs/>
        </w:rPr>
        <w:t>9</w:t>
      </w:r>
      <w:r w:rsidRPr="00C571EC">
        <w:t>(3), 319–332. https://doi.org/10.1177/1745691614528519</w:t>
      </w:r>
    </w:p>
    <w:p w14:paraId="5147C69E" w14:textId="77777777" w:rsidR="00C571EC" w:rsidRPr="00C571EC" w:rsidRDefault="00C571EC" w:rsidP="00C571EC">
      <w:pPr>
        <w:pStyle w:val="Bibliography"/>
      </w:pPr>
      <w:proofErr w:type="spellStart"/>
      <w:r w:rsidRPr="00C571EC">
        <w:t>Revelle</w:t>
      </w:r>
      <w:proofErr w:type="spellEnd"/>
      <w:r w:rsidRPr="00C571EC">
        <w:t xml:space="preserve">, W. (2009). </w:t>
      </w:r>
      <w:r w:rsidRPr="00C571EC">
        <w:rPr>
          <w:i/>
          <w:iCs/>
        </w:rPr>
        <w:t>An introduction to psychometric theory with applications in R</w:t>
      </w:r>
      <w:r w:rsidRPr="00C571EC">
        <w:t>. Springer Evanston, IL. https://www.personality-project.org/r/book/</w:t>
      </w:r>
    </w:p>
    <w:p w14:paraId="499B8280" w14:textId="77777777" w:rsidR="00C571EC" w:rsidRPr="00C571EC" w:rsidRDefault="00C571EC" w:rsidP="00C571EC">
      <w:pPr>
        <w:pStyle w:val="Bibliography"/>
      </w:pPr>
      <w:r w:rsidRPr="00C571EC">
        <w:t>Richard, F. D., Bond, C. F., &amp; Stokes-</w:t>
      </w:r>
      <w:proofErr w:type="spellStart"/>
      <w:r w:rsidRPr="00C571EC">
        <w:t>Zoota</w:t>
      </w:r>
      <w:proofErr w:type="spellEnd"/>
      <w:r w:rsidRPr="00C571EC">
        <w:t xml:space="preserve">, J. J. (2003). One Hundred Years of Social Psychology Quantitatively Described. </w:t>
      </w:r>
      <w:r w:rsidRPr="00C571EC">
        <w:rPr>
          <w:i/>
          <w:iCs/>
        </w:rPr>
        <w:t>Review of General Psychology</w:t>
      </w:r>
      <w:r w:rsidRPr="00C571EC">
        <w:t xml:space="preserve">, </w:t>
      </w:r>
      <w:r w:rsidRPr="00C571EC">
        <w:rPr>
          <w:i/>
          <w:iCs/>
        </w:rPr>
        <w:t>7</w:t>
      </w:r>
      <w:r w:rsidRPr="00C571EC">
        <w:t>(4), 331–363. https://doi.org/10.1037/1089-2680.7.4.331</w:t>
      </w:r>
    </w:p>
    <w:p w14:paraId="6DEA3FF0" w14:textId="77777777" w:rsidR="00C571EC" w:rsidRPr="00C571EC" w:rsidRDefault="00C571EC" w:rsidP="00C571EC">
      <w:pPr>
        <w:pStyle w:val="Bibliography"/>
      </w:pPr>
      <w:r w:rsidRPr="00C571EC">
        <w:t xml:space="preserve">Vahey, N. A., Nicholson, E., &amp; Barnes-Holmes, D. (2015). A meta-analysis of criterion effects for the Implicit Relational Assessment Procedure (IRAP) in the clinical domain. </w:t>
      </w:r>
      <w:r w:rsidRPr="00C571EC">
        <w:rPr>
          <w:i/>
          <w:iCs/>
        </w:rPr>
        <w:t xml:space="preserve">Journal of </w:t>
      </w:r>
      <w:proofErr w:type="spellStart"/>
      <w:r w:rsidRPr="00C571EC">
        <w:rPr>
          <w:i/>
          <w:iCs/>
        </w:rPr>
        <w:t>Behavior</w:t>
      </w:r>
      <w:proofErr w:type="spellEnd"/>
      <w:r w:rsidRPr="00C571EC">
        <w:rPr>
          <w:i/>
          <w:iCs/>
        </w:rPr>
        <w:t xml:space="preserve"> Therapy and Experimental Psychiatry</w:t>
      </w:r>
      <w:r w:rsidRPr="00C571EC">
        <w:t xml:space="preserve">, </w:t>
      </w:r>
      <w:r w:rsidRPr="00C571EC">
        <w:rPr>
          <w:i/>
          <w:iCs/>
        </w:rPr>
        <w:t>48</w:t>
      </w:r>
      <w:r w:rsidRPr="00C571EC">
        <w:t>, 59–65. https://doi.org/10.1016/j.jbtep.2015.01.004</w:t>
      </w:r>
    </w:p>
    <w:p w14:paraId="4EA3D96A" w14:textId="77777777" w:rsidR="00C571EC" w:rsidRPr="00C571EC" w:rsidRDefault="00C571EC" w:rsidP="00C571EC">
      <w:pPr>
        <w:pStyle w:val="Bibliography"/>
      </w:pPr>
      <w:proofErr w:type="spellStart"/>
      <w:r w:rsidRPr="00C571EC">
        <w:t>Viechtbauer</w:t>
      </w:r>
      <w:proofErr w:type="spellEnd"/>
      <w:r w:rsidRPr="00C571EC">
        <w:t xml:space="preserve">, W. (2010). Conducting Meta-Analyses in R with the </w:t>
      </w:r>
      <w:proofErr w:type="spellStart"/>
      <w:r w:rsidRPr="00C571EC">
        <w:t>metafor</w:t>
      </w:r>
      <w:proofErr w:type="spellEnd"/>
      <w:r w:rsidRPr="00C571EC">
        <w:t xml:space="preserve"> Package. </w:t>
      </w:r>
      <w:r w:rsidRPr="00C571EC">
        <w:rPr>
          <w:i/>
          <w:iCs/>
        </w:rPr>
        <w:t>Journal of Statistical Software</w:t>
      </w:r>
      <w:r w:rsidRPr="00C571EC">
        <w:t xml:space="preserve">, </w:t>
      </w:r>
      <w:r w:rsidRPr="00C571EC">
        <w:rPr>
          <w:i/>
          <w:iCs/>
        </w:rPr>
        <w:t>36</w:t>
      </w:r>
      <w:r w:rsidRPr="00C571EC">
        <w:t>(3). https://doi.org/10.18637/jss.v036.i03</w:t>
      </w:r>
    </w:p>
    <w:p w14:paraId="7ED8A1AD" w14:textId="77777777" w:rsidR="00C571EC" w:rsidRPr="00C571EC" w:rsidRDefault="00C571EC" w:rsidP="00C571EC">
      <w:pPr>
        <w:pStyle w:val="Bibliography"/>
      </w:pPr>
      <w:proofErr w:type="spellStart"/>
      <w:r w:rsidRPr="00C571EC">
        <w:t>Viechtbauer</w:t>
      </w:r>
      <w:proofErr w:type="spellEnd"/>
      <w:r w:rsidRPr="00C571EC">
        <w:t xml:space="preserve">, W. (2022). </w:t>
      </w:r>
      <w:r w:rsidRPr="00C571EC">
        <w:rPr>
          <w:i/>
          <w:iCs/>
        </w:rPr>
        <w:t>Hunter and Schmidt Method</w:t>
      </w:r>
      <w:r w:rsidRPr="00C571EC">
        <w:t>. https://www.metafor-project.org/doku.php/tips:hunter_schmidt_method</w:t>
      </w:r>
    </w:p>
    <w:p w14:paraId="57BF78CF" w14:textId="77777777" w:rsidR="00C571EC" w:rsidRPr="00C571EC" w:rsidRDefault="00C571EC" w:rsidP="00C571EC">
      <w:pPr>
        <w:pStyle w:val="Bibliography"/>
      </w:pPr>
      <w:proofErr w:type="spellStart"/>
      <w:r w:rsidRPr="00C571EC">
        <w:t>Viechtbauer</w:t>
      </w:r>
      <w:proofErr w:type="spellEnd"/>
      <w:r w:rsidRPr="00C571EC">
        <w:t xml:space="preserve">, W. (2024). </w:t>
      </w:r>
      <w:proofErr w:type="spellStart"/>
      <w:r w:rsidRPr="00C571EC">
        <w:rPr>
          <w:i/>
          <w:iCs/>
        </w:rPr>
        <w:t>metafor</w:t>
      </w:r>
      <w:proofErr w:type="spellEnd"/>
      <w:r w:rsidRPr="00C571EC">
        <w:rPr>
          <w:i/>
          <w:iCs/>
        </w:rPr>
        <w:t>: Meta-Analysis Package for R</w:t>
      </w:r>
      <w:r w:rsidRPr="00C571EC">
        <w:t xml:space="preserve"> (4.6-0) [Computer software]. https://CRAN.R-project.org/package=metafor</w:t>
      </w:r>
    </w:p>
    <w:p w14:paraId="480B1992" w14:textId="43FA2B9C" w:rsidR="00F0388F" w:rsidRDefault="00B95E95" w:rsidP="002E69B0">
      <w:pPr>
        <w:ind w:firstLine="0"/>
        <w:jc w:val="left"/>
        <w:sectPr w:rsidR="00F0388F" w:rsidSect="00601B7B">
          <w:type w:val="continuous"/>
          <w:pgSz w:w="11900" w:h="16840"/>
          <w:pgMar w:top="1440" w:right="1440" w:bottom="1440" w:left="1440" w:header="709" w:footer="709" w:gutter="0"/>
          <w:cols w:num="2" w:space="340"/>
          <w:titlePg/>
          <w:docGrid w:linePitch="360"/>
          <w15:footnoteColumns w:val="1"/>
        </w:sectPr>
      </w:pPr>
      <w:r w:rsidRPr="003A109B">
        <w:fldChar w:fldCharType="end"/>
      </w:r>
    </w:p>
    <w:p w14:paraId="7D88E32D" w14:textId="1A9AE526" w:rsidR="00E976A8" w:rsidRPr="00034410" w:rsidRDefault="00E976A8" w:rsidP="00AF6510">
      <w:pPr>
        <w:ind w:firstLine="0"/>
        <w:jc w:val="left"/>
      </w:pPr>
    </w:p>
    <w:sectPr w:rsidR="00E976A8" w:rsidRPr="00034410" w:rsidSect="00F0388F">
      <w:type w:val="continuous"/>
      <w:pgSz w:w="11900" w:h="16840"/>
      <w:pgMar w:top="1440" w:right="1440" w:bottom="1440" w:left="1440" w:header="709" w:footer="709" w:gutter="0"/>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9FB5C" w14:textId="77777777" w:rsidR="00451EDD" w:rsidRDefault="00451EDD" w:rsidP="00034410">
      <w:r>
        <w:separator/>
      </w:r>
    </w:p>
  </w:endnote>
  <w:endnote w:type="continuationSeparator" w:id="0">
    <w:p w14:paraId="6CEB1FDC" w14:textId="77777777" w:rsidR="00451EDD" w:rsidRDefault="00451EDD" w:rsidP="00034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Headings)">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1673761"/>
      <w:docPartObj>
        <w:docPartGallery w:val="Page Numbers (Bottom of Page)"/>
        <w:docPartUnique/>
      </w:docPartObj>
    </w:sdtPr>
    <w:sdtContent>
      <w:p w14:paraId="614C9CAD" w14:textId="15DECE7A" w:rsidR="008153E3" w:rsidRDefault="008153E3" w:rsidP="000E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966EE0" w14:textId="77777777" w:rsidR="008153E3" w:rsidRDefault="008153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7666581"/>
      <w:docPartObj>
        <w:docPartGallery w:val="Page Numbers (Bottom of Page)"/>
        <w:docPartUnique/>
      </w:docPartObj>
    </w:sdtPr>
    <w:sdtContent>
      <w:p w14:paraId="7AAF5C29" w14:textId="7C2E737B" w:rsidR="008153E3" w:rsidRDefault="008153E3" w:rsidP="008153E3">
        <w:pPr>
          <w:pStyle w:val="Footer"/>
          <w:framePr w:wrap="none" w:vAnchor="text" w:hAnchor="page" w:x="5570" w:yAlign="top"/>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E50E82E" w14:textId="77777777" w:rsidR="008153E3" w:rsidRPr="008153E3" w:rsidRDefault="008153E3" w:rsidP="008153E3">
    <w:pPr>
      <w:pStyle w:val="Footer"/>
      <w:ind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5A177" w14:textId="77777777" w:rsidR="00451EDD" w:rsidRDefault="00451EDD" w:rsidP="00034410">
      <w:r>
        <w:separator/>
      </w:r>
    </w:p>
  </w:footnote>
  <w:footnote w:type="continuationSeparator" w:id="0">
    <w:p w14:paraId="3F323272" w14:textId="77777777" w:rsidR="00451EDD" w:rsidRDefault="00451EDD" w:rsidP="00034410">
      <w:r>
        <w:continuationSeparator/>
      </w:r>
    </w:p>
  </w:footnote>
  <w:footnote w:id="1">
    <w:p w14:paraId="24B47179" w14:textId="4FE21638" w:rsidR="007C23EB" w:rsidRPr="007C23EB" w:rsidRDefault="007C23EB" w:rsidP="001B25E1">
      <w:pPr>
        <w:pStyle w:val="FootnoteText"/>
        <w:ind w:firstLine="0"/>
        <w:rPr>
          <w:lang w:val="en-US"/>
        </w:rPr>
      </w:pPr>
      <w:r w:rsidRPr="006C1CF5">
        <w:rPr>
          <w:rStyle w:val="FootnoteReference"/>
        </w:rPr>
        <w:footnoteRef/>
      </w:r>
      <w:r>
        <w:t xml:space="preserve"> </w:t>
      </w:r>
      <w:r w:rsidRPr="007C23EB">
        <w:t xml:space="preserve">Two other reviews of the IRAP’s test-retest reliability have also been conducted </w:t>
      </w:r>
      <w:r w:rsidRPr="007C23EB">
        <w:rPr>
          <w:lang w:val="en-US"/>
        </w:rPr>
        <w:fldChar w:fldCharType="begin"/>
      </w:r>
      <w:r>
        <w:rPr>
          <w:lang w:val="en-US"/>
        </w:rPr>
        <w:instrText xml:space="preserve"> ADDIN ZOTERO_ITEM CSL_CITATION {"citationID":"MuNlVxc2","properties":{"formattedCitation":"(Golijani-Moghaddam et al., 2013: r = .49; Greenwald &amp; Lai, 2020: r = .45)","plainCitation":"(Golijani-Moghaddam et al., 2013: r = .49; Greenwald &amp; Lai, 2020: r = .45)","noteIndex":1},"citationItems":[{"id":1874,"uris":["http://zotero.org/users/1687755/items/WEXEG2BA"],"itemData":{"id":1874,"type":"article-journal","container-title":"Journal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7C23EB">
        <w:rPr>
          <w:lang w:val="en-US"/>
        </w:rPr>
        <w:fldChar w:fldCharType="separate"/>
      </w:r>
      <w:r>
        <w:rPr>
          <w:lang w:val="en-US"/>
        </w:rPr>
        <w:t xml:space="preserve">(Golijani-Moghaddam et al., 2013: </w:t>
      </w:r>
      <m:oMath>
        <m:acc>
          <m:accPr>
            <m:chr m:val="̅"/>
            <m:ctrlPr>
              <w:rPr>
                <w:rFonts w:ascii="Cambria Math" w:hAnsi="Cambria Math" w:cstheme="majorHAnsi"/>
                <w:i/>
                <w:sz w:val="20"/>
                <w:szCs w:val="20"/>
              </w:rPr>
            </m:ctrlPr>
          </m:accPr>
          <m:e>
            <m:r>
              <w:rPr>
                <w:rFonts w:ascii="Cambria Math" w:hAnsi="Cambria Math"/>
              </w:rPr>
              <m:t>r</m:t>
            </m:r>
          </m:e>
        </m:acc>
      </m:oMath>
      <w:r>
        <w:rPr>
          <w:lang w:val="en-US"/>
        </w:rPr>
        <w:t xml:space="preserve"> = .49; Greenwald &amp; Lai, 2020: </w:t>
      </w:r>
      <m:oMath>
        <m:acc>
          <m:accPr>
            <m:chr m:val="̅"/>
            <m:ctrlPr>
              <w:rPr>
                <w:rFonts w:ascii="Cambria Math" w:hAnsi="Cambria Math" w:cstheme="majorHAnsi"/>
                <w:i/>
                <w:sz w:val="20"/>
                <w:szCs w:val="20"/>
              </w:rPr>
            </m:ctrlPr>
          </m:accPr>
          <m:e>
            <m:r>
              <w:rPr>
                <w:rFonts w:ascii="Cambria Math" w:hAnsi="Cambria Math"/>
              </w:rPr>
              <m:t>r</m:t>
            </m:r>
          </m:e>
        </m:acc>
      </m:oMath>
      <w:r>
        <w:rPr>
          <w:lang w:val="en-US"/>
        </w:rPr>
        <w:t xml:space="preserve"> = .45)</w:t>
      </w:r>
      <w:r w:rsidRPr="007C23EB">
        <w:rPr>
          <w:lang w:val="en-US"/>
        </w:rPr>
        <w:fldChar w:fldCharType="end"/>
      </w:r>
      <w:r w:rsidRPr="007C23EB">
        <w:rPr>
          <w:lang w:val="en-US"/>
        </w:rPr>
        <w:t>.</w:t>
      </w:r>
      <w:r w:rsidRPr="007C23EB">
        <w:t xml:space="preserve"> However, both estimated test-retest reliability from a very small number of studies (</w:t>
      </w:r>
      <w:proofErr w:type="spellStart"/>
      <w:r w:rsidRPr="007C23EB">
        <w:rPr>
          <w:i/>
          <w:iCs/>
        </w:rPr>
        <w:t>k</w:t>
      </w:r>
      <w:r w:rsidRPr="007C23EB">
        <w:t>s</w:t>
      </w:r>
      <w:proofErr w:type="spellEnd"/>
      <w:r w:rsidRPr="007C23EB">
        <w:t xml:space="preserve"> = 1 and 2, respectively) with very small sample sizes (</w:t>
      </w:r>
      <w:r w:rsidRPr="007C23EB">
        <w:rPr>
          <w:i/>
          <w:iCs/>
        </w:rPr>
        <w:t>N</w:t>
      </w:r>
      <w:r w:rsidRPr="007C23EB">
        <w:t xml:space="preserve">s = 12 and 25, respectively). Hussey &amp; Drake’s </w:t>
      </w:r>
      <w:r w:rsidRPr="007C23EB">
        <w:fldChar w:fldCharType="begin"/>
      </w:r>
      <w:r w:rsidR="001206E0">
        <w:instrText xml:space="preserve"> ADDIN ZOTERO_ITEM CSL_CITATION {"citationID":"svW3NYbQ","properties":{"formattedCitation":"(2020)","plainCitation":"(2020)","noteIndex":1},"citationItems":[{"id":15,"uris":["http://zotero.org/users/1687755/items/MU3ZSDRR"],"itemData":{"id":15,"type":"article-journal","abstract":"Evidence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Pr="007C23EB">
        <w:fldChar w:fldCharType="separate"/>
      </w:r>
      <w:r w:rsidRPr="007C23EB">
        <w:t>(2020)</w:t>
      </w:r>
      <w:r w:rsidRPr="007C23EB">
        <w:rPr>
          <w:lang w:val="en-US"/>
        </w:rPr>
        <w:fldChar w:fldCharType="end"/>
      </w:r>
      <w:r w:rsidRPr="007C23EB">
        <w:t xml:space="preserve"> estimate</w:t>
      </w:r>
      <w:r>
        <w:t xml:space="preserve">s, which were derived from a </w:t>
      </w:r>
      <w:r w:rsidRPr="007D7ACB">
        <w:t>larger</w:t>
      </w:r>
      <w:r>
        <w:t xml:space="preserve"> number of studies and participants (k = 8, N = </w:t>
      </w:r>
      <w:r w:rsidRPr="007C23EB">
        <w:rPr>
          <w:lang w:val="en-US"/>
        </w:rPr>
        <w:t>318</w:t>
      </w:r>
      <w:r>
        <w:rPr>
          <w:lang w:val="en-US"/>
        </w:rPr>
        <w:t>)</w:t>
      </w:r>
      <w:r w:rsidRPr="007C23EB">
        <w:t xml:space="preserve"> therefore represent the </w:t>
      </w:r>
      <w:r>
        <w:t xml:space="preserve">more </w:t>
      </w:r>
      <w:r w:rsidRPr="007C23EB">
        <w:t>precise estimate</w:t>
      </w:r>
      <w:r>
        <w:t>s</w:t>
      </w:r>
      <w:r w:rsidR="00D836F4">
        <w:t>. In addition, Hussey &amp; Drake (2020) employ both more appropriate methods to estimate reliability (i.e., permutation based internal consistency rather than split-half reliability, and ICC</w:t>
      </w:r>
      <w:r w:rsidR="00D836F4" w:rsidRPr="00E15CFC">
        <w:rPr>
          <w:rFonts w:cs="Calibri (Headings)"/>
          <w:vertAlign w:val="subscript"/>
        </w:rPr>
        <w:t>2</w:t>
      </w:r>
      <w:r w:rsidR="00D836F4">
        <w:t xml:space="preserve"> rather than </w:t>
      </w:r>
      <w:r w:rsidR="00E15CFC">
        <w:t xml:space="preserve">Pearson’s </w:t>
      </w:r>
      <w:r w:rsidR="00E15CFC" w:rsidRPr="00E15CFC">
        <w:rPr>
          <w:i/>
          <w:iCs/>
        </w:rPr>
        <w:t>r</w:t>
      </w:r>
      <w:r w:rsidR="00E15CFC">
        <w:t>.</w:t>
      </w:r>
      <w:r w:rsidR="00D836F4">
        <w:t xml:space="preserve"> </w:t>
      </w:r>
      <w:r w:rsidR="00E15CFC">
        <w:t xml:space="preserve">See Hussey &amp; Drake (2020) for further discussion.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343CC"/>
    <w:multiLevelType w:val="hybridMultilevel"/>
    <w:tmpl w:val="1F8C8082"/>
    <w:lvl w:ilvl="0" w:tplc="A85E8EC8">
      <w:start w:val="1"/>
      <w:numFmt w:val="bullet"/>
      <w:lvlText w:val="-"/>
      <w:lvlJc w:val="left"/>
      <w:pPr>
        <w:ind w:left="1080" w:hanging="360"/>
      </w:pPr>
      <w:rPr>
        <w:rFonts w:ascii="CMU Serif Roman" w:eastAsiaTheme="minorEastAsia"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DA6860"/>
    <w:multiLevelType w:val="hybridMultilevel"/>
    <w:tmpl w:val="C45C7218"/>
    <w:lvl w:ilvl="0" w:tplc="F1B422C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FD233D"/>
    <w:multiLevelType w:val="hybridMultilevel"/>
    <w:tmpl w:val="370C3190"/>
    <w:lvl w:ilvl="0" w:tplc="E302762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5046E9"/>
    <w:multiLevelType w:val="hybridMultilevel"/>
    <w:tmpl w:val="1956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214778">
    <w:abstractNumId w:val="3"/>
  </w:num>
  <w:num w:numId="2" w16cid:durableId="2050379569">
    <w:abstractNumId w:val="0"/>
  </w:num>
  <w:num w:numId="3" w16cid:durableId="208222507">
    <w:abstractNumId w:val="1"/>
  </w:num>
  <w:num w:numId="4" w16cid:durableId="643656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2C55"/>
    <w:rsid w:val="000034B3"/>
    <w:rsid w:val="00003F3D"/>
    <w:rsid w:val="00006528"/>
    <w:rsid w:val="000111B2"/>
    <w:rsid w:val="00011913"/>
    <w:rsid w:val="000119D0"/>
    <w:rsid w:val="00011BAA"/>
    <w:rsid w:val="000128DF"/>
    <w:rsid w:val="00013508"/>
    <w:rsid w:val="0001350A"/>
    <w:rsid w:val="00013AE4"/>
    <w:rsid w:val="00017296"/>
    <w:rsid w:val="0002030D"/>
    <w:rsid w:val="00020A4F"/>
    <w:rsid w:val="000218F8"/>
    <w:rsid w:val="00021C43"/>
    <w:rsid w:val="00021F72"/>
    <w:rsid w:val="00023292"/>
    <w:rsid w:val="00026A25"/>
    <w:rsid w:val="00027CD4"/>
    <w:rsid w:val="00030218"/>
    <w:rsid w:val="000314B2"/>
    <w:rsid w:val="000323B2"/>
    <w:rsid w:val="00034410"/>
    <w:rsid w:val="0003712A"/>
    <w:rsid w:val="000374D3"/>
    <w:rsid w:val="000377F3"/>
    <w:rsid w:val="000377F9"/>
    <w:rsid w:val="0004010A"/>
    <w:rsid w:val="000415FA"/>
    <w:rsid w:val="00043D43"/>
    <w:rsid w:val="0004418F"/>
    <w:rsid w:val="0004447F"/>
    <w:rsid w:val="0004452B"/>
    <w:rsid w:val="00045544"/>
    <w:rsid w:val="00050D9B"/>
    <w:rsid w:val="000521C2"/>
    <w:rsid w:val="00052449"/>
    <w:rsid w:val="000525B9"/>
    <w:rsid w:val="000532FD"/>
    <w:rsid w:val="0005400B"/>
    <w:rsid w:val="00056983"/>
    <w:rsid w:val="00057A7F"/>
    <w:rsid w:val="00061F2B"/>
    <w:rsid w:val="00062730"/>
    <w:rsid w:val="00064BCC"/>
    <w:rsid w:val="0006572D"/>
    <w:rsid w:val="0006583B"/>
    <w:rsid w:val="00066346"/>
    <w:rsid w:val="00067C1A"/>
    <w:rsid w:val="000713C8"/>
    <w:rsid w:val="0007173C"/>
    <w:rsid w:val="00072B87"/>
    <w:rsid w:val="00072B9F"/>
    <w:rsid w:val="000735A8"/>
    <w:rsid w:val="00073AA3"/>
    <w:rsid w:val="00073C53"/>
    <w:rsid w:val="0007490C"/>
    <w:rsid w:val="000756C6"/>
    <w:rsid w:val="00076F33"/>
    <w:rsid w:val="00080D76"/>
    <w:rsid w:val="000810BE"/>
    <w:rsid w:val="000819D9"/>
    <w:rsid w:val="000831AD"/>
    <w:rsid w:val="000838C2"/>
    <w:rsid w:val="00083EC4"/>
    <w:rsid w:val="00084AD6"/>
    <w:rsid w:val="000879BA"/>
    <w:rsid w:val="0009015C"/>
    <w:rsid w:val="00093F1F"/>
    <w:rsid w:val="00094126"/>
    <w:rsid w:val="00094699"/>
    <w:rsid w:val="000954F4"/>
    <w:rsid w:val="00095EF1"/>
    <w:rsid w:val="000967B0"/>
    <w:rsid w:val="000973EE"/>
    <w:rsid w:val="000A1DC4"/>
    <w:rsid w:val="000A23D1"/>
    <w:rsid w:val="000A2AE2"/>
    <w:rsid w:val="000A6136"/>
    <w:rsid w:val="000A6649"/>
    <w:rsid w:val="000A6E4B"/>
    <w:rsid w:val="000B0C9B"/>
    <w:rsid w:val="000B1677"/>
    <w:rsid w:val="000B1ABC"/>
    <w:rsid w:val="000B2144"/>
    <w:rsid w:val="000B270B"/>
    <w:rsid w:val="000B4933"/>
    <w:rsid w:val="000B4D42"/>
    <w:rsid w:val="000B51B2"/>
    <w:rsid w:val="000C1E96"/>
    <w:rsid w:val="000C4DB7"/>
    <w:rsid w:val="000C5051"/>
    <w:rsid w:val="000C5BDB"/>
    <w:rsid w:val="000C749A"/>
    <w:rsid w:val="000D0203"/>
    <w:rsid w:val="000D085A"/>
    <w:rsid w:val="000D1059"/>
    <w:rsid w:val="000D11A2"/>
    <w:rsid w:val="000D2430"/>
    <w:rsid w:val="000D2622"/>
    <w:rsid w:val="000D2676"/>
    <w:rsid w:val="000D2F24"/>
    <w:rsid w:val="000D68CF"/>
    <w:rsid w:val="000D6DA5"/>
    <w:rsid w:val="000D7837"/>
    <w:rsid w:val="000D7C57"/>
    <w:rsid w:val="000D7CEC"/>
    <w:rsid w:val="000E02ED"/>
    <w:rsid w:val="000E2434"/>
    <w:rsid w:val="000E24E4"/>
    <w:rsid w:val="000E29C2"/>
    <w:rsid w:val="000F12D8"/>
    <w:rsid w:val="000F1AA0"/>
    <w:rsid w:val="000F1DBE"/>
    <w:rsid w:val="000F2C73"/>
    <w:rsid w:val="000F3D9D"/>
    <w:rsid w:val="000F43B1"/>
    <w:rsid w:val="000F4E35"/>
    <w:rsid w:val="000F4ECD"/>
    <w:rsid w:val="000F5299"/>
    <w:rsid w:val="000F5F5C"/>
    <w:rsid w:val="000F6427"/>
    <w:rsid w:val="001011B7"/>
    <w:rsid w:val="00103A1D"/>
    <w:rsid w:val="00104D58"/>
    <w:rsid w:val="0010680E"/>
    <w:rsid w:val="00107FDA"/>
    <w:rsid w:val="00110490"/>
    <w:rsid w:val="001104F8"/>
    <w:rsid w:val="0011130B"/>
    <w:rsid w:val="00111F08"/>
    <w:rsid w:val="0011275B"/>
    <w:rsid w:val="00113C79"/>
    <w:rsid w:val="00114258"/>
    <w:rsid w:val="00116220"/>
    <w:rsid w:val="001165DC"/>
    <w:rsid w:val="001175AC"/>
    <w:rsid w:val="001206E0"/>
    <w:rsid w:val="00123A38"/>
    <w:rsid w:val="00124C89"/>
    <w:rsid w:val="00126622"/>
    <w:rsid w:val="001273F6"/>
    <w:rsid w:val="00130820"/>
    <w:rsid w:val="00130A52"/>
    <w:rsid w:val="00130E5B"/>
    <w:rsid w:val="00131382"/>
    <w:rsid w:val="00131E06"/>
    <w:rsid w:val="001325C5"/>
    <w:rsid w:val="001326F7"/>
    <w:rsid w:val="00133C1B"/>
    <w:rsid w:val="001431F4"/>
    <w:rsid w:val="001432AC"/>
    <w:rsid w:val="00144382"/>
    <w:rsid w:val="00144468"/>
    <w:rsid w:val="00146175"/>
    <w:rsid w:val="0014685A"/>
    <w:rsid w:val="001475A1"/>
    <w:rsid w:val="001475A4"/>
    <w:rsid w:val="0015221A"/>
    <w:rsid w:val="00153513"/>
    <w:rsid w:val="001537F8"/>
    <w:rsid w:val="00154563"/>
    <w:rsid w:val="001556FB"/>
    <w:rsid w:val="00157B0C"/>
    <w:rsid w:val="0016193C"/>
    <w:rsid w:val="00163914"/>
    <w:rsid w:val="00163E3E"/>
    <w:rsid w:val="00164FDF"/>
    <w:rsid w:val="001652A7"/>
    <w:rsid w:val="00166356"/>
    <w:rsid w:val="00167923"/>
    <w:rsid w:val="00167DAE"/>
    <w:rsid w:val="00171EBC"/>
    <w:rsid w:val="001721B4"/>
    <w:rsid w:val="0017243A"/>
    <w:rsid w:val="0017266A"/>
    <w:rsid w:val="00174134"/>
    <w:rsid w:val="00177875"/>
    <w:rsid w:val="001813FF"/>
    <w:rsid w:val="00182CB6"/>
    <w:rsid w:val="00186FE5"/>
    <w:rsid w:val="00192DDC"/>
    <w:rsid w:val="001930F6"/>
    <w:rsid w:val="0019313A"/>
    <w:rsid w:val="00194485"/>
    <w:rsid w:val="001949BE"/>
    <w:rsid w:val="0019784B"/>
    <w:rsid w:val="001A2DD8"/>
    <w:rsid w:val="001A36AD"/>
    <w:rsid w:val="001A407A"/>
    <w:rsid w:val="001A4627"/>
    <w:rsid w:val="001A77BB"/>
    <w:rsid w:val="001A7C9D"/>
    <w:rsid w:val="001B1E91"/>
    <w:rsid w:val="001B1ED8"/>
    <w:rsid w:val="001B25E1"/>
    <w:rsid w:val="001B27B2"/>
    <w:rsid w:val="001B3064"/>
    <w:rsid w:val="001B48EB"/>
    <w:rsid w:val="001B4ACA"/>
    <w:rsid w:val="001B570D"/>
    <w:rsid w:val="001B6144"/>
    <w:rsid w:val="001B6334"/>
    <w:rsid w:val="001B6416"/>
    <w:rsid w:val="001B7BBE"/>
    <w:rsid w:val="001B7C79"/>
    <w:rsid w:val="001C175E"/>
    <w:rsid w:val="001C1A84"/>
    <w:rsid w:val="001C1DCA"/>
    <w:rsid w:val="001C29F6"/>
    <w:rsid w:val="001C36E5"/>
    <w:rsid w:val="001C378E"/>
    <w:rsid w:val="001C5EFE"/>
    <w:rsid w:val="001C7252"/>
    <w:rsid w:val="001D02E4"/>
    <w:rsid w:val="001D10AC"/>
    <w:rsid w:val="001D11EA"/>
    <w:rsid w:val="001D2EEC"/>
    <w:rsid w:val="001D325F"/>
    <w:rsid w:val="001D38D7"/>
    <w:rsid w:val="001D4143"/>
    <w:rsid w:val="001D4C34"/>
    <w:rsid w:val="001D6A74"/>
    <w:rsid w:val="001E11B0"/>
    <w:rsid w:val="001E1496"/>
    <w:rsid w:val="001E19B4"/>
    <w:rsid w:val="001E1E17"/>
    <w:rsid w:val="001E4E33"/>
    <w:rsid w:val="001E6578"/>
    <w:rsid w:val="001E78CC"/>
    <w:rsid w:val="001F0E8B"/>
    <w:rsid w:val="001F4118"/>
    <w:rsid w:val="001F4B6A"/>
    <w:rsid w:val="001F6779"/>
    <w:rsid w:val="002001D3"/>
    <w:rsid w:val="00200475"/>
    <w:rsid w:val="0020136D"/>
    <w:rsid w:val="00202091"/>
    <w:rsid w:val="00203362"/>
    <w:rsid w:val="00204843"/>
    <w:rsid w:val="002048B7"/>
    <w:rsid w:val="00204DC1"/>
    <w:rsid w:val="00205706"/>
    <w:rsid w:val="00205F41"/>
    <w:rsid w:val="00206610"/>
    <w:rsid w:val="00206637"/>
    <w:rsid w:val="00206A65"/>
    <w:rsid w:val="002100B8"/>
    <w:rsid w:val="00212601"/>
    <w:rsid w:val="00213DFC"/>
    <w:rsid w:val="00214168"/>
    <w:rsid w:val="00214D48"/>
    <w:rsid w:val="002164E2"/>
    <w:rsid w:val="00216896"/>
    <w:rsid w:val="00216DC9"/>
    <w:rsid w:val="00217015"/>
    <w:rsid w:val="00217153"/>
    <w:rsid w:val="00220759"/>
    <w:rsid w:val="0022221C"/>
    <w:rsid w:val="00222A14"/>
    <w:rsid w:val="00223420"/>
    <w:rsid w:val="00224DDA"/>
    <w:rsid w:val="002255F0"/>
    <w:rsid w:val="00225AFE"/>
    <w:rsid w:val="00226E49"/>
    <w:rsid w:val="00231171"/>
    <w:rsid w:val="00231610"/>
    <w:rsid w:val="00232667"/>
    <w:rsid w:val="002353CA"/>
    <w:rsid w:val="00235562"/>
    <w:rsid w:val="00235649"/>
    <w:rsid w:val="00235B77"/>
    <w:rsid w:val="00235EAA"/>
    <w:rsid w:val="0023725A"/>
    <w:rsid w:val="00240F20"/>
    <w:rsid w:val="00241488"/>
    <w:rsid w:val="00243714"/>
    <w:rsid w:val="00243840"/>
    <w:rsid w:val="0025012C"/>
    <w:rsid w:val="002506A8"/>
    <w:rsid w:val="002514D5"/>
    <w:rsid w:val="00251D2E"/>
    <w:rsid w:val="00254E71"/>
    <w:rsid w:val="00255A28"/>
    <w:rsid w:val="00257BD3"/>
    <w:rsid w:val="002601DC"/>
    <w:rsid w:val="0026116A"/>
    <w:rsid w:val="002616D0"/>
    <w:rsid w:val="00261AE1"/>
    <w:rsid w:val="00261AE7"/>
    <w:rsid w:val="0026226A"/>
    <w:rsid w:val="0026327E"/>
    <w:rsid w:val="00267892"/>
    <w:rsid w:val="00270AEF"/>
    <w:rsid w:val="00271DC8"/>
    <w:rsid w:val="00272422"/>
    <w:rsid w:val="00272A3F"/>
    <w:rsid w:val="00273625"/>
    <w:rsid w:val="00275020"/>
    <w:rsid w:val="00275A04"/>
    <w:rsid w:val="002760FA"/>
    <w:rsid w:val="00276268"/>
    <w:rsid w:val="00276883"/>
    <w:rsid w:val="00282BA3"/>
    <w:rsid w:val="00282FBB"/>
    <w:rsid w:val="00284576"/>
    <w:rsid w:val="002850DA"/>
    <w:rsid w:val="0028714C"/>
    <w:rsid w:val="002874E7"/>
    <w:rsid w:val="00287689"/>
    <w:rsid w:val="002900B2"/>
    <w:rsid w:val="002913A6"/>
    <w:rsid w:val="0029220C"/>
    <w:rsid w:val="002928AB"/>
    <w:rsid w:val="00292B1C"/>
    <w:rsid w:val="00293E80"/>
    <w:rsid w:val="0029623A"/>
    <w:rsid w:val="00296320"/>
    <w:rsid w:val="00297066"/>
    <w:rsid w:val="0029741A"/>
    <w:rsid w:val="002A028E"/>
    <w:rsid w:val="002A0921"/>
    <w:rsid w:val="002A1989"/>
    <w:rsid w:val="002A2A64"/>
    <w:rsid w:val="002A329B"/>
    <w:rsid w:val="002A4524"/>
    <w:rsid w:val="002A6DBB"/>
    <w:rsid w:val="002B3973"/>
    <w:rsid w:val="002B3C8A"/>
    <w:rsid w:val="002B663E"/>
    <w:rsid w:val="002B6DB3"/>
    <w:rsid w:val="002B6F51"/>
    <w:rsid w:val="002B790E"/>
    <w:rsid w:val="002B7DC4"/>
    <w:rsid w:val="002C0DD4"/>
    <w:rsid w:val="002C1363"/>
    <w:rsid w:val="002C28D0"/>
    <w:rsid w:val="002C31EF"/>
    <w:rsid w:val="002C36CC"/>
    <w:rsid w:val="002C4F69"/>
    <w:rsid w:val="002C5358"/>
    <w:rsid w:val="002C57B0"/>
    <w:rsid w:val="002D0D8F"/>
    <w:rsid w:val="002D0DC0"/>
    <w:rsid w:val="002D10F0"/>
    <w:rsid w:val="002D1462"/>
    <w:rsid w:val="002D233D"/>
    <w:rsid w:val="002D2539"/>
    <w:rsid w:val="002D2566"/>
    <w:rsid w:val="002D29C7"/>
    <w:rsid w:val="002D2CD5"/>
    <w:rsid w:val="002D34A9"/>
    <w:rsid w:val="002D4F5B"/>
    <w:rsid w:val="002D5E0C"/>
    <w:rsid w:val="002D63BA"/>
    <w:rsid w:val="002D7954"/>
    <w:rsid w:val="002E0A95"/>
    <w:rsid w:val="002E34D5"/>
    <w:rsid w:val="002E3735"/>
    <w:rsid w:val="002E558B"/>
    <w:rsid w:val="002E6130"/>
    <w:rsid w:val="002E69B0"/>
    <w:rsid w:val="002F0273"/>
    <w:rsid w:val="002F06BD"/>
    <w:rsid w:val="002F1558"/>
    <w:rsid w:val="002F1FF1"/>
    <w:rsid w:val="002F2881"/>
    <w:rsid w:val="002F3183"/>
    <w:rsid w:val="002F3892"/>
    <w:rsid w:val="002F4A2E"/>
    <w:rsid w:val="002F7402"/>
    <w:rsid w:val="00300368"/>
    <w:rsid w:val="00300E5D"/>
    <w:rsid w:val="00302570"/>
    <w:rsid w:val="0030349F"/>
    <w:rsid w:val="00303C97"/>
    <w:rsid w:val="00305082"/>
    <w:rsid w:val="00305BC4"/>
    <w:rsid w:val="00306549"/>
    <w:rsid w:val="00306D45"/>
    <w:rsid w:val="00306F43"/>
    <w:rsid w:val="0030705A"/>
    <w:rsid w:val="00307F56"/>
    <w:rsid w:val="00311064"/>
    <w:rsid w:val="003117BB"/>
    <w:rsid w:val="00312336"/>
    <w:rsid w:val="003124FF"/>
    <w:rsid w:val="003126E0"/>
    <w:rsid w:val="00312C6B"/>
    <w:rsid w:val="003134CD"/>
    <w:rsid w:val="003147BE"/>
    <w:rsid w:val="003221C9"/>
    <w:rsid w:val="00323377"/>
    <w:rsid w:val="003241A0"/>
    <w:rsid w:val="00325F71"/>
    <w:rsid w:val="003264B6"/>
    <w:rsid w:val="00326B00"/>
    <w:rsid w:val="00326B56"/>
    <w:rsid w:val="00326F0A"/>
    <w:rsid w:val="0033061C"/>
    <w:rsid w:val="00332DED"/>
    <w:rsid w:val="0033320A"/>
    <w:rsid w:val="003351C0"/>
    <w:rsid w:val="00340BCF"/>
    <w:rsid w:val="00344F3C"/>
    <w:rsid w:val="003457D0"/>
    <w:rsid w:val="00345876"/>
    <w:rsid w:val="003469FC"/>
    <w:rsid w:val="00347726"/>
    <w:rsid w:val="0035022A"/>
    <w:rsid w:val="003514C3"/>
    <w:rsid w:val="0035173C"/>
    <w:rsid w:val="0035720E"/>
    <w:rsid w:val="00360494"/>
    <w:rsid w:val="003628F7"/>
    <w:rsid w:val="0036441B"/>
    <w:rsid w:val="00364AB9"/>
    <w:rsid w:val="003665AD"/>
    <w:rsid w:val="00366912"/>
    <w:rsid w:val="00367018"/>
    <w:rsid w:val="00372AE6"/>
    <w:rsid w:val="00372F8A"/>
    <w:rsid w:val="003737C4"/>
    <w:rsid w:val="00374ED6"/>
    <w:rsid w:val="00375AA0"/>
    <w:rsid w:val="00380AE1"/>
    <w:rsid w:val="00380E3E"/>
    <w:rsid w:val="00381AD6"/>
    <w:rsid w:val="00381B75"/>
    <w:rsid w:val="00383573"/>
    <w:rsid w:val="00383AAD"/>
    <w:rsid w:val="003902DF"/>
    <w:rsid w:val="003920AD"/>
    <w:rsid w:val="003924CA"/>
    <w:rsid w:val="00393159"/>
    <w:rsid w:val="003932AB"/>
    <w:rsid w:val="003941BE"/>
    <w:rsid w:val="003948BE"/>
    <w:rsid w:val="00394EB2"/>
    <w:rsid w:val="00395801"/>
    <w:rsid w:val="00397BF5"/>
    <w:rsid w:val="003A00C2"/>
    <w:rsid w:val="003A056A"/>
    <w:rsid w:val="003A109B"/>
    <w:rsid w:val="003A2CB1"/>
    <w:rsid w:val="003A2E5D"/>
    <w:rsid w:val="003A34D6"/>
    <w:rsid w:val="003A45E9"/>
    <w:rsid w:val="003A49F2"/>
    <w:rsid w:val="003A54A1"/>
    <w:rsid w:val="003A573F"/>
    <w:rsid w:val="003A5892"/>
    <w:rsid w:val="003A6E0A"/>
    <w:rsid w:val="003A7B3D"/>
    <w:rsid w:val="003A7DFC"/>
    <w:rsid w:val="003B04DD"/>
    <w:rsid w:val="003B092A"/>
    <w:rsid w:val="003B0A2B"/>
    <w:rsid w:val="003B1032"/>
    <w:rsid w:val="003B26FD"/>
    <w:rsid w:val="003B2E5A"/>
    <w:rsid w:val="003B349D"/>
    <w:rsid w:val="003B3733"/>
    <w:rsid w:val="003B38A6"/>
    <w:rsid w:val="003B6603"/>
    <w:rsid w:val="003B6A41"/>
    <w:rsid w:val="003B75A5"/>
    <w:rsid w:val="003B7810"/>
    <w:rsid w:val="003B79C2"/>
    <w:rsid w:val="003C0631"/>
    <w:rsid w:val="003C0B7B"/>
    <w:rsid w:val="003C334C"/>
    <w:rsid w:val="003C3CC1"/>
    <w:rsid w:val="003C4274"/>
    <w:rsid w:val="003C4781"/>
    <w:rsid w:val="003C75F1"/>
    <w:rsid w:val="003D060A"/>
    <w:rsid w:val="003D0A83"/>
    <w:rsid w:val="003D0F3F"/>
    <w:rsid w:val="003D1432"/>
    <w:rsid w:val="003D2B38"/>
    <w:rsid w:val="003D2BCC"/>
    <w:rsid w:val="003D3B8B"/>
    <w:rsid w:val="003D44EB"/>
    <w:rsid w:val="003D4EA3"/>
    <w:rsid w:val="003D54FA"/>
    <w:rsid w:val="003E1282"/>
    <w:rsid w:val="003E33AA"/>
    <w:rsid w:val="003E441F"/>
    <w:rsid w:val="003E61AA"/>
    <w:rsid w:val="003E6461"/>
    <w:rsid w:val="003E6973"/>
    <w:rsid w:val="003E7022"/>
    <w:rsid w:val="003E7272"/>
    <w:rsid w:val="003E7C6F"/>
    <w:rsid w:val="003F13D2"/>
    <w:rsid w:val="003F36BD"/>
    <w:rsid w:val="003F3B4B"/>
    <w:rsid w:val="003F66BA"/>
    <w:rsid w:val="003F6D28"/>
    <w:rsid w:val="003F7011"/>
    <w:rsid w:val="003F79F2"/>
    <w:rsid w:val="00401994"/>
    <w:rsid w:val="00402418"/>
    <w:rsid w:val="00403FF3"/>
    <w:rsid w:val="0040770F"/>
    <w:rsid w:val="004102E1"/>
    <w:rsid w:val="00411062"/>
    <w:rsid w:val="004112F6"/>
    <w:rsid w:val="00414539"/>
    <w:rsid w:val="004145BC"/>
    <w:rsid w:val="00415155"/>
    <w:rsid w:val="00415222"/>
    <w:rsid w:val="00416594"/>
    <w:rsid w:val="00417B51"/>
    <w:rsid w:val="00420FBC"/>
    <w:rsid w:val="004211C3"/>
    <w:rsid w:val="004227BF"/>
    <w:rsid w:val="00422A4A"/>
    <w:rsid w:val="0042536D"/>
    <w:rsid w:val="004259E7"/>
    <w:rsid w:val="00427F19"/>
    <w:rsid w:val="004301FD"/>
    <w:rsid w:val="004312D7"/>
    <w:rsid w:val="00432A18"/>
    <w:rsid w:val="004330C0"/>
    <w:rsid w:val="004354F4"/>
    <w:rsid w:val="00435AF2"/>
    <w:rsid w:val="00437B90"/>
    <w:rsid w:val="00437ED7"/>
    <w:rsid w:val="0044114F"/>
    <w:rsid w:val="0044345C"/>
    <w:rsid w:val="00443584"/>
    <w:rsid w:val="0044409A"/>
    <w:rsid w:val="00445ADC"/>
    <w:rsid w:val="00447A69"/>
    <w:rsid w:val="00451AA2"/>
    <w:rsid w:val="00451EDD"/>
    <w:rsid w:val="00455E14"/>
    <w:rsid w:val="00457050"/>
    <w:rsid w:val="00457274"/>
    <w:rsid w:val="004575C8"/>
    <w:rsid w:val="004578CA"/>
    <w:rsid w:val="00460018"/>
    <w:rsid w:val="00460692"/>
    <w:rsid w:val="004616ED"/>
    <w:rsid w:val="0046347C"/>
    <w:rsid w:val="00464289"/>
    <w:rsid w:val="004659A5"/>
    <w:rsid w:val="00465B61"/>
    <w:rsid w:val="00465E45"/>
    <w:rsid w:val="00465FF2"/>
    <w:rsid w:val="00466231"/>
    <w:rsid w:val="004666D2"/>
    <w:rsid w:val="00466ED9"/>
    <w:rsid w:val="0046744E"/>
    <w:rsid w:val="00472403"/>
    <w:rsid w:val="004730DE"/>
    <w:rsid w:val="0047312C"/>
    <w:rsid w:val="004731E8"/>
    <w:rsid w:val="004735A6"/>
    <w:rsid w:val="004755E3"/>
    <w:rsid w:val="004768DA"/>
    <w:rsid w:val="0047723B"/>
    <w:rsid w:val="004823A4"/>
    <w:rsid w:val="00482726"/>
    <w:rsid w:val="004850D0"/>
    <w:rsid w:val="00486873"/>
    <w:rsid w:val="00487E59"/>
    <w:rsid w:val="004901AB"/>
    <w:rsid w:val="004901AE"/>
    <w:rsid w:val="00490210"/>
    <w:rsid w:val="00490301"/>
    <w:rsid w:val="00490321"/>
    <w:rsid w:val="00491250"/>
    <w:rsid w:val="00492C3D"/>
    <w:rsid w:val="00492EF7"/>
    <w:rsid w:val="004931BD"/>
    <w:rsid w:val="00493B58"/>
    <w:rsid w:val="00494EFE"/>
    <w:rsid w:val="00495BA1"/>
    <w:rsid w:val="004A0544"/>
    <w:rsid w:val="004A0CBE"/>
    <w:rsid w:val="004A11E5"/>
    <w:rsid w:val="004A2319"/>
    <w:rsid w:val="004A2544"/>
    <w:rsid w:val="004A3D2E"/>
    <w:rsid w:val="004A475C"/>
    <w:rsid w:val="004A4C07"/>
    <w:rsid w:val="004A569C"/>
    <w:rsid w:val="004A61B6"/>
    <w:rsid w:val="004A7DDE"/>
    <w:rsid w:val="004B0A68"/>
    <w:rsid w:val="004B1253"/>
    <w:rsid w:val="004B19F2"/>
    <w:rsid w:val="004B1B2B"/>
    <w:rsid w:val="004B1DFC"/>
    <w:rsid w:val="004B2EAD"/>
    <w:rsid w:val="004B436E"/>
    <w:rsid w:val="004B6D0F"/>
    <w:rsid w:val="004B71C5"/>
    <w:rsid w:val="004C14B7"/>
    <w:rsid w:val="004C194F"/>
    <w:rsid w:val="004C350B"/>
    <w:rsid w:val="004C3A8E"/>
    <w:rsid w:val="004C4605"/>
    <w:rsid w:val="004C46EB"/>
    <w:rsid w:val="004C54EA"/>
    <w:rsid w:val="004C65A2"/>
    <w:rsid w:val="004C7530"/>
    <w:rsid w:val="004D304F"/>
    <w:rsid w:val="004D4AD0"/>
    <w:rsid w:val="004D5535"/>
    <w:rsid w:val="004D58F5"/>
    <w:rsid w:val="004D6BA4"/>
    <w:rsid w:val="004E221B"/>
    <w:rsid w:val="004E3ACE"/>
    <w:rsid w:val="004E3B23"/>
    <w:rsid w:val="004E6040"/>
    <w:rsid w:val="004F0E14"/>
    <w:rsid w:val="004F4142"/>
    <w:rsid w:val="004F49B0"/>
    <w:rsid w:val="00500BC6"/>
    <w:rsid w:val="005030F2"/>
    <w:rsid w:val="005035C5"/>
    <w:rsid w:val="005073CF"/>
    <w:rsid w:val="00510869"/>
    <w:rsid w:val="00510D7E"/>
    <w:rsid w:val="00511881"/>
    <w:rsid w:val="00512AE5"/>
    <w:rsid w:val="00513331"/>
    <w:rsid w:val="005151B9"/>
    <w:rsid w:val="00515B86"/>
    <w:rsid w:val="00515CD9"/>
    <w:rsid w:val="00516B5D"/>
    <w:rsid w:val="005202F0"/>
    <w:rsid w:val="00520CC2"/>
    <w:rsid w:val="00520D65"/>
    <w:rsid w:val="00521BF2"/>
    <w:rsid w:val="0052228E"/>
    <w:rsid w:val="00523370"/>
    <w:rsid w:val="00524107"/>
    <w:rsid w:val="00525523"/>
    <w:rsid w:val="00526746"/>
    <w:rsid w:val="00530682"/>
    <w:rsid w:val="0053116E"/>
    <w:rsid w:val="00531672"/>
    <w:rsid w:val="005328E2"/>
    <w:rsid w:val="00532F48"/>
    <w:rsid w:val="005339BC"/>
    <w:rsid w:val="005357A0"/>
    <w:rsid w:val="00536F23"/>
    <w:rsid w:val="00543F56"/>
    <w:rsid w:val="0054637F"/>
    <w:rsid w:val="005478B2"/>
    <w:rsid w:val="00550D8B"/>
    <w:rsid w:val="00551936"/>
    <w:rsid w:val="005530CB"/>
    <w:rsid w:val="00553BC6"/>
    <w:rsid w:val="005544D1"/>
    <w:rsid w:val="00557125"/>
    <w:rsid w:val="00560081"/>
    <w:rsid w:val="00563200"/>
    <w:rsid w:val="005638F3"/>
    <w:rsid w:val="00563A2F"/>
    <w:rsid w:val="00564C7B"/>
    <w:rsid w:val="005650AA"/>
    <w:rsid w:val="0056553D"/>
    <w:rsid w:val="00565B71"/>
    <w:rsid w:val="005661DE"/>
    <w:rsid w:val="0057083E"/>
    <w:rsid w:val="00573174"/>
    <w:rsid w:val="00573927"/>
    <w:rsid w:val="00574FA1"/>
    <w:rsid w:val="0057514F"/>
    <w:rsid w:val="0057586C"/>
    <w:rsid w:val="005808FD"/>
    <w:rsid w:val="00580926"/>
    <w:rsid w:val="00581E9D"/>
    <w:rsid w:val="00583E34"/>
    <w:rsid w:val="0058661B"/>
    <w:rsid w:val="00586929"/>
    <w:rsid w:val="00586996"/>
    <w:rsid w:val="00591D4B"/>
    <w:rsid w:val="00592128"/>
    <w:rsid w:val="0059237F"/>
    <w:rsid w:val="005924D8"/>
    <w:rsid w:val="00592848"/>
    <w:rsid w:val="00597A62"/>
    <w:rsid w:val="005A0311"/>
    <w:rsid w:val="005A1B7F"/>
    <w:rsid w:val="005A2176"/>
    <w:rsid w:val="005A225A"/>
    <w:rsid w:val="005A30EB"/>
    <w:rsid w:val="005A34DF"/>
    <w:rsid w:val="005A385D"/>
    <w:rsid w:val="005A4235"/>
    <w:rsid w:val="005A6A59"/>
    <w:rsid w:val="005B1640"/>
    <w:rsid w:val="005B3F58"/>
    <w:rsid w:val="005B4FE4"/>
    <w:rsid w:val="005B7D3D"/>
    <w:rsid w:val="005C1237"/>
    <w:rsid w:val="005C3626"/>
    <w:rsid w:val="005C408F"/>
    <w:rsid w:val="005C65F3"/>
    <w:rsid w:val="005C7269"/>
    <w:rsid w:val="005C7766"/>
    <w:rsid w:val="005D2649"/>
    <w:rsid w:val="005D27AC"/>
    <w:rsid w:val="005D3307"/>
    <w:rsid w:val="005D3369"/>
    <w:rsid w:val="005D3955"/>
    <w:rsid w:val="005D3B72"/>
    <w:rsid w:val="005D4060"/>
    <w:rsid w:val="005D57C4"/>
    <w:rsid w:val="005E17B2"/>
    <w:rsid w:val="005E5819"/>
    <w:rsid w:val="005E599F"/>
    <w:rsid w:val="005E5F32"/>
    <w:rsid w:val="005E6648"/>
    <w:rsid w:val="005E75C5"/>
    <w:rsid w:val="005E7FA4"/>
    <w:rsid w:val="005F0E8D"/>
    <w:rsid w:val="005F1938"/>
    <w:rsid w:val="005F4C5E"/>
    <w:rsid w:val="005F6D89"/>
    <w:rsid w:val="005F6EE0"/>
    <w:rsid w:val="005F7B10"/>
    <w:rsid w:val="00601B7B"/>
    <w:rsid w:val="00601BAA"/>
    <w:rsid w:val="00602A37"/>
    <w:rsid w:val="00602C65"/>
    <w:rsid w:val="00604270"/>
    <w:rsid w:val="00604B70"/>
    <w:rsid w:val="00605CE0"/>
    <w:rsid w:val="00606235"/>
    <w:rsid w:val="006063EA"/>
    <w:rsid w:val="00606670"/>
    <w:rsid w:val="00606D68"/>
    <w:rsid w:val="00606E15"/>
    <w:rsid w:val="0060701E"/>
    <w:rsid w:val="006079D2"/>
    <w:rsid w:val="00610055"/>
    <w:rsid w:val="006104D7"/>
    <w:rsid w:val="00612B35"/>
    <w:rsid w:val="006141C3"/>
    <w:rsid w:val="00615B6A"/>
    <w:rsid w:val="00615C43"/>
    <w:rsid w:val="00620486"/>
    <w:rsid w:val="006208C6"/>
    <w:rsid w:val="00620B60"/>
    <w:rsid w:val="006211BC"/>
    <w:rsid w:val="00622260"/>
    <w:rsid w:val="00622956"/>
    <w:rsid w:val="00623786"/>
    <w:rsid w:val="0062422E"/>
    <w:rsid w:val="00631636"/>
    <w:rsid w:val="00632186"/>
    <w:rsid w:val="006324D7"/>
    <w:rsid w:val="006379D2"/>
    <w:rsid w:val="00637EF6"/>
    <w:rsid w:val="006406FE"/>
    <w:rsid w:val="00641FF6"/>
    <w:rsid w:val="00642451"/>
    <w:rsid w:val="0064245C"/>
    <w:rsid w:val="00645316"/>
    <w:rsid w:val="00646821"/>
    <w:rsid w:val="00650505"/>
    <w:rsid w:val="00652A9A"/>
    <w:rsid w:val="00653769"/>
    <w:rsid w:val="0065383A"/>
    <w:rsid w:val="00654789"/>
    <w:rsid w:val="00662345"/>
    <w:rsid w:val="006645B6"/>
    <w:rsid w:val="00664B6B"/>
    <w:rsid w:val="00666D6B"/>
    <w:rsid w:val="00666D92"/>
    <w:rsid w:val="00671988"/>
    <w:rsid w:val="00672384"/>
    <w:rsid w:val="00672A84"/>
    <w:rsid w:val="00672B4A"/>
    <w:rsid w:val="006732C1"/>
    <w:rsid w:val="00673B89"/>
    <w:rsid w:val="00673CE6"/>
    <w:rsid w:val="00676B55"/>
    <w:rsid w:val="00676CEF"/>
    <w:rsid w:val="006805ED"/>
    <w:rsid w:val="006827FB"/>
    <w:rsid w:val="00684549"/>
    <w:rsid w:val="00687B9D"/>
    <w:rsid w:val="006900B7"/>
    <w:rsid w:val="00690F5B"/>
    <w:rsid w:val="00691465"/>
    <w:rsid w:val="0069174C"/>
    <w:rsid w:val="00694410"/>
    <w:rsid w:val="00696029"/>
    <w:rsid w:val="00696B83"/>
    <w:rsid w:val="00697598"/>
    <w:rsid w:val="006975DC"/>
    <w:rsid w:val="00697E83"/>
    <w:rsid w:val="006A0C5C"/>
    <w:rsid w:val="006A215D"/>
    <w:rsid w:val="006A26DB"/>
    <w:rsid w:val="006A37FD"/>
    <w:rsid w:val="006A4F99"/>
    <w:rsid w:val="006A5A3B"/>
    <w:rsid w:val="006A671B"/>
    <w:rsid w:val="006B0292"/>
    <w:rsid w:val="006B2E43"/>
    <w:rsid w:val="006B7A30"/>
    <w:rsid w:val="006C086F"/>
    <w:rsid w:val="006C0A05"/>
    <w:rsid w:val="006C0CEE"/>
    <w:rsid w:val="006C0D10"/>
    <w:rsid w:val="006C1CF5"/>
    <w:rsid w:val="006C21CF"/>
    <w:rsid w:val="006C452F"/>
    <w:rsid w:val="006C5878"/>
    <w:rsid w:val="006C5DE1"/>
    <w:rsid w:val="006D22AB"/>
    <w:rsid w:val="006D2D19"/>
    <w:rsid w:val="006D3397"/>
    <w:rsid w:val="006D38BA"/>
    <w:rsid w:val="006D38F0"/>
    <w:rsid w:val="006D4DF0"/>
    <w:rsid w:val="006D5448"/>
    <w:rsid w:val="006D618B"/>
    <w:rsid w:val="006E24B0"/>
    <w:rsid w:val="006E32C1"/>
    <w:rsid w:val="006E335D"/>
    <w:rsid w:val="006E540C"/>
    <w:rsid w:val="006E5856"/>
    <w:rsid w:val="006E5963"/>
    <w:rsid w:val="006F0BC6"/>
    <w:rsid w:val="006F4262"/>
    <w:rsid w:val="006F6671"/>
    <w:rsid w:val="006F7859"/>
    <w:rsid w:val="00701180"/>
    <w:rsid w:val="0070182A"/>
    <w:rsid w:val="007035D9"/>
    <w:rsid w:val="0070457C"/>
    <w:rsid w:val="00704BD7"/>
    <w:rsid w:val="007063C6"/>
    <w:rsid w:val="00707292"/>
    <w:rsid w:val="00712BB7"/>
    <w:rsid w:val="007136E0"/>
    <w:rsid w:val="007144C4"/>
    <w:rsid w:val="0071506B"/>
    <w:rsid w:val="00716DB3"/>
    <w:rsid w:val="007170F9"/>
    <w:rsid w:val="007207F8"/>
    <w:rsid w:val="0072155C"/>
    <w:rsid w:val="00721C67"/>
    <w:rsid w:val="0072260D"/>
    <w:rsid w:val="00722985"/>
    <w:rsid w:val="00723013"/>
    <w:rsid w:val="0072393D"/>
    <w:rsid w:val="00724392"/>
    <w:rsid w:val="00724811"/>
    <w:rsid w:val="00724C09"/>
    <w:rsid w:val="007254C2"/>
    <w:rsid w:val="00726FCA"/>
    <w:rsid w:val="00730D26"/>
    <w:rsid w:val="00731736"/>
    <w:rsid w:val="007321DA"/>
    <w:rsid w:val="007325F0"/>
    <w:rsid w:val="00733D19"/>
    <w:rsid w:val="0073469D"/>
    <w:rsid w:val="007347D5"/>
    <w:rsid w:val="00734E0B"/>
    <w:rsid w:val="00735A73"/>
    <w:rsid w:val="00737580"/>
    <w:rsid w:val="0074028C"/>
    <w:rsid w:val="00744B57"/>
    <w:rsid w:val="0074529F"/>
    <w:rsid w:val="007453D1"/>
    <w:rsid w:val="00745EFD"/>
    <w:rsid w:val="007460BD"/>
    <w:rsid w:val="00746A01"/>
    <w:rsid w:val="00747028"/>
    <w:rsid w:val="00747B00"/>
    <w:rsid w:val="00747B22"/>
    <w:rsid w:val="00747CBF"/>
    <w:rsid w:val="0075176B"/>
    <w:rsid w:val="00751E40"/>
    <w:rsid w:val="0075256B"/>
    <w:rsid w:val="00753BD5"/>
    <w:rsid w:val="0076285C"/>
    <w:rsid w:val="00763238"/>
    <w:rsid w:val="00764184"/>
    <w:rsid w:val="00764280"/>
    <w:rsid w:val="007650B2"/>
    <w:rsid w:val="00765F0B"/>
    <w:rsid w:val="00766409"/>
    <w:rsid w:val="007668ED"/>
    <w:rsid w:val="007736C1"/>
    <w:rsid w:val="007745DA"/>
    <w:rsid w:val="00777B4A"/>
    <w:rsid w:val="00777D07"/>
    <w:rsid w:val="00781577"/>
    <w:rsid w:val="00783D0B"/>
    <w:rsid w:val="00783F03"/>
    <w:rsid w:val="007843B8"/>
    <w:rsid w:val="007844FC"/>
    <w:rsid w:val="00786388"/>
    <w:rsid w:val="00786A29"/>
    <w:rsid w:val="00787E08"/>
    <w:rsid w:val="00791C0C"/>
    <w:rsid w:val="00792F3D"/>
    <w:rsid w:val="00793532"/>
    <w:rsid w:val="0079396D"/>
    <w:rsid w:val="00793BD9"/>
    <w:rsid w:val="0079441D"/>
    <w:rsid w:val="00794993"/>
    <w:rsid w:val="007953D8"/>
    <w:rsid w:val="007A26A3"/>
    <w:rsid w:val="007A2826"/>
    <w:rsid w:val="007A29B9"/>
    <w:rsid w:val="007A3788"/>
    <w:rsid w:val="007A42D1"/>
    <w:rsid w:val="007A4FB2"/>
    <w:rsid w:val="007A5466"/>
    <w:rsid w:val="007A63AD"/>
    <w:rsid w:val="007A6740"/>
    <w:rsid w:val="007A688D"/>
    <w:rsid w:val="007B0AB3"/>
    <w:rsid w:val="007B2A60"/>
    <w:rsid w:val="007B2AE3"/>
    <w:rsid w:val="007B3ED7"/>
    <w:rsid w:val="007B6DB9"/>
    <w:rsid w:val="007C1A8A"/>
    <w:rsid w:val="007C21F8"/>
    <w:rsid w:val="007C23EB"/>
    <w:rsid w:val="007C5515"/>
    <w:rsid w:val="007C59F8"/>
    <w:rsid w:val="007C6545"/>
    <w:rsid w:val="007C6D8D"/>
    <w:rsid w:val="007C71A5"/>
    <w:rsid w:val="007D03DE"/>
    <w:rsid w:val="007D03FD"/>
    <w:rsid w:val="007D11DE"/>
    <w:rsid w:val="007D4DD0"/>
    <w:rsid w:val="007D6B90"/>
    <w:rsid w:val="007D7101"/>
    <w:rsid w:val="007D7ACB"/>
    <w:rsid w:val="007E231D"/>
    <w:rsid w:val="007E27DF"/>
    <w:rsid w:val="007E2EFA"/>
    <w:rsid w:val="007E5869"/>
    <w:rsid w:val="007E5FD2"/>
    <w:rsid w:val="007E6775"/>
    <w:rsid w:val="007E6922"/>
    <w:rsid w:val="007E70B9"/>
    <w:rsid w:val="007F0539"/>
    <w:rsid w:val="007F06A2"/>
    <w:rsid w:val="007F0FAB"/>
    <w:rsid w:val="007F19D1"/>
    <w:rsid w:val="007F542E"/>
    <w:rsid w:val="007F5754"/>
    <w:rsid w:val="007F58C0"/>
    <w:rsid w:val="007F77A7"/>
    <w:rsid w:val="007F7D0A"/>
    <w:rsid w:val="00801E1C"/>
    <w:rsid w:val="00802224"/>
    <w:rsid w:val="0080237A"/>
    <w:rsid w:val="00802839"/>
    <w:rsid w:val="00802D88"/>
    <w:rsid w:val="00803B7E"/>
    <w:rsid w:val="008054B7"/>
    <w:rsid w:val="008127AA"/>
    <w:rsid w:val="00812BDF"/>
    <w:rsid w:val="00813959"/>
    <w:rsid w:val="00814BFA"/>
    <w:rsid w:val="008153E3"/>
    <w:rsid w:val="0081591D"/>
    <w:rsid w:val="0082244A"/>
    <w:rsid w:val="00823D1E"/>
    <w:rsid w:val="0082624A"/>
    <w:rsid w:val="00826ECD"/>
    <w:rsid w:val="008272B7"/>
    <w:rsid w:val="00831245"/>
    <w:rsid w:val="00834C53"/>
    <w:rsid w:val="00835CAA"/>
    <w:rsid w:val="0083666A"/>
    <w:rsid w:val="008372BF"/>
    <w:rsid w:val="00840FB2"/>
    <w:rsid w:val="0084187F"/>
    <w:rsid w:val="00842324"/>
    <w:rsid w:val="008425FE"/>
    <w:rsid w:val="0084283C"/>
    <w:rsid w:val="0084332D"/>
    <w:rsid w:val="00844650"/>
    <w:rsid w:val="008458B3"/>
    <w:rsid w:val="00847B13"/>
    <w:rsid w:val="008513BA"/>
    <w:rsid w:val="008515CC"/>
    <w:rsid w:val="00855AC7"/>
    <w:rsid w:val="00856DE2"/>
    <w:rsid w:val="0086020D"/>
    <w:rsid w:val="00862779"/>
    <w:rsid w:val="008654F4"/>
    <w:rsid w:val="0086667E"/>
    <w:rsid w:val="00867AC0"/>
    <w:rsid w:val="00867EEF"/>
    <w:rsid w:val="00870805"/>
    <w:rsid w:val="00871B4C"/>
    <w:rsid w:val="00871FD7"/>
    <w:rsid w:val="008722A8"/>
    <w:rsid w:val="008724A5"/>
    <w:rsid w:val="00874DC3"/>
    <w:rsid w:val="00880987"/>
    <w:rsid w:val="008812DF"/>
    <w:rsid w:val="008826E2"/>
    <w:rsid w:val="008857BA"/>
    <w:rsid w:val="00887E86"/>
    <w:rsid w:val="008902B8"/>
    <w:rsid w:val="0089167F"/>
    <w:rsid w:val="00891B9C"/>
    <w:rsid w:val="008926B3"/>
    <w:rsid w:val="00894437"/>
    <w:rsid w:val="00894DCB"/>
    <w:rsid w:val="00895CC5"/>
    <w:rsid w:val="00896E27"/>
    <w:rsid w:val="008A36B4"/>
    <w:rsid w:val="008A4B61"/>
    <w:rsid w:val="008A6EA3"/>
    <w:rsid w:val="008A6F37"/>
    <w:rsid w:val="008A7EA5"/>
    <w:rsid w:val="008B53FE"/>
    <w:rsid w:val="008B5603"/>
    <w:rsid w:val="008B57B9"/>
    <w:rsid w:val="008C02F8"/>
    <w:rsid w:val="008C347B"/>
    <w:rsid w:val="008C49D1"/>
    <w:rsid w:val="008C58AF"/>
    <w:rsid w:val="008C5B5D"/>
    <w:rsid w:val="008D0E58"/>
    <w:rsid w:val="008D3041"/>
    <w:rsid w:val="008D6772"/>
    <w:rsid w:val="008D7521"/>
    <w:rsid w:val="008E1F4E"/>
    <w:rsid w:val="008E32DC"/>
    <w:rsid w:val="008E37EF"/>
    <w:rsid w:val="008E5304"/>
    <w:rsid w:val="008E5708"/>
    <w:rsid w:val="008E7CE0"/>
    <w:rsid w:val="008F0822"/>
    <w:rsid w:val="008F0877"/>
    <w:rsid w:val="008F1826"/>
    <w:rsid w:val="008F1FF5"/>
    <w:rsid w:val="008F3009"/>
    <w:rsid w:val="008F32C9"/>
    <w:rsid w:val="008F35B9"/>
    <w:rsid w:val="008F5D45"/>
    <w:rsid w:val="00900CAC"/>
    <w:rsid w:val="00901A5C"/>
    <w:rsid w:val="00903FD1"/>
    <w:rsid w:val="009078D1"/>
    <w:rsid w:val="009115A8"/>
    <w:rsid w:val="00914F09"/>
    <w:rsid w:val="0091531A"/>
    <w:rsid w:val="00916B1E"/>
    <w:rsid w:val="00921C61"/>
    <w:rsid w:val="00923FD5"/>
    <w:rsid w:val="009246EF"/>
    <w:rsid w:val="0092492F"/>
    <w:rsid w:val="00924B86"/>
    <w:rsid w:val="009258DB"/>
    <w:rsid w:val="00926B63"/>
    <w:rsid w:val="00926BD3"/>
    <w:rsid w:val="00931CF6"/>
    <w:rsid w:val="0093286C"/>
    <w:rsid w:val="00933717"/>
    <w:rsid w:val="00933C23"/>
    <w:rsid w:val="0093498C"/>
    <w:rsid w:val="00936630"/>
    <w:rsid w:val="00937B38"/>
    <w:rsid w:val="00940B8B"/>
    <w:rsid w:val="009427A8"/>
    <w:rsid w:val="00944921"/>
    <w:rsid w:val="00945F4B"/>
    <w:rsid w:val="00946373"/>
    <w:rsid w:val="00947550"/>
    <w:rsid w:val="00947770"/>
    <w:rsid w:val="00950049"/>
    <w:rsid w:val="00952AEA"/>
    <w:rsid w:val="009535DF"/>
    <w:rsid w:val="00953C39"/>
    <w:rsid w:val="00953FD6"/>
    <w:rsid w:val="00955E85"/>
    <w:rsid w:val="00956191"/>
    <w:rsid w:val="00962146"/>
    <w:rsid w:val="009625F3"/>
    <w:rsid w:val="0097009F"/>
    <w:rsid w:val="00971ED4"/>
    <w:rsid w:val="00971F75"/>
    <w:rsid w:val="00972754"/>
    <w:rsid w:val="00973502"/>
    <w:rsid w:val="0098076F"/>
    <w:rsid w:val="00984B3D"/>
    <w:rsid w:val="00987DC7"/>
    <w:rsid w:val="00987DD2"/>
    <w:rsid w:val="00991577"/>
    <w:rsid w:val="009A34C0"/>
    <w:rsid w:val="009A35BD"/>
    <w:rsid w:val="009A35FA"/>
    <w:rsid w:val="009A4A2D"/>
    <w:rsid w:val="009B09C2"/>
    <w:rsid w:val="009B16A0"/>
    <w:rsid w:val="009B1C88"/>
    <w:rsid w:val="009B2777"/>
    <w:rsid w:val="009B2A95"/>
    <w:rsid w:val="009B2AFC"/>
    <w:rsid w:val="009B2BE9"/>
    <w:rsid w:val="009B2F87"/>
    <w:rsid w:val="009B3D60"/>
    <w:rsid w:val="009B4F34"/>
    <w:rsid w:val="009B5C08"/>
    <w:rsid w:val="009B67B5"/>
    <w:rsid w:val="009B7CEF"/>
    <w:rsid w:val="009C05C1"/>
    <w:rsid w:val="009C0657"/>
    <w:rsid w:val="009C124E"/>
    <w:rsid w:val="009C22F3"/>
    <w:rsid w:val="009C33F9"/>
    <w:rsid w:val="009C5108"/>
    <w:rsid w:val="009C7A5C"/>
    <w:rsid w:val="009C7B3C"/>
    <w:rsid w:val="009D1C09"/>
    <w:rsid w:val="009D265B"/>
    <w:rsid w:val="009D308C"/>
    <w:rsid w:val="009D35F8"/>
    <w:rsid w:val="009D6236"/>
    <w:rsid w:val="009D6E04"/>
    <w:rsid w:val="009D7405"/>
    <w:rsid w:val="009D7622"/>
    <w:rsid w:val="009D79C9"/>
    <w:rsid w:val="009D7D06"/>
    <w:rsid w:val="009E0A33"/>
    <w:rsid w:val="009E1F68"/>
    <w:rsid w:val="009E490D"/>
    <w:rsid w:val="009E6174"/>
    <w:rsid w:val="009E680C"/>
    <w:rsid w:val="009F0EC6"/>
    <w:rsid w:val="009F1177"/>
    <w:rsid w:val="009F2642"/>
    <w:rsid w:val="009F4599"/>
    <w:rsid w:val="009F47CB"/>
    <w:rsid w:val="009F5B8E"/>
    <w:rsid w:val="009F66A7"/>
    <w:rsid w:val="00A013AB"/>
    <w:rsid w:val="00A03AC5"/>
    <w:rsid w:val="00A042AF"/>
    <w:rsid w:val="00A06E07"/>
    <w:rsid w:val="00A07031"/>
    <w:rsid w:val="00A121DC"/>
    <w:rsid w:val="00A134BA"/>
    <w:rsid w:val="00A1410F"/>
    <w:rsid w:val="00A17223"/>
    <w:rsid w:val="00A175AF"/>
    <w:rsid w:val="00A22623"/>
    <w:rsid w:val="00A22775"/>
    <w:rsid w:val="00A22D26"/>
    <w:rsid w:val="00A2352E"/>
    <w:rsid w:val="00A2491E"/>
    <w:rsid w:val="00A25470"/>
    <w:rsid w:val="00A261A9"/>
    <w:rsid w:val="00A26464"/>
    <w:rsid w:val="00A30DBD"/>
    <w:rsid w:val="00A32EDE"/>
    <w:rsid w:val="00A33843"/>
    <w:rsid w:val="00A40B74"/>
    <w:rsid w:val="00A40D21"/>
    <w:rsid w:val="00A40FD5"/>
    <w:rsid w:val="00A415A5"/>
    <w:rsid w:val="00A424CB"/>
    <w:rsid w:val="00A42C2C"/>
    <w:rsid w:val="00A4387E"/>
    <w:rsid w:val="00A459E7"/>
    <w:rsid w:val="00A47FB3"/>
    <w:rsid w:val="00A50703"/>
    <w:rsid w:val="00A50800"/>
    <w:rsid w:val="00A50815"/>
    <w:rsid w:val="00A515CF"/>
    <w:rsid w:val="00A527C2"/>
    <w:rsid w:val="00A54D8E"/>
    <w:rsid w:val="00A55612"/>
    <w:rsid w:val="00A55AA2"/>
    <w:rsid w:val="00A60550"/>
    <w:rsid w:val="00A6164B"/>
    <w:rsid w:val="00A634B8"/>
    <w:rsid w:val="00A63E4C"/>
    <w:rsid w:val="00A64263"/>
    <w:rsid w:val="00A64E21"/>
    <w:rsid w:val="00A658AD"/>
    <w:rsid w:val="00A674AD"/>
    <w:rsid w:val="00A67C6C"/>
    <w:rsid w:val="00A7097B"/>
    <w:rsid w:val="00A7121C"/>
    <w:rsid w:val="00A71632"/>
    <w:rsid w:val="00A72123"/>
    <w:rsid w:val="00A737AB"/>
    <w:rsid w:val="00A73C80"/>
    <w:rsid w:val="00A76C39"/>
    <w:rsid w:val="00A77217"/>
    <w:rsid w:val="00A773CF"/>
    <w:rsid w:val="00A77882"/>
    <w:rsid w:val="00A82793"/>
    <w:rsid w:val="00A832FB"/>
    <w:rsid w:val="00A832FE"/>
    <w:rsid w:val="00A83760"/>
    <w:rsid w:val="00A83A3B"/>
    <w:rsid w:val="00A84EE3"/>
    <w:rsid w:val="00A8755F"/>
    <w:rsid w:val="00A87C54"/>
    <w:rsid w:val="00A917AE"/>
    <w:rsid w:val="00A91D19"/>
    <w:rsid w:val="00A93C08"/>
    <w:rsid w:val="00A94B11"/>
    <w:rsid w:val="00A9575F"/>
    <w:rsid w:val="00AA162B"/>
    <w:rsid w:val="00AA1DA9"/>
    <w:rsid w:val="00AA270F"/>
    <w:rsid w:val="00AA2718"/>
    <w:rsid w:val="00AA2823"/>
    <w:rsid w:val="00AA2A6C"/>
    <w:rsid w:val="00AA6455"/>
    <w:rsid w:val="00AA6C68"/>
    <w:rsid w:val="00AA71D9"/>
    <w:rsid w:val="00AB17B5"/>
    <w:rsid w:val="00AB2048"/>
    <w:rsid w:val="00AB2DDB"/>
    <w:rsid w:val="00AB7372"/>
    <w:rsid w:val="00AB79A9"/>
    <w:rsid w:val="00AB7AEF"/>
    <w:rsid w:val="00AC0000"/>
    <w:rsid w:val="00AC20CA"/>
    <w:rsid w:val="00AC24E0"/>
    <w:rsid w:val="00AC26C3"/>
    <w:rsid w:val="00AC3AE7"/>
    <w:rsid w:val="00AC5AB3"/>
    <w:rsid w:val="00AC5ABE"/>
    <w:rsid w:val="00AC69B4"/>
    <w:rsid w:val="00AC6FA6"/>
    <w:rsid w:val="00AC7C6E"/>
    <w:rsid w:val="00AD04A1"/>
    <w:rsid w:val="00AD29E6"/>
    <w:rsid w:val="00AD3AA4"/>
    <w:rsid w:val="00AD48F0"/>
    <w:rsid w:val="00AD5472"/>
    <w:rsid w:val="00AE363A"/>
    <w:rsid w:val="00AE3991"/>
    <w:rsid w:val="00AE452F"/>
    <w:rsid w:val="00AE4F32"/>
    <w:rsid w:val="00AE586D"/>
    <w:rsid w:val="00AE58C9"/>
    <w:rsid w:val="00AE5C22"/>
    <w:rsid w:val="00AE6220"/>
    <w:rsid w:val="00AE6A52"/>
    <w:rsid w:val="00AE700E"/>
    <w:rsid w:val="00AF3998"/>
    <w:rsid w:val="00AF4F8F"/>
    <w:rsid w:val="00AF5DF1"/>
    <w:rsid w:val="00AF6510"/>
    <w:rsid w:val="00B02D9A"/>
    <w:rsid w:val="00B049CF"/>
    <w:rsid w:val="00B0675C"/>
    <w:rsid w:val="00B06E0F"/>
    <w:rsid w:val="00B07313"/>
    <w:rsid w:val="00B10403"/>
    <w:rsid w:val="00B154F5"/>
    <w:rsid w:val="00B1567F"/>
    <w:rsid w:val="00B173D0"/>
    <w:rsid w:val="00B17F33"/>
    <w:rsid w:val="00B20682"/>
    <w:rsid w:val="00B20803"/>
    <w:rsid w:val="00B20AA6"/>
    <w:rsid w:val="00B21800"/>
    <w:rsid w:val="00B21A2E"/>
    <w:rsid w:val="00B227E9"/>
    <w:rsid w:val="00B22B65"/>
    <w:rsid w:val="00B2329B"/>
    <w:rsid w:val="00B23FFB"/>
    <w:rsid w:val="00B24332"/>
    <w:rsid w:val="00B24796"/>
    <w:rsid w:val="00B27B85"/>
    <w:rsid w:val="00B31D1D"/>
    <w:rsid w:val="00B3254C"/>
    <w:rsid w:val="00B32717"/>
    <w:rsid w:val="00B33C2E"/>
    <w:rsid w:val="00B3734B"/>
    <w:rsid w:val="00B37C9A"/>
    <w:rsid w:val="00B37E50"/>
    <w:rsid w:val="00B40277"/>
    <w:rsid w:val="00B4157A"/>
    <w:rsid w:val="00B43CAD"/>
    <w:rsid w:val="00B44949"/>
    <w:rsid w:val="00B45502"/>
    <w:rsid w:val="00B45F73"/>
    <w:rsid w:val="00B5050B"/>
    <w:rsid w:val="00B5134B"/>
    <w:rsid w:val="00B52153"/>
    <w:rsid w:val="00B53296"/>
    <w:rsid w:val="00B53353"/>
    <w:rsid w:val="00B55F46"/>
    <w:rsid w:val="00B574E0"/>
    <w:rsid w:val="00B57BF0"/>
    <w:rsid w:val="00B6073F"/>
    <w:rsid w:val="00B61DA2"/>
    <w:rsid w:val="00B61E4E"/>
    <w:rsid w:val="00B6211E"/>
    <w:rsid w:val="00B62C3D"/>
    <w:rsid w:val="00B63051"/>
    <w:rsid w:val="00B6757E"/>
    <w:rsid w:val="00B67C69"/>
    <w:rsid w:val="00B7238C"/>
    <w:rsid w:val="00B73280"/>
    <w:rsid w:val="00B736FB"/>
    <w:rsid w:val="00B755C2"/>
    <w:rsid w:val="00B769AF"/>
    <w:rsid w:val="00B80182"/>
    <w:rsid w:val="00B80A4D"/>
    <w:rsid w:val="00B81678"/>
    <w:rsid w:val="00B82B7F"/>
    <w:rsid w:val="00B82BB5"/>
    <w:rsid w:val="00B85B4E"/>
    <w:rsid w:val="00B86248"/>
    <w:rsid w:val="00B86D57"/>
    <w:rsid w:val="00B86FE7"/>
    <w:rsid w:val="00B87211"/>
    <w:rsid w:val="00B879CC"/>
    <w:rsid w:val="00B9122A"/>
    <w:rsid w:val="00B923AB"/>
    <w:rsid w:val="00B9306F"/>
    <w:rsid w:val="00B9418C"/>
    <w:rsid w:val="00B94B46"/>
    <w:rsid w:val="00B94BD5"/>
    <w:rsid w:val="00B9597C"/>
    <w:rsid w:val="00B95E95"/>
    <w:rsid w:val="00B961B5"/>
    <w:rsid w:val="00B969C7"/>
    <w:rsid w:val="00B97057"/>
    <w:rsid w:val="00BA0606"/>
    <w:rsid w:val="00BA0906"/>
    <w:rsid w:val="00BA12A1"/>
    <w:rsid w:val="00BA1F67"/>
    <w:rsid w:val="00BA2285"/>
    <w:rsid w:val="00BA23D6"/>
    <w:rsid w:val="00BA3559"/>
    <w:rsid w:val="00BB1882"/>
    <w:rsid w:val="00BB2457"/>
    <w:rsid w:val="00BB2526"/>
    <w:rsid w:val="00BB3060"/>
    <w:rsid w:val="00BB3D46"/>
    <w:rsid w:val="00BB465E"/>
    <w:rsid w:val="00BB47C4"/>
    <w:rsid w:val="00BB4B03"/>
    <w:rsid w:val="00BB72A5"/>
    <w:rsid w:val="00BC1230"/>
    <w:rsid w:val="00BC1458"/>
    <w:rsid w:val="00BC16B6"/>
    <w:rsid w:val="00BC3076"/>
    <w:rsid w:val="00BC3D31"/>
    <w:rsid w:val="00BC43CB"/>
    <w:rsid w:val="00BC506F"/>
    <w:rsid w:val="00BC5A5D"/>
    <w:rsid w:val="00BC7193"/>
    <w:rsid w:val="00BD09DA"/>
    <w:rsid w:val="00BD1FB4"/>
    <w:rsid w:val="00BE09E7"/>
    <w:rsid w:val="00BE169A"/>
    <w:rsid w:val="00BE23EA"/>
    <w:rsid w:val="00BE2A94"/>
    <w:rsid w:val="00BE42D5"/>
    <w:rsid w:val="00BE7C3C"/>
    <w:rsid w:val="00BF0A69"/>
    <w:rsid w:val="00BF1908"/>
    <w:rsid w:val="00BF1DA1"/>
    <w:rsid w:val="00BF200B"/>
    <w:rsid w:val="00C002E3"/>
    <w:rsid w:val="00C00461"/>
    <w:rsid w:val="00C01D06"/>
    <w:rsid w:val="00C03137"/>
    <w:rsid w:val="00C03C33"/>
    <w:rsid w:val="00C04F86"/>
    <w:rsid w:val="00C05343"/>
    <w:rsid w:val="00C1011F"/>
    <w:rsid w:val="00C1226D"/>
    <w:rsid w:val="00C12652"/>
    <w:rsid w:val="00C1428F"/>
    <w:rsid w:val="00C172FA"/>
    <w:rsid w:val="00C20C12"/>
    <w:rsid w:val="00C228A3"/>
    <w:rsid w:val="00C22E1C"/>
    <w:rsid w:val="00C25613"/>
    <w:rsid w:val="00C256F3"/>
    <w:rsid w:val="00C30222"/>
    <w:rsid w:val="00C315F6"/>
    <w:rsid w:val="00C32E89"/>
    <w:rsid w:val="00C330C1"/>
    <w:rsid w:val="00C3352F"/>
    <w:rsid w:val="00C3378F"/>
    <w:rsid w:val="00C33878"/>
    <w:rsid w:val="00C338E6"/>
    <w:rsid w:val="00C35601"/>
    <w:rsid w:val="00C35BC9"/>
    <w:rsid w:val="00C3612A"/>
    <w:rsid w:val="00C3702D"/>
    <w:rsid w:val="00C37FBE"/>
    <w:rsid w:val="00C40745"/>
    <w:rsid w:val="00C41C74"/>
    <w:rsid w:val="00C41F31"/>
    <w:rsid w:val="00C42633"/>
    <w:rsid w:val="00C429CE"/>
    <w:rsid w:val="00C42F4A"/>
    <w:rsid w:val="00C443D4"/>
    <w:rsid w:val="00C44D73"/>
    <w:rsid w:val="00C4573D"/>
    <w:rsid w:val="00C46F18"/>
    <w:rsid w:val="00C53166"/>
    <w:rsid w:val="00C5396B"/>
    <w:rsid w:val="00C54F31"/>
    <w:rsid w:val="00C5694D"/>
    <w:rsid w:val="00C571EC"/>
    <w:rsid w:val="00C6049E"/>
    <w:rsid w:val="00C61315"/>
    <w:rsid w:val="00C626BD"/>
    <w:rsid w:val="00C65769"/>
    <w:rsid w:val="00C65D74"/>
    <w:rsid w:val="00C710B6"/>
    <w:rsid w:val="00C72363"/>
    <w:rsid w:val="00C73A84"/>
    <w:rsid w:val="00C74808"/>
    <w:rsid w:val="00C7568D"/>
    <w:rsid w:val="00C80554"/>
    <w:rsid w:val="00C82775"/>
    <w:rsid w:val="00C82E8B"/>
    <w:rsid w:val="00C842F7"/>
    <w:rsid w:val="00C84EB6"/>
    <w:rsid w:val="00C8575D"/>
    <w:rsid w:val="00C9290D"/>
    <w:rsid w:val="00C92C21"/>
    <w:rsid w:val="00C933DB"/>
    <w:rsid w:val="00C935FA"/>
    <w:rsid w:val="00C943A4"/>
    <w:rsid w:val="00C944BA"/>
    <w:rsid w:val="00C95C88"/>
    <w:rsid w:val="00C96BF9"/>
    <w:rsid w:val="00C97473"/>
    <w:rsid w:val="00CA0676"/>
    <w:rsid w:val="00CA1794"/>
    <w:rsid w:val="00CA2397"/>
    <w:rsid w:val="00CA2F2D"/>
    <w:rsid w:val="00CA3233"/>
    <w:rsid w:val="00CA3459"/>
    <w:rsid w:val="00CA3706"/>
    <w:rsid w:val="00CA43BF"/>
    <w:rsid w:val="00CA6036"/>
    <w:rsid w:val="00CA7464"/>
    <w:rsid w:val="00CA75D9"/>
    <w:rsid w:val="00CA7901"/>
    <w:rsid w:val="00CB2150"/>
    <w:rsid w:val="00CB47FD"/>
    <w:rsid w:val="00CB7456"/>
    <w:rsid w:val="00CC25F9"/>
    <w:rsid w:val="00CC276E"/>
    <w:rsid w:val="00CC3F10"/>
    <w:rsid w:val="00CC50EF"/>
    <w:rsid w:val="00CC72A3"/>
    <w:rsid w:val="00CC7465"/>
    <w:rsid w:val="00CC7B8B"/>
    <w:rsid w:val="00CD0505"/>
    <w:rsid w:val="00CD1F9A"/>
    <w:rsid w:val="00CD380D"/>
    <w:rsid w:val="00CD4907"/>
    <w:rsid w:val="00CD4C29"/>
    <w:rsid w:val="00CD4D7C"/>
    <w:rsid w:val="00CD55AC"/>
    <w:rsid w:val="00CD5933"/>
    <w:rsid w:val="00CE20BA"/>
    <w:rsid w:val="00CE42B4"/>
    <w:rsid w:val="00CE4CF2"/>
    <w:rsid w:val="00CE63F1"/>
    <w:rsid w:val="00CE770D"/>
    <w:rsid w:val="00CE7AE7"/>
    <w:rsid w:val="00CF1CE8"/>
    <w:rsid w:val="00CF6BB5"/>
    <w:rsid w:val="00CF6C00"/>
    <w:rsid w:val="00CF7883"/>
    <w:rsid w:val="00D00E78"/>
    <w:rsid w:val="00D02C40"/>
    <w:rsid w:val="00D02E92"/>
    <w:rsid w:val="00D0309F"/>
    <w:rsid w:val="00D05C47"/>
    <w:rsid w:val="00D065B6"/>
    <w:rsid w:val="00D0718D"/>
    <w:rsid w:val="00D11331"/>
    <w:rsid w:val="00D129E9"/>
    <w:rsid w:val="00D14459"/>
    <w:rsid w:val="00D1447F"/>
    <w:rsid w:val="00D16137"/>
    <w:rsid w:val="00D17707"/>
    <w:rsid w:val="00D2100C"/>
    <w:rsid w:val="00D22D68"/>
    <w:rsid w:val="00D22F72"/>
    <w:rsid w:val="00D258BF"/>
    <w:rsid w:val="00D3019A"/>
    <w:rsid w:val="00D3042C"/>
    <w:rsid w:val="00D324FD"/>
    <w:rsid w:val="00D34711"/>
    <w:rsid w:val="00D36B5A"/>
    <w:rsid w:val="00D3749B"/>
    <w:rsid w:val="00D37B7D"/>
    <w:rsid w:val="00D37E97"/>
    <w:rsid w:val="00D37FA9"/>
    <w:rsid w:val="00D446CA"/>
    <w:rsid w:val="00D44C38"/>
    <w:rsid w:val="00D450F3"/>
    <w:rsid w:val="00D45546"/>
    <w:rsid w:val="00D52134"/>
    <w:rsid w:val="00D54B5C"/>
    <w:rsid w:val="00D54F1E"/>
    <w:rsid w:val="00D565F6"/>
    <w:rsid w:val="00D566E1"/>
    <w:rsid w:val="00D5683B"/>
    <w:rsid w:val="00D568BD"/>
    <w:rsid w:val="00D56F1B"/>
    <w:rsid w:val="00D57928"/>
    <w:rsid w:val="00D57DFB"/>
    <w:rsid w:val="00D6024A"/>
    <w:rsid w:val="00D603B7"/>
    <w:rsid w:val="00D61593"/>
    <w:rsid w:val="00D61AE4"/>
    <w:rsid w:val="00D628E7"/>
    <w:rsid w:val="00D638CA"/>
    <w:rsid w:val="00D646BC"/>
    <w:rsid w:val="00D65028"/>
    <w:rsid w:val="00D65727"/>
    <w:rsid w:val="00D66523"/>
    <w:rsid w:val="00D66B12"/>
    <w:rsid w:val="00D71E32"/>
    <w:rsid w:val="00D736A0"/>
    <w:rsid w:val="00D736B9"/>
    <w:rsid w:val="00D74C78"/>
    <w:rsid w:val="00D7505C"/>
    <w:rsid w:val="00D80185"/>
    <w:rsid w:val="00D8055A"/>
    <w:rsid w:val="00D806FE"/>
    <w:rsid w:val="00D81B2A"/>
    <w:rsid w:val="00D82C5A"/>
    <w:rsid w:val="00D8360F"/>
    <w:rsid w:val="00D836F4"/>
    <w:rsid w:val="00D837AB"/>
    <w:rsid w:val="00D83A45"/>
    <w:rsid w:val="00D84BFC"/>
    <w:rsid w:val="00D85166"/>
    <w:rsid w:val="00D85DD8"/>
    <w:rsid w:val="00D8689F"/>
    <w:rsid w:val="00D870BC"/>
    <w:rsid w:val="00D91AD7"/>
    <w:rsid w:val="00D9395F"/>
    <w:rsid w:val="00D93C6B"/>
    <w:rsid w:val="00D93E5B"/>
    <w:rsid w:val="00D95FD5"/>
    <w:rsid w:val="00D96AB3"/>
    <w:rsid w:val="00D96B56"/>
    <w:rsid w:val="00D97A41"/>
    <w:rsid w:val="00DA2E35"/>
    <w:rsid w:val="00DA36CB"/>
    <w:rsid w:val="00DA4BF9"/>
    <w:rsid w:val="00DA626B"/>
    <w:rsid w:val="00DA69D3"/>
    <w:rsid w:val="00DA70FA"/>
    <w:rsid w:val="00DB0409"/>
    <w:rsid w:val="00DB0EFE"/>
    <w:rsid w:val="00DB2444"/>
    <w:rsid w:val="00DB28FC"/>
    <w:rsid w:val="00DB30E6"/>
    <w:rsid w:val="00DB62A2"/>
    <w:rsid w:val="00DB7C3D"/>
    <w:rsid w:val="00DC0141"/>
    <w:rsid w:val="00DC0E7A"/>
    <w:rsid w:val="00DC0FC0"/>
    <w:rsid w:val="00DC10A1"/>
    <w:rsid w:val="00DC1652"/>
    <w:rsid w:val="00DC2B21"/>
    <w:rsid w:val="00DC3D10"/>
    <w:rsid w:val="00DC4226"/>
    <w:rsid w:val="00DC46F8"/>
    <w:rsid w:val="00DC50FB"/>
    <w:rsid w:val="00DC6A6B"/>
    <w:rsid w:val="00DC7D51"/>
    <w:rsid w:val="00DD0728"/>
    <w:rsid w:val="00DD12F2"/>
    <w:rsid w:val="00DD2C81"/>
    <w:rsid w:val="00DD32AB"/>
    <w:rsid w:val="00DD39EC"/>
    <w:rsid w:val="00DD3AE8"/>
    <w:rsid w:val="00DD485C"/>
    <w:rsid w:val="00DD4DD0"/>
    <w:rsid w:val="00DD543F"/>
    <w:rsid w:val="00DD57C4"/>
    <w:rsid w:val="00DD68BB"/>
    <w:rsid w:val="00DD7362"/>
    <w:rsid w:val="00DD78BD"/>
    <w:rsid w:val="00DD7FB9"/>
    <w:rsid w:val="00DE0DD5"/>
    <w:rsid w:val="00DE1324"/>
    <w:rsid w:val="00DE1F41"/>
    <w:rsid w:val="00DE24E6"/>
    <w:rsid w:val="00DE3914"/>
    <w:rsid w:val="00DE3B95"/>
    <w:rsid w:val="00DE6104"/>
    <w:rsid w:val="00DF0B9B"/>
    <w:rsid w:val="00DF4C01"/>
    <w:rsid w:val="00DF693C"/>
    <w:rsid w:val="00DF69CD"/>
    <w:rsid w:val="00DF7881"/>
    <w:rsid w:val="00E00A05"/>
    <w:rsid w:val="00E0308B"/>
    <w:rsid w:val="00E047BD"/>
    <w:rsid w:val="00E0592E"/>
    <w:rsid w:val="00E107C2"/>
    <w:rsid w:val="00E120F5"/>
    <w:rsid w:val="00E14394"/>
    <w:rsid w:val="00E15CFC"/>
    <w:rsid w:val="00E17854"/>
    <w:rsid w:val="00E22B43"/>
    <w:rsid w:val="00E25EF0"/>
    <w:rsid w:val="00E309DB"/>
    <w:rsid w:val="00E30FEA"/>
    <w:rsid w:val="00E32820"/>
    <w:rsid w:val="00E32FB3"/>
    <w:rsid w:val="00E331D9"/>
    <w:rsid w:val="00E34348"/>
    <w:rsid w:val="00E347DC"/>
    <w:rsid w:val="00E35176"/>
    <w:rsid w:val="00E35347"/>
    <w:rsid w:val="00E35613"/>
    <w:rsid w:val="00E36656"/>
    <w:rsid w:val="00E36758"/>
    <w:rsid w:val="00E40521"/>
    <w:rsid w:val="00E4064A"/>
    <w:rsid w:val="00E407A6"/>
    <w:rsid w:val="00E42B29"/>
    <w:rsid w:val="00E42BEC"/>
    <w:rsid w:val="00E440CC"/>
    <w:rsid w:val="00E456C2"/>
    <w:rsid w:val="00E4650E"/>
    <w:rsid w:val="00E4740D"/>
    <w:rsid w:val="00E47CFF"/>
    <w:rsid w:val="00E519F6"/>
    <w:rsid w:val="00E51B20"/>
    <w:rsid w:val="00E52617"/>
    <w:rsid w:val="00E5279F"/>
    <w:rsid w:val="00E54415"/>
    <w:rsid w:val="00E56539"/>
    <w:rsid w:val="00E60D47"/>
    <w:rsid w:val="00E61CD3"/>
    <w:rsid w:val="00E61E7F"/>
    <w:rsid w:val="00E621B5"/>
    <w:rsid w:val="00E64BE8"/>
    <w:rsid w:val="00E64CC9"/>
    <w:rsid w:val="00E6539D"/>
    <w:rsid w:val="00E7043B"/>
    <w:rsid w:val="00E70655"/>
    <w:rsid w:val="00E7116F"/>
    <w:rsid w:val="00E71F6E"/>
    <w:rsid w:val="00E72052"/>
    <w:rsid w:val="00E7213D"/>
    <w:rsid w:val="00E72859"/>
    <w:rsid w:val="00E72FBB"/>
    <w:rsid w:val="00E75EF4"/>
    <w:rsid w:val="00E808FA"/>
    <w:rsid w:val="00E81D38"/>
    <w:rsid w:val="00E83BE1"/>
    <w:rsid w:val="00E863C1"/>
    <w:rsid w:val="00E86CD0"/>
    <w:rsid w:val="00E915D8"/>
    <w:rsid w:val="00E91DD6"/>
    <w:rsid w:val="00E922C9"/>
    <w:rsid w:val="00E93CCC"/>
    <w:rsid w:val="00E93EBF"/>
    <w:rsid w:val="00E96F65"/>
    <w:rsid w:val="00E972A5"/>
    <w:rsid w:val="00E976A8"/>
    <w:rsid w:val="00EA01B7"/>
    <w:rsid w:val="00EA0AA1"/>
    <w:rsid w:val="00EA5AF0"/>
    <w:rsid w:val="00EA647D"/>
    <w:rsid w:val="00EA6E1F"/>
    <w:rsid w:val="00EA79B5"/>
    <w:rsid w:val="00EA7DFA"/>
    <w:rsid w:val="00EB3D58"/>
    <w:rsid w:val="00EB5340"/>
    <w:rsid w:val="00EB7476"/>
    <w:rsid w:val="00EB770C"/>
    <w:rsid w:val="00EB7E2F"/>
    <w:rsid w:val="00EC09FF"/>
    <w:rsid w:val="00EC1884"/>
    <w:rsid w:val="00EC1D7D"/>
    <w:rsid w:val="00EC2421"/>
    <w:rsid w:val="00EC3244"/>
    <w:rsid w:val="00EC436D"/>
    <w:rsid w:val="00EC5C6D"/>
    <w:rsid w:val="00EC5CF6"/>
    <w:rsid w:val="00EC6940"/>
    <w:rsid w:val="00ED18BD"/>
    <w:rsid w:val="00ED1A36"/>
    <w:rsid w:val="00ED2BA6"/>
    <w:rsid w:val="00ED4354"/>
    <w:rsid w:val="00ED47A2"/>
    <w:rsid w:val="00ED4B9A"/>
    <w:rsid w:val="00ED5482"/>
    <w:rsid w:val="00ED5CE9"/>
    <w:rsid w:val="00ED704D"/>
    <w:rsid w:val="00ED76E7"/>
    <w:rsid w:val="00EE08F2"/>
    <w:rsid w:val="00EE1DF8"/>
    <w:rsid w:val="00EE4439"/>
    <w:rsid w:val="00EE5120"/>
    <w:rsid w:val="00EE62C9"/>
    <w:rsid w:val="00EE6821"/>
    <w:rsid w:val="00EE6A43"/>
    <w:rsid w:val="00EE703E"/>
    <w:rsid w:val="00EE79F9"/>
    <w:rsid w:val="00EE7A10"/>
    <w:rsid w:val="00EF0391"/>
    <w:rsid w:val="00EF0AEF"/>
    <w:rsid w:val="00EF4662"/>
    <w:rsid w:val="00EF59BC"/>
    <w:rsid w:val="00F0017C"/>
    <w:rsid w:val="00F00792"/>
    <w:rsid w:val="00F02530"/>
    <w:rsid w:val="00F0388F"/>
    <w:rsid w:val="00F04934"/>
    <w:rsid w:val="00F055F7"/>
    <w:rsid w:val="00F05C1E"/>
    <w:rsid w:val="00F06731"/>
    <w:rsid w:val="00F06BD3"/>
    <w:rsid w:val="00F10ECC"/>
    <w:rsid w:val="00F12C97"/>
    <w:rsid w:val="00F13CD5"/>
    <w:rsid w:val="00F14324"/>
    <w:rsid w:val="00F14899"/>
    <w:rsid w:val="00F15658"/>
    <w:rsid w:val="00F1693C"/>
    <w:rsid w:val="00F17E87"/>
    <w:rsid w:val="00F17F41"/>
    <w:rsid w:val="00F20C2B"/>
    <w:rsid w:val="00F21238"/>
    <w:rsid w:val="00F22E2B"/>
    <w:rsid w:val="00F23764"/>
    <w:rsid w:val="00F24B46"/>
    <w:rsid w:val="00F24EA3"/>
    <w:rsid w:val="00F25087"/>
    <w:rsid w:val="00F257CD"/>
    <w:rsid w:val="00F25DB5"/>
    <w:rsid w:val="00F30EC2"/>
    <w:rsid w:val="00F31252"/>
    <w:rsid w:val="00F31469"/>
    <w:rsid w:val="00F32F89"/>
    <w:rsid w:val="00F3373D"/>
    <w:rsid w:val="00F33E7E"/>
    <w:rsid w:val="00F3426F"/>
    <w:rsid w:val="00F34996"/>
    <w:rsid w:val="00F35A2C"/>
    <w:rsid w:val="00F36073"/>
    <w:rsid w:val="00F36426"/>
    <w:rsid w:val="00F36C1A"/>
    <w:rsid w:val="00F36EDB"/>
    <w:rsid w:val="00F37457"/>
    <w:rsid w:val="00F37C02"/>
    <w:rsid w:val="00F37F07"/>
    <w:rsid w:val="00F40BA6"/>
    <w:rsid w:val="00F41BED"/>
    <w:rsid w:val="00F42820"/>
    <w:rsid w:val="00F42F75"/>
    <w:rsid w:val="00F43706"/>
    <w:rsid w:val="00F445C5"/>
    <w:rsid w:val="00F463F9"/>
    <w:rsid w:val="00F506A8"/>
    <w:rsid w:val="00F52299"/>
    <w:rsid w:val="00F53800"/>
    <w:rsid w:val="00F54268"/>
    <w:rsid w:val="00F549D7"/>
    <w:rsid w:val="00F5735D"/>
    <w:rsid w:val="00F57474"/>
    <w:rsid w:val="00F57646"/>
    <w:rsid w:val="00F57ADF"/>
    <w:rsid w:val="00F57C5F"/>
    <w:rsid w:val="00F6061A"/>
    <w:rsid w:val="00F6189F"/>
    <w:rsid w:val="00F6212C"/>
    <w:rsid w:val="00F63446"/>
    <w:rsid w:val="00F637FC"/>
    <w:rsid w:val="00F64D68"/>
    <w:rsid w:val="00F659C2"/>
    <w:rsid w:val="00F67A38"/>
    <w:rsid w:val="00F716DE"/>
    <w:rsid w:val="00F7326F"/>
    <w:rsid w:val="00F73DA2"/>
    <w:rsid w:val="00F745BD"/>
    <w:rsid w:val="00F74C45"/>
    <w:rsid w:val="00F751DC"/>
    <w:rsid w:val="00F7582D"/>
    <w:rsid w:val="00F80243"/>
    <w:rsid w:val="00F81417"/>
    <w:rsid w:val="00F81974"/>
    <w:rsid w:val="00F83057"/>
    <w:rsid w:val="00F834AF"/>
    <w:rsid w:val="00F862D8"/>
    <w:rsid w:val="00F86FB1"/>
    <w:rsid w:val="00F8701B"/>
    <w:rsid w:val="00F87166"/>
    <w:rsid w:val="00F871B7"/>
    <w:rsid w:val="00F8750A"/>
    <w:rsid w:val="00F91A12"/>
    <w:rsid w:val="00F920A9"/>
    <w:rsid w:val="00F940A0"/>
    <w:rsid w:val="00F94FDE"/>
    <w:rsid w:val="00F95114"/>
    <w:rsid w:val="00F97113"/>
    <w:rsid w:val="00FA16AB"/>
    <w:rsid w:val="00FA3C97"/>
    <w:rsid w:val="00FA5560"/>
    <w:rsid w:val="00FB29F5"/>
    <w:rsid w:val="00FB2E9B"/>
    <w:rsid w:val="00FB3320"/>
    <w:rsid w:val="00FB50DD"/>
    <w:rsid w:val="00FB5A82"/>
    <w:rsid w:val="00FB6CD1"/>
    <w:rsid w:val="00FB7C1E"/>
    <w:rsid w:val="00FC0551"/>
    <w:rsid w:val="00FC2759"/>
    <w:rsid w:val="00FC3D35"/>
    <w:rsid w:val="00FC4DDE"/>
    <w:rsid w:val="00FC52B3"/>
    <w:rsid w:val="00FC57A7"/>
    <w:rsid w:val="00FC5B76"/>
    <w:rsid w:val="00FC6F4E"/>
    <w:rsid w:val="00FC70A0"/>
    <w:rsid w:val="00FC7A36"/>
    <w:rsid w:val="00FD129E"/>
    <w:rsid w:val="00FD32D0"/>
    <w:rsid w:val="00FD4153"/>
    <w:rsid w:val="00FD43BB"/>
    <w:rsid w:val="00FD612A"/>
    <w:rsid w:val="00FD7D4F"/>
    <w:rsid w:val="00FE5D08"/>
    <w:rsid w:val="00FE5D69"/>
    <w:rsid w:val="00FE6607"/>
    <w:rsid w:val="00FE7791"/>
    <w:rsid w:val="00FF1884"/>
    <w:rsid w:val="00FF20DF"/>
    <w:rsid w:val="00FF2D3C"/>
    <w:rsid w:val="00FF3D0A"/>
    <w:rsid w:val="00FF422B"/>
    <w:rsid w:val="00FF4588"/>
    <w:rsid w:val="00FF5FBB"/>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2FB03"/>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410"/>
    <w:pPr>
      <w:ind w:firstLine="360"/>
      <w:jc w:val="both"/>
    </w:pPr>
    <w:rPr>
      <w:rFonts w:ascii="CMU Serif Roman" w:eastAsia="Times New Roman" w:hAnsi="CMU Serif Roman" w:cs="CMU Serif Roman"/>
      <w:color w:val="000000"/>
      <w:sz w:val="18"/>
      <w:szCs w:val="18"/>
    </w:rPr>
  </w:style>
  <w:style w:type="paragraph" w:styleId="Heading1">
    <w:name w:val="heading 1"/>
    <w:basedOn w:val="Normal"/>
    <w:next w:val="Normal"/>
    <w:link w:val="Heading1Char"/>
    <w:uiPriority w:val="9"/>
    <w:qFormat/>
    <w:rsid w:val="00034410"/>
    <w:pPr>
      <w:ind w:firstLine="0"/>
      <w:jc w:val="center"/>
      <w:outlineLvl w:val="0"/>
    </w:pPr>
    <w:rPr>
      <w:b/>
      <w:bCs/>
    </w:rPr>
  </w:style>
  <w:style w:type="paragraph" w:styleId="Heading2">
    <w:name w:val="heading 2"/>
    <w:basedOn w:val="Normal"/>
    <w:next w:val="Normal"/>
    <w:link w:val="Heading2Char"/>
    <w:uiPriority w:val="9"/>
    <w:unhideWhenUsed/>
    <w:qFormat/>
    <w:rsid w:val="00034410"/>
    <w:pPr>
      <w:ind w:firstLine="0"/>
      <w:outlineLvl w:val="1"/>
    </w:pPr>
    <w:rPr>
      <w:b/>
      <w:bCs/>
    </w:rPr>
  </w:style>
  <w:style w:type="paragraph" w:styleId="Heading3">
    <w:name w:val="heading 3"/>
    <w:basedOn w:val="Heading2"/>
    <w:next w:val="Normal"/>
    <w:link w:val="Heading3Char"/>
    <w:uiPriority w:val="9"/>
    <w:unhideWhenUsed/>
    <w:qFormat/>
    <w:rsid w:val="00034410"/>
    <w:pPr>
      <w:ind w:firstLine="36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3A109B"/>
    <w:pPr>
      <w:ind w:left="284" w:hanging="284"/>
      <w:jc w:val="left"/>
    </w:pPr>
  </w:style>
  <w:style w:type="character" w:customStyle="1" w:styleId="Heading1Char">
    <w:name w:val="Heading 1 Char"/>
    <w:basedOn w:val="DefaultParagraphFont"/>
    <w:link w:val="Heading1"/>
    <w:uiPriority w:val="9"/>
    <w:rsid w:val="00034410"/>
    <w:rPr>
      <w:rFonts w:ascii="CMU Serif Roman" w:eastAsia="Times New Roman" w:hAnsi="CMU Serif Roman" w:cs="CMU Serif Roman"/>
      <w:b/>
      <w:bCs/>
      <w:color w:val="000000"/>
      <w:sz w:val="18"/>
      <w:szCs w:val="18"/>
    </w:rPr>
  </w:style>
  <w:style w:type="character" w:customStyle="1" w:styleId="Heading2Char">
    <w:name w:val="Heading 2 Char"/>
    <w:basedOn w:val="DefaultParagraphFont"/>
    <w:link w:val="Heading2"/>
    <w:uiPriority w:val="9"/>
    <w:rsid w:val="00034410"/>
    <w:rPr>
      <w:rFonts w:ascii="CMU Serif Roman" w:eastAsia="Times New Roman" w:hAnsi="CMU Serif Roman" w:cs="CMU Serif Roman"/>
      <w:b/>
      <w:bCs/>
      <w:color w:val="000000"/>
      <w:sz w:val="18"/>
      <w:szCs w:val="18"/>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rPr>
      <w:rFonts w:ascii="Times New Roman" w:hAnsi="Times New Roman" w:cs="Times New Roman"/>
      <w:sz w:val="24"/>
      <w:szCs w:val="24"/>
    </w:rPr>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rPr>
  </w:style>
  <w:style w:type="character" w:customStyle="1" w:styleId="Heading3Char">
    <w:name w:val="Heading 3 Char"/>
    <w:basedOn w:val="DefaultParagraphFont"/>
    <w:link w:val="Heading3"/>
    <w:uiPriority w:val="9"/>
    <w:rsid w:val="00034410"/>
    <w:rPr>
      <w:rFonts w:ascii="CMU Serif Roman" w:eastAsia="Times New Roman" w:hAnsi="CMU Serif Roman" w:cs="CMU Serif Roman"/>
      <w:b/>
      <w:bCs/>
      <w:color w:val="000000"/>
      <w:sz w:val="18"/>
      <w:szCs w:val="18"/>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 w:type="paragraph" w:styleId="FootnoteText">
    <w:name w:val="footnote text"/>
    <w:basedOn w:val="Normal"/>
    <w:link w:val="FootnoteTextChar"/>
    <w:uiPriority w:val="99"/>
    <w:unhideWhenUsed/>
    <w:rsid w:val="007D7ACB"/>
    <w:rPr>
      <w:sz w:val="16"/>
      <w:szCs w:val="16"/>
    </w:rPr>
  </w:style>
  <w:style w:type="character" w:customStyle="1" w:styleId="FootnoteTextChar">
    <w:name w:val="Footnote Text Char"/>
    <w:basedOn w:val="DefaultParagraphFont"/>
    <w:link w:val="FootnoteText"/>
    <w:uiPriority w:val="99"/>
    <w:rsid w:val="007D7ACB"/>
    <w:rPr>
      <w:rFonts w:ascii="CMU Serif Roman" w:eastAsia="Times New Roman" w:hAnsi="CMU Serif Roman" w:cs="CMU Serif Roman"/>
      <w:color w:val="000000"/>
      <w:sz w:val="16"/>
      <w:szCs w:val="16"/>
    </w:rPr>
  </w:style>
  <w:style w:type="character" w:styleId="FootnoteReference">
    <w:name w:val="footnote reference"/>
    <w:basedOn w:val="DefaultParagraphFont"/>
    <w:uiPriority w:val="99"/>
    <w:semiHidden/>
    <w:unhideWhenUsed/>
    <w:rsid w:val="007C23EB"/>
    <w:rPr>
      <w:vertAlign w:val="superscript"/>
    </w:rPr>
  </w:style>
  <w:style w:type="character" w:styleId="EndnoteReference">
    <w:name w:val="endnote reference"/>
    <w:basedOn w:val="DefaultParagraphFont"/>
    <w:uiPriority w:val="99"/>
    <w:semiHidden/>
    <w:unhideWhenUsed/>
    <w:rsid w:val="006C1CF5"/>
    <w:rPr>
      <w:vertAlign w:val="superscript"/>
    </w:rPr>
  </w:style>
  <w:style w:type="character" w:customStyle="1" w:styleId="mord">
    <w:name w:val="mord"/>
    <w:basedOn w:val="DefaultParagraphFont"/>
    <w:rsid w:val="001475A4"/>
  </w:style>
  <w:style w:type="character" w:customStyle="1" w:styleId="mrel">
    <w:name w:val="mrel"/>
    <w:basedOn w:val="DefaultParagraphFont"/>
    <w:rsid w:val="001475A4"/>
  </w:style>
  <w:style w:type="character" w:customStyle="1" w:styleId="mbin">
    <w:name w:val="mbin"/>
    <w:basedOn w:val="DefaultParagraphFont"/>
    <w:rsid w:val="001475A4"/>
  </w:style>
  <w:style w:type="character" w:customStyle="1" w:styleId="vlist-s">
    <w:name w:val="vlist-s"/>
    <w:basedOn w:val="DefaultParagraphFont"/>
    <w:rsid w:val="001475A4"/>
  </w:style>
  <w:style w:type="paragraph" w:customStyle="1" w:styleId="abstract">
    <w:name w:val="abstract"/>
    <w:basedOn w:val="Normal"/>
    <w:qFormat/>
    <w:rsid w:val="00043D43"/>
    <w:pPr>
      <w:ind w:left="720" w:right="740" w:firstLine="0"/>
    </w:pPr>
    <w:rPr>
      <w:sz w:val="20"/>
      <w:szCs w:val="20"/>
    </w:rPr>
  </w:style>
  <w:style w:type="paragraph" w:customStyle="1" w:styleId="authors">
    <w:name w:val="authors"/>
    <w:basedOn w:val="Normal"/>
    <w:qFormat/>
    <w:rsid w:val="00043D43"/>
    <w:pPr>
      <w:ind w:firstLine="0"/>
      <w:jc w:val="center"/>
    </w:pPr>
    <w:rPr>
      <w:sz w:val="24"/>
      <w:szCs w:val="24"/>
    </w:rPr>
  </w:style>
  <w:style w:type="paragraph" w:customStyle="1" w:styleId="title">
    <w:name w:val="title"/>
    <w:basedOn w:val="Normal"/>
    <w:qFormat/>
    <w:rsid w:val="00043D43"/>
    <w:pPr>
      <w:ind w:firstLine="0"/>
      <w:jc w:val="center"/>
    </w:pPr>
    <w:rPr>
      <w:sz w:val="28"/>
      <w:szCs w:val="28"/>
    </w:rPr>
  </w:style>
  <w:style w:type="paragraph" w:styleId="Header">
    <w:name w:val="header"/>
    <w:basedOn w:val="Normal"/>
    <w:link w:val="HeaderChar"/>
    <w:uiPriority w:val="99"/>
    <w:unhideWhenUsed/>
    <w:rsid w:val="008153E3"/>
    <w:pPr>
      <w:tabs>
        <w:tab w:val="center" w:pos="4513"/>
        <w:tab w:val="right" w:pos="9026"/>
      </w:tabs>
    </w:pPr>
  </w:style>
  <w:style w:type="character" w:customStyle="1" w:styleId="HeaderChar">
    <w:name w:val="Header Char"/>
    <w:basedOn w:val="DefaultParagraphFont"/>
    <w:link w:val="Header"/>
    <w:uiPriority w:val="99"/>
    <w:rsid w:val="008153E3"/>
    <w:rPr>
      <w:rFonts w:ascii="CMU Serif Roman" w:eastAsia="Times New Roman" w:hAnsi="CMU Serif Roman" w:cs="CMU Serif Roman"/>
      <w:color w:val="000000"/>
      <w:sz w:val="18"/>
      <w:szCs w:val="18"/>
    </w:rPr>
  </w:style>
  <w:style w:type="paragraph" w:styleId="Footer">
    <w:name w:val="footer"/>
    <w:basedOn w:val="Normal"/>
    <w:link w:val="FooterChar"/>
    <w:uiPriority w:val="99"/>
    <w:unhideWhenUsed/>
    <w:rsid w:val="008153E3"/>
    <w:pPr>
      <w:tabs>
        <w:tab w:val="center" w:pos="4513"/>
        <w:tab w:val="right" w:pos="9026"/>
      </w:tabs>
    </w:pPr>
  </w:style>
  <w:style w:type="character" w:customStyle="1" w:styleId="FooterChar">
    <w:name w:val="Footer Char"/>
    <w:basedOn w:val="DefaultParagraphFont"/>
    <w:link w:val="Footer"/>
    <w:uiPriority w:val="99"/>
    <w:rsid w:val="008153E3"/>
    <w:rPr>
      <w:rFonts w:ascii="CMU Serif Roman" w:eastAsia="Times New Roman" w:hAnsi="CMU Serif Roman" w:cs="CMU Serif Roman"/>
      <w:color w:val="000000"/>
      <w:sz w:val="18"/>
      <w:szCs w:val="18"/>
    </w:rPr>
  </w:style>
  <w:style w:type="character" w:styleId="PageNumber">
    <w:name w:val="page number"/>
    <w:basedOn w:val="DefaultParagraphFont"/>
    <w:uiPriority w:val="99"/>
    <w:semiHidden/>
    <w:unhideWhenUsed/>
    <w:rsid w:val="008153E3"/>
  </w:style>
  <w:style w:type="paragraph" w:customStyle="1" w:styleId="table">
    <w:name w:val="table"/>
    <w:basedOn w:val="Normal"/>
    <w:qFormat/>
    <w:rsid w:val="000967B0"/>
    <w:pPr>
      <w:ind w:firstLine="14"/>
    </w:pPr>
    <w:rPr>
      <w:sz w:val="16"/>
      <w:szCs w:val="16"/>
    </w:rPr>
  </w:style>
  <w:style w:type="table" w:customStyle="1" w:styleId="TableGrid1">
    <w:name w:val="Table Grid1"/>
    <w:basedOn w:val="TableNormal"/>
    <w:next w:val="TableGrid"/>
    <w:uiPriority w:val="39"/>
    <w:rsid w:val="00601B7B"/>
    <w:rPr>
      <w:rFonts w:eastAsia="MS Mincho"/>
      <w:kern w:val="2"/>
      <w:lang w:val="en-C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50545">
      <w:bodyDiv w:val="1"/>
      <w:marLeft w:val="0"/>
      <w:marRight w:val="0"/>
      <w:marTop w:val="0"/>
      <w:marBottom w:val="0"/>
      <w:divBdr>
        <w:top w:val="none" w:sz="0" w:space="0" w:color="auto"/>
        <w:left w:val="none" w:sz="0" w:space="0" w:color="auto"/>
        <w:bottom w:val="none" w:sz="0" w:space="0" w:color="auto"/>
        <w:right w:val="none" w:sz="0" w:space="0" w:color="auto"/>
      </w:divBdr>
    </w:div>
    <w:div w:id="437405723">
      <w:bodyDiv w:val="1"/>
      <w:marLeft w:val="0"/>
      <w:marRight w:val="0"/>
      <w:marTop w:val="0"/>
      <w:marBottom w:val="0"/>
      <w:divBdr>
        <w:top w:val="none" w:sz="0" w:space="0" w:color="auto"/>
        <w:left w:val="none" w:sz="0" w:space="0" w:color="auto"/>
        <w:bottom w:val="none" w:sz="0" w:space="0" w:color="auto"/>
        <w:right w:val="none" w:sz="0" w:space="0" w:color="auto"/>
      </w:divBdr>
    </w:div>
    <w:div w:id="571937449">
      <w:bodyDiv w:val="1"/>
      <w:marLeft w:val="0"/>
      <w:marRight w:val="0"/>
      <w:marTop w:val="0"/>
      <w:marBottom w:val="0"/>
      <w:divBdr>
        <w:top w:val="none" w:sz="0" w:space="0" w:color="auto"/>
        <w:left w:val="none" w:sz="0" w:space="0" w:color="auto"/>
        <w:bottom w:val="none" w:sz="0" w:space="0" w:color="auto"/>
        <w:right w:val="none" w:sz="0" w:space="0" w:color="auto"/>
      </w:divBdr>
      <w:divsChild>
        <w:div w:id="1851597884">
          <w:marLeft w:val="0"/>
          <w:marRight w:val="0"/>
          <w:marTop w:val="0"/>
          <w:marBottom w:val="0"/>
          <w:divBdr>
            <w:top w:val="none" w:sz="0" w:space="0" w:color="auto"/>
            <w:left w:val="none" w:sz="0" w:space="0" w:color="auto"/>
            <w:bottom w:val="none" w:sz="0" w:space="0" w:color="auto"/>
            <w:right w:val="none" w:sz="0" w:space="0" w:color="auto"/>
          </w:divBdr>
          <w:divsChild>
            <w:div w:id="11043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306">
      <w:bodyDiv w:val="1"/>
      <w:marLeft w:val="0"/>
      <w:marRight w:val="0"/>
      <w:marTop w:val="0"/>
      <w:marBottom w:val="0"/>
      <w:divBdr>
        <w:top w:val="none" w:sz="0" w:space="0" w:color="auto"/>
        <w:left w:val="none" w:sz="0" w:space="0" w:color="auto"/>
        <w:bottom w:val="none" w:sz="0" w:space="0" w:color="auto"/>
        <w:right w:val="none" w:sz="0" w:space="0" w:color="auto"/>
      </w:divBdr>
      <w:divsChild>
        <w:div w:id="2041974129">
          <w:marLeft w:val="0"/>
          <w:marRight w:val="0"/>
          <w:marTop w:val="0"/>
          <w:marBottom w:val="0"/>
          <w:divBdr>
            <w:top w:val="none" w:sz="0" w:space="0" w:color="auto"/>
            <w:left w:val="none" w:sz="0" w:space="0" w:color="auto"/>
            <w:bottom w:val="none" w:sz="0" w:space="0" w:color="auto"/>
            <w:right w:val="none" w:sz="0" w:space="0" w:color="auto"/>
          </w:divBdr>
          <w:divsChild>
            <w:div w:id="288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554">
      <w:bodyDiv w:val="1"/>
      <w:marLeft w:val="0"/>
      <w:marRight w:val="0"/>
      <w:marTop w:val="0"/>
      <w:marBottom w:val="0"/>
      <w:divBdr>
        <w:top w:val="none" w:sz="0" w:space="0" w:color="auto"/>
        <w:left w:val="none" w:sz="0" w:space="0" w:color="auto"/>
        <w:bottom w:val="none" w:sz="0" w:space="0" w:color="auto"/>
        <w:right w:val="none" w:sz="0" w:space="0" w:color="auto"/>
      </w:divBdr>
      <w:divsChild>
        <w:div w:id="711921051">
          <w:marLeft w:val="0"/>
          <w:marRight w:val="0"/>
          <w:marTop w:val="0"/>
          <w:marBottom w:val="0"/>
          <w:divBdr>
            <w:top w:val="none" w:sz="0" w:space="0" w:color="auto"/>
            <w:left w:val="none" w:sz="0" w:space="0" w:color="auto"/>
            <w:bottom w:val="none" w:sz="0" w:space="0" w:color="auto"/>
            <w:right w:val="none" w:sz="0" w:space="0" w:color="auto"/>
          </w:divBdr>
        </w:div>
        <w:div w:id="1888451887">
          <w:marLeft w:val="0"/>
          <w:marRight w:val="0"/>
          <w:marTop w:val="0"/>
          <w:marBottom w:val="0"/>
          <w:divBdr>
            <w:top w:val="none" w:sz="0" w:space="0" w:color="auto"/>
            <w:left w:val="none" w:sz="0" w:space="0" w:color="auto"/>
            <w:bottom w:val="none" w:sz="0" w:space="0" w:color="auto"/>
            <w:right w:val="none" w:sz="0" w:space="0" w:color="auto"/>
          </w:divBdr>
        </w:div>
      </w:divsChild>
    </w:div>
    <w:div w:id="912084350">
      <w:bodyDiv w:val="1"/>
      <w:marLeft w:val="0"/>
      <w:marRight w:val="0"/>
      <w:marTop w:val="0"/>
      <w:marBottom w:val="0"/>
      <w:divBdr>
        <w:top w:val="none" w:sz="0" w:space="0" w:color="auto"/>
        <w:left w:val="none" w:sz="0" w:space="0" w:color="auto"/>
        <w:bottom w:val="none" w:sz="0" w:space="0" w:color="auto"/>
        <w:right w:val="none" w:sz="0" w:space="0" w:color="auto"/>
      </w:divBdr>
      <w:divsChild>
        <w:div w:id="1687440842">
          <w:marLeft w:val="0"/>
          <w:marRight w:val="0"/>
          <w:marTop w:val="0"/>
          <w:marBottom w:val="0"/>
          <w:divBdr>
            <w:top w:val="none" w:sz="0" w:space="0" w:color="auto"/>
            <w:left w:val="none" w:sz="0" w:space="0" w:color="auto"/>
            <w:bottom w:val="none" w:sz="0" w:space="0" w:color="auto"/>
            <w:right w:val="none" w:sz="0" w:space="0" w:color="auto"/>
          </w:divBdr>
        </w:div>
        <w:div w:id="1726641815">
          <w:marLeft w:val="0"/>
          <w:marRight w:val="0"/>
          <w:marTop w:val="0"/>
          <w:marBottom w:val="0"/>
          <w:divBdr>
            <w:top w:val="none" w:sz="0" w:space="0" w:color="auto"/>
            <w:left w:val="none" w:sz="0" w:space="0" w:color="auto"/>
            <w:bottom w:val="none" w:sz="0" w:space="0" w:color="auto"/>
            <w:right w:val="none" w:sz="0" w:space="0" w:color="auto"/>
          </w:divBdr>
        </w:div>
        <w:div w:id="421533806">
          <w:marLeft w:val="0"/>
          <w:marRight w:val="0"/>
          <w:marTop w:val="0"/>
          <w:marBottom w:val="0"/>
          <w:divBdr>
            <w:top w:val="none" w:sz="0" w:space="0" w:color="auto"/>
            <w:left w:val="none" w:sz="0" w:space="0" w:color="auto"/>
            <w:bottom w:val="none" w:sz="0" w:space="0" w:color="auto"/>
            <w:right w:val="none" w:sz="0" w:space="0" w:color="auto"/>
          </w:divBdr>
        </w:div>
        <w:div w:id="1176648875">
          <w:marLeft w:val="0"/>
          <w:marRight w:val="0"/>
          <w:marTop w:val="0"/>
          <w:marBottom w:val="0"/>
          <w:divBdr>
            <w:top w:val="none" w:sz="0" w:space="0" w:color="auto"/>
            <w:left w:val="none" w:sz="0" w:space="0" w:color="auto"/>
            <w:bottom w:val="none" w:sz="0" w:space="0" w:color="auto"/>
            <w:right w:val="none" w:sz="0" w:space="0" w:color="auto"/>
          </w:divBdr>
        </w:div>
        <w:div w:id="87164712">
          <w:marLeft w:val="0"/>
          <w:marRight w:val="0"/>
          <w:marTop w:val="0"/>
          <w:marBottom w:val="0"/>
          <w:divBdr>
            <w:top w:val="none" w:sz="0" w:space="0" w:color="auto"/>
            <w:left w:val="none" w:sz="0" w:space="0" w:color="auto"/>
            <w:bottom w:val="none" w:sz="0" w:space="0" w:color="auto"/>
            <w:right w:val="none" w:sz="0" w:space="0" w:color="auto"/>
          </w:divBdr>
        </w:div>
        <w:div w:id="478226549">
          <w:marLeft w:val="0"/>
          <w:marRight w:val="0"/>
          <w:marTop w:val="0"/>
          <w:marBottom w:val="0"/>
          <w:divBdr>
            <w:top w:val="none" w:sz="0" w:space="0" w:color="auto"/>
            <w:left w:val="none" w:sz="0" w:space="0" w:color="auto"/>
            <w:bottom w:val="none" w:sz="0" w:space="0" w:color="auto"/>
            <w:right w:val="none" w:sz="0" w:space="0" w:color="auto"/>
          </w:divBdr>
        </w:div>
      </w:divsChild>
    </w:div>
    <w:div w:id="1037971528">
      <w:bodyDiv w:val="1"/>
      <w:marLeft w:val="0"/>
      <w:marRight w:val="0"/>
      <w:marTop w:val="0"/>
      <w:marBottom w:val="0"/>
      <w:divBdr>
        <w:top w:val="none" w:sz="0" w:space="0" w:color="auto"/>
        <w:left w:val="none" w:sz="0" w:space="0" w:color="auto"/>
        <w:bottom w:val="none" w:sz="0" w:space="0" w:color="auto"/>
        <w:right w:val="none" w:sz="0" w:space="0" w:color="auto"/>
      </w:divBdr>
    </w:div>
    <w:div w:id="1180241642">
      <w:bodyDiv w:val="1"/>
      <w:marLeft w:val="0"/>
      <w:marRight w:val="0"/>
      <w:marTop w:val="0"/>
      <w:marBottom w:val="0"/>
      <w:divBdr>
        <w:top w:val="none" w:sz="0" w:space="0" w:color="auto"/>
        <w:left w:val="none" w:sz="0" w:space="0" w:color="auto"/>
        <w:bottom w:val="none" w:sz="0" w:space="0" w:color="auto"/>
        <w:right w:val="none" w:sz="0" w:space="0" w:color="auto"/>
      </w:divBdr>
    </w:div>
    <w:div w:id="1336374160">
      <w:bodyDiv w:val="1"/>
      <w:marLeft w:val="0"/>
      <w:marRight w:val="0"/>
      <w:marTop w:val="0"/>
      <w:marBottom w:val="0"/>
      <w:divBdr>
        <w:top w:val="none" w:sz="0" w:space="0" w:color="auto"/>
        <w:left w:val="none" w:sz="0" w:space="0" w:color="auto"/>
        <w:bottom w:val="none" w:sz="0" w:space="0" w:color="auto"/>
        <w:right w:val="none" w:sz="0" w:space="0" w:color="auto"/>
      </w:divBdr>
    </w:div>
    <w:div w:id="1394506527">
      <w:bodyDiv w:val="1"/>
      <w:marLeft w:val="0"/>
      <w:marRight w:val="0"/>
      <w:marTop w:val="0"/>
      <w:marBottom w:val="0"/>
      <w:divBdr>
        <w:top w:val="none" w:sz="0" w:space="0" w:color="auto"/>
        <w:left w:val="none" w:sz="0" w:space="0" w:color="auto"/>
        <w:bottom w:val="none" w:sz="0" w:space="0" w:color="auto"/>
        <w:right w:val="none" w:sz="0" w:space="0" w:color="auto"/>
      </w:divBdr>
      <w:divsChild>
        <w:div w:id="446854925">
          <w:marLeft w:val="0"/>
          <w:marRight w:val="0"/>
          <w:marTop w:val="0"/>
          <w:marBottom w:val="0"/>
          <w:divBdr>
            <w:top w:val="none" w:sz="0" w:space="0" w:color="auto"/>
            <w:left w:val="none" w:sz="0" w:space="0" w:color="auto"/>
            <w:bottom w:val="none" w:sz="0" w:space="0" w:color="auto"/>
            <w:right w:val="none" w:sz="0" w:space="0" w:color="auto"/>
          </w:divBdr>
          <w:divsChild>
            <w:div w:id="343167566">
              <w:marLeft w:val="0"/>
              <w:marRight w:val="0"/>
              <w:marTop w:val="0"/>
              <w:marBottom w:val="0"/>
              <w:divBdr>
                <w:top w:val="none" w:sz="0" w:space="0" w:color="auto"/>
                <w:left w:val="none" w:sz="0" w:space="0" w:color="auto"/>
                <w:bottom w:val="none" w:sz="0" w:space="0" w:color="auto"/>
                <w:right w:val="none" w:sz="0" w:space="0" w:color="auto"/>
              </w:divBdr>
              <w:divsChild>
                <w:div w:id="7579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5646">
      <w:bodyDiv w:val="1"/>
      <w:marLeft w:val="0"/>
      <w:marRight w:val="0"/>
      <w:marTop w:val="0"/>
      <w:marBottom w:val="0"/>
      <w:divBdr>
        <w:top w:val="none" w:sz="0" w:space="0" w:color="auto"/>
        <w:left w:val="none" w:sz="0" w:space="0" w:color="auto"/>
        <w:bottom w:val="none" w:sz="0" w:space="0" w:color="auto"/>
        <w:right w:val="none" w:sz="0" w:space="0" w:color="auto"/>
      </w:divBdr>
    </w:div>
    <w:div w:id="1502618234">
      <w:bodyDiv w:val="1"/>
      <w:marLeft w:val="0"/>
      <w:marRight w:val="0"/>
      <w:marTop w:val="0"/>
      <w:marBottom w:val="0"/>
      <w:divBdr>
        <w:top w:val="none" w:sz="0" w:space="0" w:color="auto"/>
        <w:left w:val="none" w:sz="0" w:space="0" w:color="auto"/>
        <w:bottom w:val="none" w:sz="0" w:space="0" w:color="auto"/>
        <w:right w:val="none" w:sz="0" w:space="0" w:color="auto"/>
      </w:divBdr>
    </w:div>
    <w:div w:id="1510758005">
      <w:bodyDiv w:val="1"/>
      <w:marLeft w:val="0"/>
      <w:marRight w:val="0"/>
      <w:marTop w:val="0"/>
      <w:marBottom w:val="0"/>
      <w:divBdr>
        <w:top w:val="none" w:sz="0" w:space="0" w:color="auto"/>
        <w:left w:val="none" w:sz="0" w:space="0" w:color="auto"/>
        <w:bottom w:val="none" w:sz="0" w:space="0" w:color="auto"/>
        <w:right w:val="none" w:sz="0" w:space="0" w:color="auto"/>
      </w:divBdr>
      <w:divsChild>
        <w:div w:id="1297490405">
          <w:marLeft w:val="0"/>
          <w:marRight w:val="0"/>
          <w:marTop w:val="0"/>
          <w:marBottom w:val="0"/>
          <w:divBdr>
            <w:top w:val="none" w:sz="0" w:space="0" w:color="auto"/>
            <w:left w:val="none" w:sz="0" w:space="0" w:color="auto"/>
            <w:bottom w:val="none" w:sz="0" w:space="0" w:color="auto"/>
            <w:right w:val="none" w:sz="0" w:space="0" w:color="auto"/>
          </w:divBdr>
          <w:divsChild>
            <w:div w:id="819884275">
              <w:marLeft w:val="0"/>
              <w:marRight w:val="0"/>
              <w:marTop w:val="0"/>
              <w:marBottom w:val="0"/>
              <w:divBdr>
                <w:top w:val="none" w:sz="0" w:space="0" w:color="auto"/>
                <w:left w:val="none" w:sz="0" w:space="0" w:color="auto"/>
                <w:bottom w:val="none" w:sz="0" w:space="0" w:color="auto"/>
                <w:right w:val="none" w:sz="0" w:space="0" w:color="auto"/>
              </w:divBdr>
              <w:divsChild>
                <w:div w:id="566840657">
                  <w:marLeft w:val="0"/>
                  <w:marRight w:val="0"/>
                  <w:marTop w:val="0"/>
                  <w:marBottom w:val="0"/>
                  <w:divBdr>
                    <w:top w:val="none" w:sz="0" w:space="0" w:color="auto"/>
                    <w:left w:val="none" w:sz="0" w:space="0" w:color="auto"/>
                    <w:bottom w:val="none" w:sz="0" w:space="0" w:color="auto"/>
                    <w:right w:val="none" w:sz="0" w:space="0" w:color="auto"/>
                  </w:divBdr>
                  <w:divsChild>
                    <w:div w:id="15174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3040">
      <w:bodyDiv w:val="1"/>
      <w:marLeft w:val="0"/>
      <w:marRight w:val="0"/>
      <w:marTop w:val="0"/>
      <w:marBottom w:val="0"/>
      <w:divBdr>
        <w:top w:val="none" w:sz="0" w:space="0" w:color="auto"/>
        <w:left w:val="none" w:sz="0" w:space="0" w:color="auto"/>
        <w:bottom w:val="none" w:sz="0" w:space="0" w:color="auto"/>
        <w:right w:val="none" w:sz="0" w:space="0" w:color="auto"/>
      </w:divBdr>
    </w:div>
    <w:div w:id="1609506375">
      <w:bodyDiv w:val="1"/>
      <w:marLeft w:val="0"/>
      <w:marRight w:val="0"/>
      <w:marTop w:val="0"/>
      <w:marBottom w:val="0"/>
      <w:divBdr>
        <w:top w:val="none" w:sz="0" w:space="0" w:color="auto"/>
        <w:left w:val="none" w:sz="0" w:space="0" w:color="auto"/>
        <w:bottom w:val="none" w:sz="0" w:space="0" w:color="auto"/>
        <w:right w:val="none" w:sz="0" w:space="0" w:color="auto"/>
      </w:divBdr>
      <w:divsChild>
        <w:div w:id="949824046">
          <w:marLeft w:val="0"/>
          <w:marRight w:val="0"/>
          <w:marTop w:val="0"/>
          <w:marBottom w:val="0"/>
          <w:divBdr>
            <w:top w:val="none" w:sz="0" w:space="0" w:color="auto"/>
            <w:left w:val="none" w:sz="0" w:space="0" w:color="auto"/>
            <w:bottom w:val="none" w:sz="0" w:space="0" w:color="auto"/>
            <w:right w:val="none" w:sz="0" w:space="0" w:color="auto"/>
          </w:divBdr>
        </w:div>
        <w:div w:id="910580218">
          <w:marLeft w:val="0"/>
          <w:marRight w:val="0"/>
          <w:marTop w:val="0"/>
          <w:marBottom w:val="0"/>
          <w:divBdr>
            <w:top w:val="none" w:sz="0" w:space="0" w:color="auto"/>
            <w:left w:val="none" w:sz="0" w:space="0" w:color="auto"/>
            <w:bottom w:val="none" w:sz="0" w:space="0" w:color="auto"/>
            <w:right w:val="none" w:sz="0" w:space="0" w:color="auto"/>
          </w:divBdr>
        </w:div>
        <w:div w:id="1753548751">
          <w:marLeft w:val="0"/>
          <w:marRight w:val="0"/>
          <w:marTop w:val="0"/>
          <w:marBottom w:val="0"/>
          <w:divBdr>
            <w:top w:val="none" w:sz="0" w:space="0" w:color="auto"/>
            <w:left w:val="none" w:sz="0" w:space="0" w:color="auto"/>
            <w:bottom w:val="none" w:sz="0" w:space="0" w:color="auto"/>
            <w:right w:val="none" w:sz="0" w:space="0" w:color="auto"/>
          </w:divBdr>
        </w:div>
        <w:div w:id="351414649">
          <w:marLeft w:val="0"/>
          <w:marRight w:val="0"/>
          <w:marTop w:val="0"/>
          <w:marBottom w:val="0"/>
          <w:divBdr>
            <w:top w:val="none" w:sz="0" w:space="0" w:color="auto"/>
            <w:left w:val="none" w:sz="0" w:space="0" w:color="auto"/>
            <w:bottom w:val="none" w:sz="0" w:space="0" w:color="auto"/>
            <w:right w:val="none" w:sz="0" w:space="0" w:color="auto"/>
          </w:divBdr>
        </w:div>
        <w:div w:id="653140535">
          <w:marLeft w:val="0"/>
          <w:marRight w:val="0"/>
          <w:marTop w:val="0"/>
          <w:marBottom w:val="0"/>
          <w:divBdr>
            <w:top w:val="none" w:sz="0" w:space="0" w:color="auto"/>
            <w:left w:val="none" w:sz="0" w:space="0" w:color="auto"/>
            <w:bottom w:val="none" w:sz="0" w:space="0" w:color="auto"/>
            <w:right w:val="none" w:sz="0" w:space="0" w:color="auto"/>
          </w:divBdr>
        </w:div>
        <w:div w:id="420026402">
          <w:marLeft w:val="0"/>
          <w:marRight w:val="0"/>
          <w:marTop w:val="0"/>
          <w:marBottom w:val="0"/>
          <w:divBdr>
            <w:top w:val="none" w:sz="0" w:space="0" w:color="auto"/>
            <w:left w:val="none" w:sz="0" w:space="0" w:color="auto"/>
            <w:bottom w:val="none" w:sz="0" w:space="0" w:color="auto"/>
            <w:right w:val="none" w:sz="0" w:space="0" w:color="auto"/>
          </w:divBdr>
        </w:div>
        <w:div w:id="1364475316">
          <w:marLeft w:val="0"/>
          <w:marRight w:val="0"/>
          <w:marTop w:val="0"/>
          <w:marBottom w:val="0"/>
          <w:divBdr>
            <w:top w:val="none" w:sz="0" w:space="0" w:color="auto"/>
            <w:left w:val="none" w:sz="0" w:space="0" w:color="auto"/>
            <w:bottom w:val="none" w:sz="0" w:space="0" w:color="auto"/>
            <w:right w:val="none" w:sz="0" w:space="0" w:color="auto"/>
          </w:divBdr>
        </w:div>
        <w:div w:id="937981262">
          <w:marLeft w:val="0"/>
          <w:marRight w:val="0"/>
          <w:marTop w:val="0"/>
          <w:marBottom w:val="0"/>
          <w:divBdr>
            <w:top w:val="none" w:sz="0" w:space="0" w:color="auto"/>
            <w:left w:val="none" w:sz="0" w:space="0" w:color="auto"/>
            <w:bottom w:val="none" w:sz="0" w:space="0" w:color="auto"/>
            <w:right w:val="none" w:sz="0" w:space="0" w:color="auto"/>
          </w:divBdr>
        </w:div>
      </w:divsChild>
    </w:div>
    <w:div w:id="1702437360">
      <w:bodyDiv w:val="1"/>
      <w:marLeft w:val="0"/>
      <w:marRight w:val="0"/>
      <w:marTop w:val="0"/>
      <w:marBottom w:val="0"/>
      <w:divBdr>
        <w:top w:val="none" w:sz="0" w:space="0" w:color="auto"/>
        <w:left w:val="none" w:sz="0" w:space="0" w:color="auto"/>
        <w:bottom w:val="none" w:sz="0" w:space="0" w:color="auto"/>
        <w:right w:val="none" w:sz="0" w:space="0" w:color="auto"/>
      </w:divBdr>
    </w:div>
    <w:div w:id="1721322578">
      <w:bodyDiv w:val="1"/>
      <w:marLeft w:val="0"/>
      <w:marRight w:val="0"/>
      <w:marTop w:val="0"/>
      <w:marBottom w:val="0"/>
      <w:divBdr>
        <w:top w:val="none" w:sz="0" w:space="0" w:color="auto"/>
        <w:left w:val="none" w:sz="0" w:space="0" w:color="auto"/>
        <w:bottom w:val="none" w:sz="0" w:space="0" w:color="auto"/>
        <w:right w:val="none" w:sz="0" w:space="0" w:color="auto"/>
      </w:divBdr>
      <w:divsChild>
        <w:div w:id="430707303">
          <w:marLeft w:val="0"/>
          <w:marRight w:val="0"/>
          <w:marTop w:val="0"/>
          <w:marBottom w:val="0"/>
          <w:divBdr>
            <w:top w:val="none" w:sz="0" w:space="0" w:color="auto"/>
            <w:left w:val="none" w:sz="0" w:space="0" w:color="auto"/>
            <w:bottom w:val="none" w:sz="0" w:space="0" w:color="auto"/>
            <w:right w:val="none" w:sz="0" w:space="0" w:color="auto"/>
          </w:divBdr>
        </w:div>
        <w:div w:id="133105466">
          <w:marLeft w:val="0"/>
          <w:marRight w:val="0"/>
          <w:marTop w:val="0"/>
          <w:marBottom w:val="0"/>
          <w:divBdr>
            <w:top w:val="none" w:sz="0" w:space="0" w:color="auto"/>
            <w:left w:val="none" w:sz="0" w:space="0" w:color="auto"/>
            <w:bottom w:val="none" w:sz="0" w:space="0" w:color="auto"/>
            <w:right w:val="none" w:sz="0" w:space="0" w:color="auto"/>
          </w:divBdr>
        </w:div>
        <w:div w:id="1282152760">
          <w:marLeft w:val="0"/>
          <w:marRight w:val="0"/>
          <w:marTop w:val="0"/>
          <w:marBottom w:val="0"/>
          <w:divBdr>
            <w:top w:val="none" w:sz="0" w:space="0" w:color="auto"/>
            <w:left w:val="none" w:sz="0" w:space="0" w:color="auto"/>
            <w:bottom w:val="none" w:sz="0" w:space="0" w:color="auto"/>
            <w:right w:val="none" w:sz="0" w:space="0" w:color="auto"/>
          </w:divBdr>
        </w:div>
        <w:div w:id="147483204">
          <w:marLeft w:val="0"/>
          <w:marRight w:val="0"/>
          <w:marTop w:val="0"/>
          <w:marBottom w:val="0"/>
          <w:divBdr>
            <w:top w:val="none" w:sz="0" w:space="0" w:color="auto"/>
            <w:left w:val="none" w:sz="0" w:space="0" w:color="auto"/>
            <w:bottom w:val="none" w:sz="0" w:space="0" w:color="auto"/>
            <w:right w:val="none" w:sz="0" w:space="0" w:color="auto"/>
          </w:divBdr>
        </w:div>
      </w:divsChild>
    </w:div>
    <w:div w:id="1939025607">
      <w:bodyDiv w:val="1"/>
      <w:marLeft w:val="0"/>
      <w:marRight w:val="0"/>
      <w:marTop w:val="0"/>
      <w:marBottom w:val="0"/>
      <w:divBdr>
        <w:top w:val="none" w:sz="0" w:space="0" w:color="auto"/>
        <w:left w:val="none" w:sz="0" w:space="0" w:color="auto"/>
        <w:bottom w:val="none" w:sz="0" w:space="0" w:color="auto"/>
        <w:right w:val="none" w:sz="0" w:space="0" w:color="auto"/>
      </w:divBdr>
      <w:divsChild>
        <w:div w:id="1307008603">
          <w:marLeft w:val="0"/>
          <w:marRight w:val="0"/>
          <w:marTop w:val="0"/>
          <w:marBottom w:val="0"/>
          <w:divBdr>
            <w:top w:val="none" w:sz="0" w:space="0" w:color="auto"/>
            <w:left w:val="none" w:sz="0" w:space="0" w:color="auto"/>
            <w:bottom w:val="none" w:sz="0" w:space="0" w:color="auto"/>
            <w:right w:val="none" w:sz="0" w:space="0" w:color="auto"/>
          </w:divBdr>
          <w:divsChild>
            <w:div w:id="3183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69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jg8td/"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jg8td/"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14</Pages>
  <Words>19034</Words>
  <Characters>108495</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Imogen</dc:creator>
  <cp:keywords/>
  <dc:description/>
  <cp:lastModifiedBy>Hussey, Ian (PSY)</cp:lastModifiedBy>
  <cp:revision>2423</cp:revision>
  <dcterms:created xsi:type="dcterms:W3CDTF">2024-07-30T11:43:00Z</dcterms:created>
  <dcterms:modified xsi:type="dcterms:W3CDTF">2024-07-31T15:46:00Z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id="CsRIklaz"/&gt;&lt;style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